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ind w:left="0" w:leftChars="0" w:firstLine="0" w:firstLineChars="0"/>
        <w:jc w:val="center"/>
        <w:rPr>
          <w:rFonts w:hint="eastAsia" w:eastAsia="宋体"/>
          <w:sz w:val="24"/>
          <w:lang w:eastAsia="zh-CN"/>
        </w:rPr>
        <w:sectPr>
          <w:headerReference r:id="rId3" w:type="even"/>
          <w:pgSz w:w="11849" w:h="16781"/>
          <w:pgMar w:top="720" w:right="720" w:bottom="720" w:left="720" w:header="567" w:footer="850" w:gutter="0"/>
          <w:pgNumType w:fmt="decimal" w:start="1"/>
          <w:cols w:equalWidth="0" w:num="1">
            <w:col w:w="8970"/>
          </w:cols>
          <w:rtlGutter w:val="0"/>
          <w:docGrid w:linePitch="0" w:charSpace="0"/>
        </w:sectPr>
      </w:pPr>
      <w:r>
        <w:rPr>
          <w:rFonts w:hint="eastAsia" w:eastAsia="宋体"/>
          <w:sz w:val="24"/>
          <w:lang w:eastAsia="zh-CN"/>
        </w:rPr>
        <w:drawing>
          <wp:inline distT="0" distB="0" distL="114300" distR="114300">
            <wp:extent cx="6605270" cy="9505315"/>
            <wp:effectExtent l="0" t="0" r="5080" b="635"/>
            <wp:docPr id="17" name="图片 17" descr="扫描全能王 2024-09-14 16.5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4-09-14 16.57_00"/>
                    <pic:cNvPicPr>
                      <a:picLocks noChangeAspect="1"/>
                    </pic:cNvPicPr>
                  </pic:nvPicPr>
                  <pic:blipFill>
                    <a:blip r:embed="rId11"/>
                    <a:srcRect b="4824"/>
                    <a:stretch>
                      <a:fillRect/>
                    </a:stretch>
                  </pic:blipFill>
                  <pic:spPr>
                    <a:xfrm>
                      <a:off x="0" y="0"/>
                      <a:ext cx="6605270" cy="9505315"/>
                    </a:xfrm>
                    <a:prstGeom prst="rect">
                      <a:avLst/>
                    </a:prstGeom>
                  </pic:spPr>
                </pic:pic>
              </a:graphicData>
            </a:graphic>
          </wp:inline>
        </w:drawing>
      </w:r>
    </w:p>
    <w:p>
      <w:pPr>
        <w:pStyle w:val="28"/>
        <w:ind w:left="0" w:leftChars="0" w:firstLine="0" w:firstLineChars="0"/>
        <w:jc w:val="center"/>
        <w:rPr>
          <w:rFonts w:hint="default" w:eastAsia="宋体"/>
          <w:lang w:val="en-US" w:eastAsia="zh-CN"/>
        </w:rPr>
        <w:sectPr>
          <w:pgSz w:w="16781" w:h="11849" w:orient="landscape"/>
          <w:pgMar w:top="720" w:right="720" w:bottom="720" w:left="720" w:header="567" w:footer="850" w:gutter="0"/>
          <w:pgNumType w:fmt="decimal" w:start="1"/>
          <w:cols w:equalWidth="0" w:num="1">
            <w:col w:w="8970"/>
          </w:cols>
          <w:rtlGutter w:val="0"/>
          <w:docGrid w:linePitch="0" w:charSpace="0"/>
        </w:sectPr>
      </w:pPr>
    </w:p>
    <w:p>
      <w:pPr>
        <w:jc w:val="center"/>
        <w:rPr>
          <w:rFonts w:hint="eastAsia" w:eastAsia="宋体"/>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1456690</wp:posOffset>
                </wp:positionH>
                <wp:positionV relativeFrom="paragraph">
                  <wp:posOffset>2635885</wp:posOffset>
                </wp:positionV>
                <wp:extent cx="7262495" cy="423545"/>
                <wp:effectExtent l="0" t="0" r="0" b="0"/>
                <wp:wrapNone/>
                <wp:docPr id="31" name="文本框 31"/>
                <wp:cNvGraphicFramePr/>
                <a:graphic xmlns:a="http://schemas.openxmlformats.org/drawingml/2006/main">
                  <a:graphicData uri="http://schemas.microsoft.com/office/word/2010/wordprocessingShape">
                    <wps:wsp>
                      <wps:cNvSpPr txBox="1"/>
                      <wps:spPr>
                        <a:xfrm rot="20040000">
                          <a:off x="0" y="0"/>
                          <a:ext cx="7262495"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微软雅黑" w:hAnsi="微软雅黑" w:eastAsia="微软雅黑" w:cs="微软雅黑"/>
                                <w:b/>
                                <w:bCs/>
                                <w:color w:val="FF000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7pt;margin-top:207.55pt;height:33.35pt;width:571.85pt;rotation:-1703936f;z-index:251659264;mso-width-relative:page;mso-height-relative:page;" filled="f" stroked="f" coordsize="21600,21600" o:gfxdata="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TPN2gAAAAwBAAAPAAAAAAAAAAEA&#10;IAAAACIAAABkcnMvZG93bnJldi54bWxQSwECFAAUAAAACACHTuJAhhchkkYCAAB3BAAADgAAAAAA&#10;AAABACAAAAApAQAAZHJzL2Uyb0RvYy54bWxQSwUGAAAAAAYABgBZAQAA4QUAAAAA&#10;">
                <v:fill on="f" focussize="0,0"/>
                <v:stroke on="f" weight="0.5pt"/>
                <v:imagedata o:title=""/>
                <o:lock v:ext="edit" aspectratio="f"/>
                <v:textbox>
                  <w:txbxContent>
                    <w:p>
                      <w:pPr>
                        <w:spacing w:line="360" w:lineRule="auto"/>
                        <w:rPr>
                          <w:rFonts w:hint="eastAsia" w:ascii="微软雅黑" w:hAnsi="微软雅黑" w:eastAsia="微软雅黑" w:cs="微软雅黑"/>
                          <w:b/>
                          <w:bCs/>
                          <w:color w:val="FF0000"/>
                          <w:lang w:eastAsia="zh-CN"/>
                        </w:rPr>
                      </w:pPr>
                    </w:p>
                  </w:txbxContent>
                </v:textbox>
              </v:shape>
            </w:pict>
          </mc:Fallback>
        </mc:AlternateContent>
      </w:r>
    </w:p>
    <w:p>
      <w:pPr>
        <w:rPr>
          <w:rFonts w:hint="eastAsia"/>
          <w:lang w:eastAsia="zh-CN"/>
        </w:rPr>
      </w:pPr>
    </w:p>
    <w:p>
      <w:pPr>
        <w:pStyle w:val="28"/>
        <w:ind w:left="0" w:leftChars="0" w:firstLine="0" w:firstLineChars="0"/>
        <w:jc w:val="center"/>
      </w:pPr>
    </w:p>
    <w:p>
      <w:pPr>
        <w:pStyle w:val="28"/>
        <w:ind w:left="0" w:leftChars="0" w:firstLine="0" w:firstLineChars="0"/>
        <w:jc w:val="center"/>
      </w:pPr>
    </w:p>
    <w:p>
      <w:pPr>
        <w:pStyle w:val="28"/>
        <w:ind w:left="0" w:leftChars="0" w:firstLine="0" w:firstLineChars="0"/>
        <w:jc w:val="center"/>
        <w:sectPr>
          <w:pgSz w:w="16781" w:h="11849" w:orient="landscape"/>
          <w:pgMar w:top="720" w:right="720" w:bottom="720" w:left="720" w:header="567" w:footer="850" w:gutter="0"/>
          <w:pgNumType w:fmt="decimal" w:start="1"/>
          <w:cols w:equalWidth="0" w:num="1">
            <w:col w:w="8970"/>
          </w:cols>
          <w:rtlGutter w:val="0"/>
          <w:docGrid w:linePitch="0" w:charSpace="0"/>
        </w:sectPr>
      </w:pPr>
      <w:r>
        <w:rPr>
          <w:sz w:val="24"/>
        </w:rPr>
        <mc:AlternateContent>
          <mc:Choice Requires="wps">
            <w:drawing>
              <wp:anchor distT="0" distB="0" distL="114300" distR="114300" simplePos="0" relativeHeight="251661312" behindDoc="0" locked="0" layoutInCell="1" allowOverlap="1">
                <wp:simplePos x="0" y="0"/>
                <wp:positionH relativeFrom="column">
                  <wp:posOffset>1779270</wp:posOffset>
                </wp:positionH>
                <wp:positionV relativeFrom="paragraph">
                  <wp:posOffset>2355215</wp:posOffset>
                </wp:positionV>
                <wp:extent cx="7262495" cy="423545"/>
                <wp:effectExtent l="0" t="0" r="0" b="0"/>
                <wp:wrapNone/>
                <wp:docPr id="32" name="文本框 32"/>
                <wp:cNvGraphicFramePr/>
                <a:graphic xmlns:a="http://schemas.openxmlformats.org/drawingml/2006/main">
                  <a:graphicData uri="http://schemas.microsoft.com/office/word/2010/wordprocessingShape">
                    <wps:wsp>
                      <wps:cNvSpPr txBox="1"/>
                      <wps:spPr>
                        <a:xfrm rot="20040000">
                          <a:off x="0" y="0"/>
                          <a:ext cx="7262495"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ascii="微软雅黑" w:hAnsi="微软雅黑" w:eastAsia="微软雅黑" w:cs="微软雅黑"/>
                                <w:b/>
                                <w:bCs/>
                                <w:color w:val="FF000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185.45pt;height:33.35pt;width:571.85pt;rotation:-1703936f;z-index:251661312;mso-width-relative:page;mso-height-relative:page;" filled="f" stroked="f" coordsize="21600,21600" o:gfxdata="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IUUQ2wAAAAwBAAAPAAAAAAAAAAEA&#10;IAAAACIAAABkcnMvZG93bnJldi54bWxQSwECFAAUAAAACACHTuJAOZgw/kUCAAB3BAAADgAAAAAA&#10;AAABACAAAAAqAQAAZHJzL2Uyb0RvYy54bWxQSwUGAAAAAAYABgBZAQAA4QUAAAAA&#10;">
                <v:fill on="f" focussize="0,0"/>
                <v:stroke on="f" weight="0.5pt"/>
                <v:imagedata o:title=""/>
                <o:lock v:ext="edit" aspectratio="f"/>
                <v:textbox>
                  <w:txbxContent>
                    <w:p>
                      <w:pPr>
                        <w:spacing w:line="360" w:lineRule="auto"/>
                        <w:rPr>
                          <w:rFonts w:hint="eastAsia" w:ascii="微软雅黑" w:hAnsi="微软雅黑" w:eastAsia="微软雅黑" w:cs="微软雅黑"/>
                          <w:b/>
                          <w:bCs/>
                          <w:color w:val="FF0000"/>
                          <w:lang w:eastAsia="zh-CN"/>
                        </w:rPr>
                      </w:pPr>
                    </w:p>
                  </w:txbxContent>
                </v:textbox>
              </v:shape>
            </w:pict>
          </mc:Fallback>
        </mc:AlternateContent>
      </w:r>
    </w:p>
    <w:p>
      <w:pPr>
        <w:spacing w:before="0" w:beforeLines="0" w:after="0" w:afterLines="0" w:line="240" w:lineRule="auto"/>
        <w:ind w:left="0" w:leftChars="0" w:right="0" w:rightChars="0" w:firstLine="0" w:firstLineChars="0"/>
        <w:jc w:val="center"/>
        <w:rPr>
          <w:rFonts w:hint="eastAsia" w:ascii="Times New Roman" w:hAnsi="Times New Roman" w:eastAsia="宋体" w:cs="Times New Roman"/>
          <w:b/>
          <w:bCs/>
          <w:color w:val="auto"/>
          <w:sz w:val="32"/>
          <w:szCs w:val="32"/>
          <w:highlight w:val="none"/>
          <w:u w:val="none"/>
          <w:lang w:eastAsia="zh-CN"/>
        </w:rPr>
        <w:sectPr>
          <w:footerReference r:id="rId4" w:type="default"/>
          <w:pgSz w:w="11906" w:h="16838"/>
          <w:pgMar w:top="720" w:right="720" w:bottom="720" w:left="720" w:header="851" w:footer="992" w:gutter="0"/>
          <w:cols w:space="425" w:num="1"/>
          <w:docGrid w:type="lines" w:linePitch="312" w:charSpace="0"/>
        </w:sectPr>
      </w:pPr>
      <w:r>
        <w:rPr>
          <w:sz w:val="24"/>
        </w:rPr>
        <mc:AlternateContent>
          <mc:Choice Requires="wps">
            <w:drawing>
              <wp:anchor distT="0" distB="0" distL="114300" distR="114300" simplePos="0" relativeHeight="251663360" behindDoc="0" locked="0" layoutInCell="1" allowOverlap="1">
                <wp:simplePos x="0" y="0"/>
                <wp:positionH relativeFrom="column">
                  <wp:posOffset>499745</wp:posOffset>
                </wp:positionH>
                <wp:positionV relativeFrom="paragraph">
                  <wp:posOffset>3259455</wp:posOffset>
                </wp:positionV>
                <wp:extent cx="7262495" cy="423545"/>
                <wp:effectExtent l="0" t="0" r="0" b="0"/>
                <wp:wrapNone/>
                <wp:docPr id="34" name="文本框 34"/>
                <wp:cNvGraphicFramePr/>
                <a:graphic xmlns:a="http://schemas.openxmlformats.org/drawingml/2006/main">
                  <a:graphicData uri="http://schemas.microsoft.com/office/word/2010/wordprocessingShape">
                    <wps:wsp>
                      <wps:cNvSpPr txBox="1"/>
                      <wps:spPr>
                        <a:xfrm rot="19380000">
                          <a:off x="0" y="0"/>
                          <a:ext cx="7262495"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default"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5pt;margin-top:256.65pt;height:33.35pt;width:571.85pt;rotation:-2424832f;z-index:251663360;mso-width-relative:page;mso-height-relative:page;" filled="f" stroked="f" coordsize="21600,21600" o:gfxdata="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gCc93ZAAAACwEAAA8AAAAAAAAAAQAg&#10;AAAAIgAAAGRycy9kb3ducmV2LnhtbFBLAQIUABQAAAAIAIdO4kB9X1wtRgIAAHcEAAAOAAAAAAAA&#10;AAEAIAAAACgBAABkcnMvZTJvRG9jLnhtbFBLBQYAAAAABgAGAFkBAADgBQAAAAA=&#10;">
                <v:fill on="f" focussize="0,0"/>
                <v:stroke on="f" weight="0.5pt"/>
                <v:imagedata o:title=""/>
                <o:lock v:ext="edit" aspectratio="f"/>
                <v:textbox>
                  <w:txbxContent>
                    <w:p>
                      <w:pPr>
                        <w:spacing w:line="360" w:lineRule="auto"/>
                        <w:rPr>
                          <w:rFonts w:hint="default"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 xml:space="preserve"> </w:t>
                      </w:r>
                    </w:p>
                  </w:txbxContent>
                </v:textbox>
              </v:shape>
            </w:pict>
          </mc:Fallback>
        </mc:AlternateContent>
      </w:r>
    </w:p>
    <w:p>
      <w:pPr>
        <w:spacing w:before="0" w:beforeLines="0" w:after="0" w:afterLines="0" w:line="240" w:lineRule="auto"/>
        <w:ind w:left="0" w:leftChars="0" w:right="0" w:rightChars="0" w:firstLine="0" w:firstLineChars="0"/>
        <w:jc w:val="center"/>
        <w:rPr>
          <w:rFonts w:hint="eastAsia" w:ascii="Times New Roman" w:hAnsi="Times New Roman" w:eastAsia="宋体" w:cs="Times New Roman"/>
          <w:b/>
          <w:bCs/>
          <w:color w:val="auto"/>
          <w:sz w:val="32"/>
          <w:szCs w:val="32"/>
          <w:highlight w:val="none"/>
          <w:u w:val="none"/>
          <w:lang w:eastAsia="zh-CN"/>
        </w:rPr>
      </w:pPr>
    </w:p>
    <w:p>
      <w:pPr>
        <w:pStyle w:val="10"/>
        <w:rPr>
          <w:rFonts w:hint="eastAsia" w:ascii="Times New Roman" w:hAnsi="Times New Roman" w:eastAsia="宋体" w:cs="Times New Roman"/>
          <w:b/>
          <w:bCs/>
          <w:color w:val="auto"/>
          <w:sz w:val="32"/>
          <w:szCs w:val="32"/>
          <w:highlight w:val="none"/>
          <w:u w:val="none"/>
          <w:lang w:eastAsia="zh-CN"/>
        </w:rPr>
      </w:pPr>
    </w:p>
    <w:p>
      <w:pPr>
        <w:pStyle w:val="10"/>
        <w:rPr>
          <w:rFonts w:hint="eastAsia" w:ascii="Times New Roman" w:hAnsi="Times New Roman" w:eastAsia="宋体" w:cs="Times New Roman"/>
          <w:b/>
          <w:bCs/>
          <w:color w:val="auto"/>
          <w:sz w:val="32"/>
          <w:szCs w:val="32"/>
          <w:highlight w:val="none"/>
          <w:u w:val="none"/>
          <w:lang w:eastAsia="zh-CN"/>
        </w:rPr>
      </w:pPr>
    </w:p>
    <w:p>
      <w:pPr>
        <w:bidi w:val="0"/>
        <w:rPr>
          <w:rFonts w:hint="eastAsia"/>
          <w:color w:val="auto"/>
          <w:lang w:eastAsia="zh-CN"/>
        </w:rPr>
        <w:sectPr>
          <w:pgSz w:w="11906" w:h="16838"/>
          <w:pgMar w:top="1440" w:right="1800" w:bottom="1440" w:left="1800"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32"/>
          <w:szCs w:val="32"/>
          <w:highlight w:val="none"/>
          <w:u w:val="none"/>
        </w:rPr>
      </w:pPr>
      <w:r>
        <w:rPr>
          <w:rFonts w:hint="default" w:ascii="Times New Roman" w:hAnsi="Times New Roman" w:eastAsia="宋体" w:cs="Times New Roman"/>
          <w:b/>
          <w:bCs/>
          <w:color w:val="auto"/>
          <w:sz w:val="32"/>
          <w:szCs w:val="32"/>
          <w:highlight w:val="none"/>
          <w:u w:val="none"/>
        </w:rPr>
        <w:t>目录</w:t>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宋体" w:cs="Times New Roman"/>
          <w:b w:val="0"/>
          <w:bCs w:val="0"/>
          <w:color w:val="auto"/>
          <w:sz w:val="24"/>
          <w:szCs w:val="24"/>
          <w:highlight w:val="none"/>
          <w:u w:val="none"/>
          <w:lang w:val="en-US" w:eastAsia="zh-CN"/>
        </w:rPr>
        <w:fldChar w:fldCharType="begin"/>
      </w:r>
      <w:r>
        <w:rPr>
          <w:rFonts w:hint="default" w:ascii="Times New Roman" w:hAnsi="Times New Roman" w:eastAsia="宋体" w:cs="Times New Roman"/>
          <w:b w:val="0"/>
          <w:bCs w:val="0"/>
          <w:color w:val="auto"/>
          <w:sz w:val="24"/>
          <w:szCs w:val="24"/>
          <w:highlight w:val="none"/>
          <w:u w:val="none"/>
          <w:lang w:val="en-US" w:eastAsia="zh-CN"/>
        </w:rPr>
        <w:instrText xml:space="preserve">TOC \o "1-1" \h \u </w:instrText>
      </w:r>
      <w:r>
        <w:rPr>
          <w:rFonts w:hint="default" w:ascii="Times New Roman" w:hAnsi="Times New Roman" w:eastAsia="宋体" w:cs="Times New Roman"/>
          <w:b w:val="0"/>
          <w:bCs w:val="0"/>
          <w:color w:val="auto"/>
          <w:sz w:val="24"/>
          <w:szCs w:val="24"/>
          <w:highlight w:val="none"/>
          <w:u w:val="none"/>
          <w:lang w:val="en-US" w:eastAsia="zh-CN"/>
        </w:rPr>
        <w:fldChar w:fldCharType="separate"/>
      </w: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_Toc9434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lang w:val="en-US" w:eastAsia="zh-CN"/>
        </w:rPr>
        <w:t>一、建设项目基本情况</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_Toc9434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1</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_Toc14136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lang w:val="en-US" w:eastAsia="zh-CN"/>
        </w:rPr>
        <w:t>二、建设项目工程分析</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_Toc14136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15</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_Toc8361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rPr>
        <w:t>三、区域环境质量现状、环境保护目标及评价标准</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_Toc8361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49</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_Toc826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rPr>
        <w:t>四、主要环境影响和保护措施</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_Toc826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58</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_Toc8890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rPr>
        <w:t>五、环境保护措施监督检查清单</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_Toc8890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96</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_Toc32091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lang w:val="en-US" w:eastAsia="zh-CN"/>
        </w:rPr>
        <w:t>六、结论</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_Toc32091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100</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_Toc27271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lang w:val="en-US" w:eastAsia="zh-CN"/>
        </w:rPr>
        <w:t>建设项目污染物排放量汇总表</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_Toc27271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101</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rFonts w:hint="default" w:ascii="Times New Roman" w:hAnsi="Times New Roman" w:eastAsia="黑体" w:cs="Times New Roman"/>
          <w:snapToGrid w:val="0"/>
          <w:color w:val="auto"/>
          <w:sz w:val="24"/>
          <w:szCs w:val="24"/>
          <w:highlight w:val="none"/>
        </w:rPr>
      </w:pPr>
      <w:r>
        <w:rPr>
          <w:rFonts w:hint="default" w:ascii="Times New Roman" w:hAnsi="Times New Roman" w:eastAsia="黑体" w:cs="Times New Roman"/>
          <w:snapToGrid w:val="0"/>
          <w:color w:val="auto"/>
          <w:sz w:val="24"/>
          <w:szCs w:val="24"/>
          <w:highlight w:val="none"/>
          <w:lang w:val="en-US" w:eastAsia="zh-CN"/>
        </w:rPr>
        <w:fldChar w:fldCharType="begin"/>
      </w:r>
      <w:r>
        <w:rPr>
          <w:rFonts w:hint="default" w:ascii="Times New Roman" w:hAnsi="Times New Roman" w:eastAsia="黑体" w:cs="Times New Roman"/>
          <w:snapToGrid w:val="0"/>
          <w:color w:val="auto"/>
          <w:sz w:val="24"/>
          <w:szCs w:val="24"/>
          <w:highlight w:val="none"/>
          <w:lang w:val="en-US" w:eastAsia="zh-CN"/>
        </w:rPr>
        <w:instrText xml:space="preserve"> HYPERLINK \l _Toc25196 </w:instrText>
      </w:r>
      <w:r>
        <w:rPr>
          <w:rFonts w:hint="default" w:ascii="Times New Roman" w:hAnsi="Times New Roman" w:eastAsia="黑体" w:cs="Times New Roman"/>
          <w:snapToGrid w:val="0"/>
          <w:color w:val="auto"/>
          <w:sz w:val="24"/>
          <w:szCs w:val="24"/>
          <w:highlight w:val="none"/>
          <w:lang w:val="en-US" w:eastAsia="zh-CN"/>
        </w:rPr>
        <w:fldChar w:fldCharType="separate"/>
      </w:r>
      <w:r>
        <w:rPr>
          <w:rFonts w:hint="default" w:ascii="Times New Roman" w:hAnsi="Times New Roman" w:eastAsia="黑体" w:cs="Times New Roman"/>
          <w:snapToGrid w:val="0"/>
          <w:color w:val="auto"/>
          <w:sz w:val="24"/>
          <w:szCs w:val="24"/>
          <w:highlight w:val="none"/>
          <w:lang w:val="en-US" w:eastAsia="zh-CN"/>
        </w:rPr>
        <w:t>湖南西姆西科技有限公司焊材制造改扩建项目环境风险专项评价</w:t>
      </w:r>
      <w:r>
        <w:rPr>
          <w:rFonts w:hint="default" w:ascii="Times New Roman" w:hAnsi="Times New Roman" w:eastAsia="黑体" w:cs="Times New Roman"/>
          <w:snapToGrid w:val="0"/>
          <w:color w:val="auto"/>
          <w:sz w:val="24"/>
          <w:szCs w:val="24"/>
          <w:highlight w:val="none"/>
        </w:rPr>
        <w:tab/>
      </w:r>
      <w:r>
        <w:rPr>
          <w:rFonts w:hint="default" w:ascii="Times New Roman" w:hAnsi="Times New Roman" w:eastAsia="黑体" w:cs="Times New Roman"/>
          <w:snapToGrid w:val="0"/>
          <w:color w:val="auto"/>
          <w:sz w:val="24"/>
          <w:szCs w:val="24"/>
          <w:highlight w:val="none"/>
        </w:rPr>
        <w:fldChar w:fldCharType="begin"/>
      </w:r>
      <w:r>
        <w:rPr>
          <w:rFonts w:hint="default" w:ascii="Times New Roman" w:hAnsi="Times New Roman" w:eastAsia="黑体" w:cs="Times New Roman"/>
          <w:snapToGrid w:val="0"/>
          <w:color w:val="auto"/>
          <w:sz w:val="24"/>
          <w:szCs w:val="24"/>
          <w:highlight w:val="none"/>
        </w:rPr>
        <w:instrText xml:space="preserve"> PAGEREF _Toc25196 \h </w:instrText>
      </w:r>
      <w:r>
        <w:rPr>
          <w:rFonts w:hint="default" w:ascii="Times New Roman" w:hAnsi="Times New Roman" w:eastAsia="黑体" w:cs="Times New Roman"/>
          <w:snapToGrid w:val="0"/>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103</w:t>
      </w:r>
      <w:r>
        <w:rPr>
          <w:rFonts w:hint="default" w:ascii="Times New Roman" w:hAnsi="Times New Roman" w:eastAsia="黑体" w:cs="Times New Roman"/>
          <w:snapToGrid w:val="0"/>
          <w:color w:val="auto"/>
          <w:sz w:val="24"/>
          <w:szCs w:val="24"/>
          <w:highlight w:val="none"/>
        </w:rPr>
        <w:fldChar w:fldCharType="end"/>
      </w:r>
      <w:r>
        <w:rPr>
          <w:rFonts w:hint="default" w:ascii="Times New Roman" w:hAnsi="Times New Roman" w:eastAsia="黑体" w:cs="Times New Roman"/>
          <w:snapToGrid w:val="0"/>
          <w:color w:val="auto"/>
          <w:sz w:val="24"/>
          <w:szCs w:val="24"/>
          <w:highlight w:val="none"/>
          <w:lang w:val="en-US" w:eastAsia="zh-CN"/>
        </w:rPr>
        <w:fldChar w:fldCharType="end"/>
      </w:r>
    </w:p>
    <w:p>
      <w:pPr>
        <w:pStyle w:val="20"/>
        <w:tabs>
          <w:tab w:val="right" w:leader="dot" w:pos="8306"/>
        </w:tabs>
        <w:rPr>
          <w:color w:val="auto"/>
          <w:sz w:val="24"/>
          <w:szCs w:val="24"/>
        </w:rPr>
      </w:pPr>
    </w:p>
    <w:p>
      <w:pPr>
        <w:pStyle w:val="56"/>
        <w:bidi w:val="0"/>
        <w:outlineLvl w:val="9"/>
        <w:rPr>
          <w:rFonts w:hint="default" w:ascii="Times New Roman" w:hAnsi="Times New Roman" w:eastAsia="宋体" w:cs="Times New Roman"/>
          <w:bCs w:val="0"/>
          <w:color w:val="auto"/>
          <w:sz w:val="24"/>
          <w:szCs w:val="24"/>
          <w:highlight w:val="none"/>
          <w:u w:val="none"/>
          <w:lang w:val="en-US" w:eastAsia="zh-CN"/>
        </w:rPr>
      </w:pPr>
      <w:r>
        <w:rPr>
          <w:rFonts w:hint="default" w:ascii="Times New Roman" w:hAnsi="Times New Roman" w:eastAsia="宋体" w:cs="Times New Roman"/>
          <w:bCs w:val="0"/>
          <w:color w:val="auto"/>
          <w:sz w:val="24"/>
          <w:szCs w:val="24"/>
          <w:highlight w:val="none"/>
          <w:u w:val="none"/>
          <w:lang w:val="en-US" w:eastAsia="zh-CN"/>
        </w:rPr>
        <w:fldChar w:fldCharType="end"/>
      </w:r>
      <w:bookmarkStart w:id="0" w:name="_Toc18524"/>
      <w:r>
        <w:rPr>
          <w:rFonts w:hint="eastAsia" w:cs="Times New Roman"/>
          <w:bCs w:val="0"/>
          <w:color w:val="auto"/>
          <w:sz w:val="24"/>
          <w:szCs w:val="24"/>
          <w:highlight w:val="none"/>
          <w:u w:val="none"/>
          <w:lang w:val="en-US" w:eastAsia="zh-CN"/>
        </w:rPr>
        <w:t>附件：</w:t>
      </w:r>
    </w:p>
    <w:p>
      <w:pPr>
        <w:pStyle w:val="56"/>
        <w:bidi w:val="0"/>
        <w:outlineLvl w:val="9"/>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附件1：委托书</w:t>
      </w:r>
      <w:bookmarkEnd w:id="0"/>
    </w:p>
    <w:p>
      <w:pPr>
        <w:pStyle w:val="56"/>
        <w:bidi w:val="0"/>
        <w:rPr>
          <w:rFonts w:hint="default"/>
          <w:b w:val="0"/>
          <w:bCs w:val="0"/>
          <w:color w:val="auto"/>
          <w:sz w:val="24"/>
          <w:szCs w:val="24"/>
          <w:highlight w:val="none"/>
          <w:u w:val="none"/>
          <w:lang w:val="en-US" w:eastAsia="zh-CN"/>
        </w:rPr>
      </w:pPr>
      <w:bookmarkStart w:id="1" w:name="_Toc3937"/>
      <w:r>
        <w:rPr>
          <w:rFonts w:hint="eastAsia"/>
          <w:b w:val="0"/>
          <w:bCs w:val="0"/>
          <w:color w:val="auto"/>
          <w:sz w:val="24"/>
          <w:szCs w:val="24"/>
          <w:highlight w:val="none"/>
          <w:u w:val="none"/>
          <w:lang w:val="en-US" w:eastAsia="zh-CN"/>
        </w:rPr>
        <w:t>附件2：营业执照</w:t>
      </w:r>
      <w:bookmarkEnd w:id="1"/>
      <w:r>
        <w:rPr>
          <w:rFonts w:hint="eastAsia"/>
          <w:b w:val="0"/>
          <w:bCs w:val="0"/>
          <w:color w:val="auto"/>
          <w:sz w:val="24"/>
          <w:szCs w:val="24"/>
          <w:highlight w:val="none"/>
          <w:u w:val="none"/>
          <w:lang w:val="en-US" w:eastAsia="zh-CN"/>
        </w:rPr>
        <w:t>和法人身份证</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附件3：现有环评批复（岳环评批〔2011〕101号）</w:t>
      </w:r>
    </w:p>
    <w:p>
      <w:pPr>
        <w:pStyle w:val="56"/>
        <w:bidi w:val="0"/>
        <w:rPr>
          <w:rFonts w:hint="default"/>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附件4：现有环评（变更）补充说明</w:t>
      </w:r>
    </w:p>
    <w:p>
      <w:pPr>
        <w:pStyle w:val="56"/>
        <w:bidi w:val="0"/>
        <w:rPr>
          <w:rFonts w:hint="default"/>
          <w:b w:val="0"/>
          <w:bCs w:val="0"/>
          <w:color w:val="auto"/>
          <w:sz w:val="24"/>
          <w:szCs w:val="24"/>
          <w:highlight w:val="none"/>
          <w:u w:val="none"/>
          <w:lang w:val="en-US" w:eastAsia="zh-CN"/>
        </w:rPr>
      </w:pPr>
      <w:r>
        <w:rPr>
          <w:rFonts w:hint="default"/>
          <w:b w:val="0"/>
          <w:bCs w:val="0"/>
          <w:color w:val="auto"/>
          <w:sz w:val="24"/>
          <w:szCs w:val="24"/>
          <w:highlight w:val="none"/>
          <w:u w:val="none"/>
          <w:lang w:val="en-US" w:eastAsia="zh-CN"/>
        </w:rPr>
        <w:t>附件5：环评（阶段性）验收意见</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附件6：湖南省生态环境厅关于《湘阴高新技术产业开发区调区扩区规划环境影响报告书》审查意见的函（湘环评函〔2022〕65号）</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附件7：排污权证</w:t>
      </w:r>
    </w:p>
    <w:p>
      <w:pPr>
        <w:pStyle w:val="56"/>
        <w:bidi w:val="0"/>
        <w:rPr>
          <w:rFonts w:hint="default"/>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附件8：排污许可证</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附件9：土地证明</w:t>
      </w:r>
    </w:p>
    <w:p>
      <w:pPr>
        <w:pStyle w:val="56"/>
        <w:bidi w:val="0"/>
        <w:rPr>
          <w:rFonts w:hint="default"/>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附件10：危废合同</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附件11：责令改正违法行为决定书</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附件12：自行监测报告</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附件13：环境质量检测报告</w:t>
      </w:r>
    </w:p>
    <w:p>
      <w:pPr>
        <w:pStyle w:val="56"/>
        <w:bidi w:val="0"/>
        <w:rPr>
          <w:rFonts w:hint="default"/>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附件14：污水接纳协议</w:t>
      </w:r>
    </w:p>
    <w:p>
      <w:pPr>
        <w:pStyle w:val="56"/>
        <w:bidi w:val="0"/>
        <w:rPr>
          <w:rFonts w:hint="eastAsia"/>
          <w:b w:val="0"/>
          <w:bCs w:val="0"/>
          <w:color w:val="auto"/>
          <w:sz w:val="24"/>
          <w:szCs w:val="24"/>
          <w:highlight w:val="none"/>
          <w:u w:val="single"/>
          <w:lang w:val="en-US" w:eastAsia="zh-CN"/>
        </w:rPr>
      </w:pPr>
      <w:r>
        <w:rPr>
          <w:rFonts w:hint="eastAsia"/>
          <w:b w:val="0"/>
          <w:bCs w:val="0"/>
          <w:color w:val="auto"/>
          <w:sz w:val="24"/>
          <w:szCs w:val="24"/>
          <w:highlight w:val="none"/>
          <w:u w:val="single"/>
          <w:lang w:val="en-US" w:eastAsia="zh-CN"/>
        </w:rPr>
        <w:t>附件15：关于取消原1万吨药芯焊丝和0.1万吨特种电焊条项目建设的报告</w:t>
      </w:r>
    </w:p>
    <w:p>
      <w:pPr>
        <w:pStyle w:val="56"/>
        <w:bidi w:val="0"/>
        <w:rPr>
          <w:rFonts w:hint="eastAsia"/>
          <w:b w:val="0"/>
          <w:bCs w:val="0"/>
          <w:color w:val="auto"/>
          <w:sz w:val="24"/>
          <w:szCs w:val="24"/>
          <w:highlight w:val="none"/>
          <w:u w:val="single"/>
          <w:lang w:val="en-US" w:eastAsia="zh-CN"/>
        </w:rPr>
      </w:pPr>
      <w:r>
        <w:rPr>
          <w:rFonts w:hint="eastAsia"/>
          <w:b w:val="0"/>
          <w:bCs w:val="0"/>
          <w:color w:val="auto"/>
          <w:sz w:val="24"/>
          <w:szCs w:val="24"/>
          <w:highlight w:val="none"/>
          <w:u w:val="single"/>
          <w:lang w:val="en-US" w:eastAsia="zh-CN"/>
        </w:rPr>
        <w:t>附件16：发改备案文件</w:t>
      </w:r>
    </w:p>
    <w:p>
      <w:pPr>
        <w:pStyle w:val="56"/>
        <w:bidi w:val="0"/>
        <w:rPr>
          <w:rFonts w:hint="eastAsia"/>
          <w:b w:val="0"/>
          <w:bCs w:val="0"/>
          <w:color w:val="auto"/>
          <w:sz w:val="24"/>
          <w:szCs w:val="24"/>
          <w:highlight w:val="none"/>
          <w:u w:val="single"/>
          <w:lang w:val="en-US" w:eastAsia="zh-CN"/>
        </w:rPr>
      </w:pPr>
      <w:r>
        <w:rPr>
          <w:rFonts w:hint="eastAsia"/>
          <w:b w:val="0"/>
          <w:bCs w:val="0"/>
          <w:color w:val="auto"/>
          <w:sz w:val="24"/>
          <w:szCs w:val="24"/>
          <w:highlight w:val="none"/>
          <w:u w:val="single"/>
          <w:lang w:val="en-US" w:eastAsia="zh-CN"/>
        </w:rPr>
        <w:t>附件17：专家意见及签到表</w:t>
      </w:r>
    </w:p>
    <w:p>
      <w:pPr>
        <w:pStyle w:val="56"/>
        <w:bidi w:val="0"/>
        <w:outlineLvl w:val="9"/>
        <w:rPr>
          <w:rFonts w:hint="eastAsia" w:cs="Times New Roman"/>
          <w:bCs w:val="0"/>
          <w:color w:val="auto"/>
          <w:sz w:val="24"/>
          <w:szCs w:val="24"/>
          <w:highlight w:val="none"/>
          <w:u w:val="none"/>
          <w:lang w:val="en-US" w:eastAsia="zh-CN"/>
        </w:rPr>
      </w:pPr>
    </w:p>
    <w:p>
      <w:pPr>
        <w:pStyle w:val="56"/>
        <w:bidi w:val="0"/>
        <w:outlineLvl w:val="9"/>
        <w:rPr>
          <w:rFonts w:hint="eastAsia" w:cs="Times New Roman"/>
          <w:bCs w:val="0"/>
          <w:color w:val="auto"/>
          <w:sz w:val="24"/>
          <w:szCs w:val="24"/>
          <w:highlight w:val="none"/>
          <w:u w:val="none"/>
          <w:lang w:val="en-US" w:eastAsia="zh-CN"/>
        </w:rPr>
      </w:pPr>
    </w:p>
    <w:p>
      <w:pPr>
        <w:pStyle w:val="56"/>
        <w:bidi w:val="0"/>
        <w:outlineLvl w:val="9"/>
        <w:rPr>
          <w:rFonts w:hint="eastAsia" w:cs="Times New Roman"/>
          <w:bCs w:val="0"/>
          <w:color w:val="auto"/>
          <w:sz w:val="24"/>
          <w:szCs w:val="24"/>
          <w:highlight w:val="none"/>
          <w:u w:val="none"/>
          <w:lang w:val="en-US" w:eastAsia="zh-CN"/>
        </w:rPr>
      </w:pPr>
    </w:p>
    <w:p>
      <w:pPr>
        <w:pStyle w:val="56"/>
        <w:bidi w:val="0"/>
        <w:outlineLvl w:val="9"/>
        <w:rPr>
          <w:rFonts w:hint="default" w:ascii="Times New Roman" w:hAnsi="Times New Roman" w:eastAsia="宋体" w:cs="Times New Roman"/>
          <w:bCs w:val="0"/>
          <w:color w:val="auto"/>
          <w:sz w:val="24"/>
          <w:szCs w:val="24"/>
          <w:highlight w:val="none"/>
          <w:u w:val="none"/>
          <w:lang w:val="en-US" w:eastAsia="zh-CN"/>
        </w:rPr>
      </w:pPr>
      <w:r>
        <w:rPr>
          <w:rFonts w:hint="eastAsia" w:cs="Times New Roman"/>
          <w:bCs w:val="0"/>
          <w:color w:val="auto"/>
          <w:sz w:val="24"/>
          <w:szCs w:val="24"/>
          <w:highlight w:val="none"/>
          <w:u w:val="none"/>
          <w:lang w:val="en-US" w:eastAsia="zh-CN"/>
        </w:rPr>
        <w:t>附图：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附图1：项目地理位置图</w:t>
      </w:r>
    </w:p>
    <w:p>
      <w:pPr>
        <w:pStyle w:val="56"/>
        <w:bidi w:val="0"/>
        <w:rPr>
          <w:rFonts w:hint="eastAsia"/>
          <w:b w:val="0"/>
          <w:bCs w:val="0"/>
          <w:color w:val="auto"/>
          <w:sz w:val="24"/>
          <w:szCs w:val="24"/>
          <w:highlight w:val="none"/>
          <w:u w:val="single"/>
          <w:lang w:val="en-US" w:eastAsia="zh-CN"/>
        </w:rPr>
      </w:pPr>
      <w:r>
        <w:rPr>
          <w:rFonts w:hint="default"/>
          <w:b w:val="0"/>
          <w:bCs w:val="0"/>
          <w:color w:val="auto"/>
          <w:sz w:val="24"/>
          <w:szCs w:val="24"/>
          <w:highlight w:val="none"/>
          <w:u w:val="single"/>
          <w:lang w:val="en-US" w:eastAsia="zh-CN"/>
        </w:rPr>
        <w:t>附图2</w:t>
      </w:r>
      <w:r>
        <w:rPr>
          <w:rFonts w:hint="eastAsia"/>
          <w:b w:val="0"/>
          <w:bCs w:val="0"/>
          <w:color w:val="auto"/>
          <w:sz w:val="24"/>
          <w:szCs w:val="24"/>
          <w:highlight w:val="none"/>
          <w:u w:val="single"/>
          <w:lang w:val="en-US" w:eastAsia="zh-CN"/>
        </w:rPr>
        <w:t>：项目总平面布置示意图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附图3：项目大气环境保护目标分布图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附图4：项目监测点位分布图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附图5：本项目与岳阳市生态环境管控图的位置关系图</w:t>
      </w:r>
    </w:p>
    <w:p>
      <w:pPr>
        <w:pStyle w:val="56"/>
        <w:bidi w:val="0"/>
        <w:rPr>
          <w:rFonts w:hint="default"/>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附图6：本项目与金龙片区产业布局规划图的位置关系图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附图7：水功能分布图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附图8：5km环境风险受体图</w:t>
      </w:r>
    </w:p>
    <w:p>
      <w:pPr>
        <w:pStyle w:val="56"/>
        <w:bidi w:val="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附图9：项目现场照片</w:t>
      </w:r>
    </w:p>
    <w:p>
      <w:pPr>
        <w:pStyle w:val="56"/>
        <w:bidi w:val="0"/>
        <w:rPr>
          <w:rFonts w:hint="default"/>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附图10：工程师现场勘查照片</w:t>
      </w:r>
    </w:p>
    <w:p>
      <w:pPr>
        <w:pStyle w:val="62"/>
        <w:bidi w:val="0"/>
        <w:ind w:left="0" w:leftChars="0" w:firstLine="0" w:firstLineChars="0"/>
        <w:rPr>
          <w:rFonts w:hint="default"/>
          <w:color w:val="auto"/>
          <w:highlight w:val="none"/>
          <w:u w:val="none"/>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eastAsia" w:ascii="黑体" w:hAnsi="黑体" w:eastAsia="黑体" w:cs="黑体"/>
          <w:color w:val="auto"/>
          <w:sz w:val="30"/>
          <w:szCs w:val="30"/>
          <w:highlight w:val="none"/>
          <w:u w:val="none"/>
          <w:vertAlign w:val="baseline"/>
          <w:lang w:val="en-US" w:eastAsia="zh-CN"/>
        </w:rPr>
      </w:pPr>
      <w:bookmarkStart w:id="2" w:name="_Toc9434"/>
      <w:r>
        <w:rPr>
          <w:rStyle w:val="31"/>
          <w:rFonts w:hint="eastAsia" w:ascii="黑体" w:hAnsi="黑体" w:eastAsia="黑体" w:cs="黑体"/>
          <w:color w:val="auto"/>
          <w:sz w:val="30"/>
          <w:szCs w:val="30"/>
          <w:highlight w:val="none"/>
          <w:u w:val="none"/>
          <w:lang w:val="en-US" w:eastAsia="zh-CN"/>
        </w:rPr>
        <w:t>一、建设项目基本情况</w:t>
      </w:r>
      <w:bookmarkEnd w:id="2"/>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35"/>
        <w:gridCol w:w="2943"/>
        <w:gridCol w:w="2008"/>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3" w:name="_Toc27220"/>
            <w:bookmarkStart w:id="4" w:name="_Toc15757"/>
            <w:bookmarkStart w:id="5" w:name="_Toc16223"/>
            <w:r>
              <w:rPr>
                <w:rFonts w:hint="default" w:ascii="Times New Roman" w:hAnsi="Times New Roman" w:eastAsia="宋体" w:cs="Times New Roman"/>
                <w:b/>
                <w:bCs/>
                <w:color w:val="auto"/>
                <w:sz w:val="24"/>
                <w:szCs w:val="24"/>
                <w:highlight w:val="none"/>
                <w:u w:val="none"/>
              </w:rPr>
              <w:t>建设项目名称</w:t>
            </w:r>
            <w:bookmarkEnd w:id="3"/>
            <w:bookmarkEnd w:id="4"/>
            <w:bookmarkEnd w:id="5"/>
          </w:p>
        </w:tc>
        <w:tc>
          <w:tcPr>
            <w:tcW w:w="8055" w:type="dxa"/>
            <w:gridSpan w:val="3"/>
            <w:vAlign w:val="center"/>
          </w:tcPr>
          <w:p>
            <w:pPr>
              <w:bidi w:val="0"/>
              <w:jc w:val="center"/>
              <w:rPr>
                <w:rStyle w:val="31"/>
                <w:rFonts w:hint="default" w:ascii="Times New Roman" w:hAnsi="Times New Roman" w:eastAsia="宋体" w:cs="Times New Roman"/>
                <w:color w:val="auto"/>
                <w:sz w:val="24"/>
                <w:szCs w:val="24"/>
                <w:highlight w:val="none"/>
                <w:u w:val="none"/>
                <w:vertAlign w:val="baseline"/>
                <w:lang w:val="en-US" w:eastAsia="zh-CN"/>
              </w:rPr>
            </w:pPr>
            <w:r>
              <w:rPr>
                <w:rStyle w:val="31"/>
                <w:rFonts w:hint="eastAsia" w:cs="Times New Roman"/>
                <w:color w:val="auto"/>
                <w:sz w:val="24"/>
                <w:szCs w:val="24"/>
                <w:highlight w:val="none"/>
                <w:u w:val="none"/>
                <w:vertAlign w:val="baseline"/>
                <w:lang w:val="en-US" w:eastAsia="zh-CN"/>
              </w:rPr>
              <w:t>湖南西姆西科技有限公司焊材制造改扩建项目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single"/>
                <w:vertAlign w:val="baseline"/>
                <w:lang w:val="en-US" w:eastAsia="zh-CN"/>
              </w:rPr>
            </w:pPr>
            <w:bookmarkStart w:id="6" w:name="_Toc22453"/>
            <w:bookmarkStart w:id="7" w:name="_Toc14453"/>
            <w:bookmarkStart w:id="8" w:name="_Toc3090"/>
            <w:r>
              <w:rPr>
                <w:rFonts w:hint="default" w:ascii="Times New Roman" w:hAnsi="Times New Roman" w:eastAsia="宋体" w:cs="Times New Roman"/>
                <w:b/>
                <w:bCs/>
                <w:color w:val="auto"/>
                <w:sz w:val="24"/>
                <w:szCs w:val="24"/>
                <w:highlight w:val="none"/>
                <w:u w:val="single"/>
              </w:rPr>
              <w:t>项目代码</w:t>
            </w:r>
            <w:bookmarkEnd w:id="6"/>
            <w:bookmarkEnd w:id="7"/>
            <w:bookmarkEnd w:id="8"/>
          </w:p>
        </w:tc>
        <w:tc>
          <w:tcPr>
            <w:tcW w:w="8055"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single"/>
                <w:vertAlign w:val="baseline"/>
                <w:lang w:val="en-US" w:eastAsia="zh-CN"/>
              </w:rPr>
            </w:pPr>
            <w:bookmarkStart w:id="9" w:name="_Toc6195"/>
            <w:bookmarkStart w:id="10" w:name="_Toc53"/>
            <w:r>
              <w:rPr>
                <w:rStyle w:val="31"/>
                <w:rFonts w:hint="eastAsia" w:cs="Times New Roman"/>
                <w:color w:val="auto"/>
                <w:sz w:val="24"/>
                <w:szCs w:val="24"/>
                <w:highlight w:val="none"/>
                <w:u w:val="single"/>
                <w:vertAlign w:val="baseline"/>
                <w:lang w:val="en-US" w:eastAsia="zh-CN"/>
              </w:rPr>
              <w:t>2212-430624-04-01-679600</w:t>
            </w:r>
            <w:bookmarkEnd w:id="9"/>
            <w:bookmarkEnd w:id="10"/>
            <w:r>
              <w:rPr>
                <w:rStyle w:val="31"/>
                <w:rFonts w:hint="eastAsia" w:cs="Times New Roman"/>
                <w:color w:val="auto"/>
                <w:sz w:val="24"/>
                <w:szCs w:val="24"/>
                <w:highlight w:val="none"/>
                <w:u w:val="single"/>
                <w:vertAlign w:val="baseline"/>
                <w:lang w:val="en-US" w:eastAsia="zh-CN"/>
              </w:rPr>
              <w:t>；2408-430624-04-05-915966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eastAsia="宋体" w:cs="Times New Roman"/>
                <w:b/>
                <w:bCs/>
                <w:color w:val="auto"/>
                <w:sz w:val="24"/>
                <w:szCs w:val="24"/>
                <w:highlight w:val="none"/>
                <w:u w:val="none"/>
                <w:lang w:val="en-US" w:eastAsia="zh-CN"/>
              </w:rPr>
            </w:pPr>
            <w:bookmarkStart w:id="11" w:name="_Toc9851"/>
            <w:bookmarkStart w:id="12" w:name="_Toc26914"/>
            <w:bookmarkStart w:id="13" w:name="_Toc3591"/>
            <w:r>
              <w:rPr>
                <w:rFonts w:hint="default" w:ascii="Times New Roman" w:hAnsi="Times New Roman" w:eastAsia="宋体" w:cs="Times New Roman"/>
                <w:b/>
                <w:bCs/>
                <w:color w:val="auto"/>
                <w:sz w:val="24"/>
                <w:szCs w:val="24"/>
                <w:highlight w:val="none"/>
                <w:u w:val="none"/>
                <w:lang w:val="en-US" w:eastAsia="zh-CN"/>
              </w:rPr>
              <w:t>建设单位联系人</w:t>
            </w:r>
            <w:bookmarkEnd w:id="11"/>
            <w:bookmarkEnd w:id="12"/>
            <w:bookmarkEnd w:id="13"/>
          </w:p>
        </w:tc>
        <w:tc>
          <w:tcPr>
            <w:tcW w:w="294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eastAsia" w:ascii="Times New Roman" w:hAnsi="Times New Roman" w:eastAsia="宋体" w:cs="Times New Roman"/>
                <w:color w:val="auto"/>
                <w:sz w:val="24"/>
                <w:szCs w:val="24"/>
                <w:highlight w:val="none"/>
                <w:u w:val="none"/>
                <w:vertAlign w:val="baseline"/>
                <w:lang w:val="en-US" w:eastAsia="zh-CN"/>
              </w:rPr>
            </w:pPr>
            <w:bookmarkStart w:id="14" w:name="_Toc29261"/>
            <w:r>
              <w:rPr>
                <w:rFonts w:hint="eastAsia"/>
                <w:color w:val="auto"/>
                <w:sz w:val="24"/>
                <w:szCs w:val="24"/>
                <w:u w:val="none"/>
                <w:lang w:val="en-US" w:eastAsia="zh-CN"/>
              </w:rPr>
              <w:t>聂*克</w:t>
            </w:r>
            <w:bookmarkEnd w:id="14"/>
          </w:p>
        </w:tc>
        <w:tc>
          <w:tcPr>
            <w:tcW w:w="2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15" w:name="_Toc15769"/>
            <w:bookmarkStart w:id="16" w:name="_Toc3273"/>
            <w:bookmarkStart w:id="17" w:name="_Toc1614"/>
            <w:r>
              <w:rPr>
                <w:rStyle w:val="31"/>
                <w:rFonts w:hint="default" w:ascii="Times New Roman" w:hAnsi="Times New Roman" w:eastAsia="宋体" w:cs="Times New Roman"/>
                <w:b/>
                <w:bCs/>
                <w:color w:val="auto"/>
                <w:sz w:val="24"/>
                <w:szCs w:val="24"/>
                <w:highlight w:val="none"/>
                <w:u w:val="none"/>
                <w:vertAlign w:val="baseline"/>
                <w:lang w:val="en-US" w:eastAsia="zh-CN"/>
              </w:rPr>
              <w:t>联系方式</w:t>
            </w:r>
            <w:bookmarkEnd w:id="15"/>
            <w:bookmarkEnd w:id="16"/>
            <w:bookmarkEnd w:id="17"/>
          </w:p>
        </w:tc>
        <w:tc>
          <w:tcPr>
            <w:tcW w:w="31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18" w:name="_Toc22339"/>
            <w:r>
              <w:rPr>
                <w:rStyle w:val="31"/>
                <w:rFonts w:hint="default" w:ascii="Times New Roman" w:hAnsi="Times New Roman" w:eastAsia="宋体" w:cs="Times New Roman"/>
                <w:color w:val="auto"/>
                <w:sz w:val="24"/>
                <w:szCs w:val="24"/>
                <w:highlight w:val="none"/>
                <w:u w:val="none"/>
                <w:vertAlign w:val="baseline"/>
                <w:lang w:val="en-US" w:eastAsia="zh-CN"/>
              </w:rPr>
              <w:t>151</w:t>
            </w:r>
            <w:r>
              <w:rPr>
                <w:rStyle w:val="31"/>
                <w:rFonts w:hint="eastAsia" w:cs="Times New Roman"/>
                <w:color w:val="auto"/>
                <w:sz w:val="24"/>
                <w:szCs w:val="24"/>
                <w:highlight w:val="none"/>
                <w:u w:val="none"/>
                <w:vertAlign w:val="baseline"/>
                <w:lang w:val="en-US" w:eastAsia="zh-CN"/>
              </w:rPr>
              <w:t>****</w:t>
            </w:r>
            <w:r>
              <w:rPr>
                <w:rStyle w:val="31"/>
                <w:rFonts w:hint="default" w:ascii="Times New Roman" w:hAnsi="Times New Roman" w:eastAsia="宋体" w:cs="Times New Roman"/>
                <w:color w:val="auto"/>
                <w:sz w:val="24"/>
                <w:szCs w:val="24"/>
                <w:highlight w:val="none"/>
                <w:u w:val="none"/>
                <w:vertAlign w:val="baseline"/>
                <w:lang w:val="en-US" w:eastAsia="zh-CN"/>
              </w:rPr>
              <w:t>9048</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建设地点</w:t>
            </w:r>
          </w:p>
        </w:tc>
        <w:tc>
          <w:tcPr>
            <w:tcW w:w="8055" w:type="dxa"/>
            <w:gridSpan w:val="3"/>
            <w:vAlign w:val="center"/>
          </w:tcPr>
          <w:p>
            <w:pPr>
              <w:adjustRightInd w:val="0"/>
              <w:snapToGrid w:val="0"/>
              <w:jc w:val="center"/>
              <w:rPr>
                <w:rStyle w:val="31"/>
                <w:rFonts w:hint="default" w:ascii="Times New Roman" w:hAnsi="Times New Roman" w:eastAsia="宋体" w:cs="Times New Roman"/>
                <w:color w:val="auto"/>
                <w:sz w:val="24"/>
                <w:szCs w:val="24"/>
                <w:highlight w:val="none"/>
                <w:u w:val="none"/>
                <w:vertAlign w:val="baseline"/>
                <w:lang w:val="en-US" w:eastAsia="zh-CN"/>
              </w:rPr>
            </w:pPr>
            <w:r>
              <w:rPr>
                <w:color w:val="auto"/>
                <w:sz w:val="24"/>
                <w:szCs w:val="24"/>
                <w:highlight w:val="none"/>
                <w:u w:val="single" w:color="auto"/>
              </w:rPr>
              <w:t>湖南</w:t>
            </w:r>
            <w:r>
              <w:rPr>
                <w:color w:val="auto"/>
                <w:sz w:val="24"/>
                <w:szCs w:val="24"/>
                <w:highlight w:val="none"/>
                <w:u w:val="none" w:color="auto"/>
              </w:rPr>
              <w:t>省</w:t>
            </w:r>
            <w:r>
              <w:rPr>
                <w:rFonts w:hint="eastAsia"/>
                <w:color w:val="auto"/>
                <w:sz w:val="24"/>
                <w:szCs w:val="24"/>
                <w:highlight w:val="none"/>
                <w:u w:val="single" w:color="auto"/>
                <w:lang w:eastAsia="zh-CN"/>
              </w:rPr>
              <w:t>岳阳</w:t>
            </w:r>
            <w:r>
              <w:rPr>
                <w:color w:val="auto"/>
                <w:sz w:val="24"/>
                <w:szCs w:val="24"/>
                <w:highlight w:val="none"/>
                <w:u w:val="none" w:color="auto"/>
              </w:rPr>
              <w:t>市</w:t>
            </w:r>
            <w:r>
              <w:rPr>
                <w:rFonts w:hint="eastAsia"/>
                <w:color w:val="auto"/>
                <w:sz w:val="24"/>
                <w:szCs w:val="24"/>
                <w:highlight w:val="none"/>
                <w:u w:val="single" w:color="auto"/>
                <w:lang w:eastAsia="zh-CN"/>
              </w:rPr>
              <w:t>湘阴高新技术产业开发区金龙片区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地理坐标</w:t>
            </w:r>
          </w:p>
        </w:tc>
        <w:tc>
          <w:tcPr>
            <w:tcW w:w="8055" w:type="dxa"/>
            <w:gridSpan w:val="3"/>
            <w:vAlign w:val="center"/>
          </w:tcPr>
          <w:p>
            <w:pPr>
              <w:jc w:val="center"/>
              <w:rPr>
                <w:rStyle w:val="31"/>
                <w:rFonts w:hint="default" w:ascii="Times New Roman" w:hAnsi="Times New Roman" w:eastAsia="宋体" w:cs="Times New Roman"/>
                <w:color w:val="auto"/>
                <w:sz w:val="24"/>
                <w:szCs w:val="24"/>
                <w:highlight w:val="none"/>
                <w:u w:val="none"/>
                <w:vertAlign w:val="baseline"/>
                <w:lang w:val="en-US" w:eastAsia="zh-CN"/>
              </w:rPr>
            </w:pPr>
            <w:r>
              <w:rPr>
                <w:color w:val="auto"/>
                <w:sz w:val="24"/>
                <w:szCs w:val="24"/>
                <w:highlight w:val="none"/>
                <w:u w:val="none" w:color="auto"/>
              </w:rPr>
              <w:t>（</w:t>
            </w:r>
            <w:r>
              <w:rPr>
                <w:color w:val="auto"/>
                <w:sz w:val="24"/>
                <w:szCs w:val="24"/>
                <w:highlight w:val="none"/>
                <w:u w:val="single" w:color="auto"/>
              </w:rPr>
              <w:t>11</w:t>
            </w:r>
            <w:r>
              <w:rPr>
                <w:rFonts w:hint="eastAsia"/>
                <w:color w:val="auto"/>
                <w:sz w:val="24"/>
                <w:szCs w:val="24"/>
                <w:highlight w:val="none"/>
                <w:u w:val="single" w:color="auto"/>
                <w:lang w:val="en-US" w:eastAsia="zh-CN"/>
              </w:rPr>
              <w:t>2</w:t>
            </w:r>
            <w:r>
              <w:rPr>
                <w:color w:val="auto"/>
                <w:sz w:val="24"/>
                <w:szCs w:val="24"/>
                <w:highlight w:val="none"/>
                <w:u w:val="none" w:color="auto"/>
              </w:rPr>
              <w:t>度</w:t>
            </w:r>
            <w:r>
              <w:rPr>
                <w:rFonts w:hint="eastAsia"/>
                <w:color w:val="auto"/>
                <w:sz w:val="24"/>
                <w:szCs w:val="24"/>
                <w:highlight w:val="none"/>
                <w:u w:val="single" w:color="auto"/>
                <w:lang w:val="en-US" w:eastAsia="zh-CN"/>
              </w:rPr>
              <w:t>55</w:t>
            </w:r>
            <w:r>
              <w:rPr>
                <w:color w:val="auto"/>
                <w:sz w:val="24"/>
                <w:szCs w:val="24"/>
                <w:highlight w:val="none"/>
                <w:u w:val="none" w:color="auto"/>
              </w:rPr>
              <w:t>分</w:t>
            </w:r>
            <w:r>
              <w:rPr>
                <w:rFonts w:hint="eastAsia"/>
                <w:color w:val="auto"/>
                <w:sz w:val="24"/>
                <w:szCs w:val="24"/>
                <w:highlight w:val="none"/>
                <w:u w:val="single" w:color="auto"/>
                <w:lang w:val="en-US" w:eastAsia="zh-CN"/>
              </w:rPr>
              <w:t>44.590</w:t>
            </w:r>
            <w:r>
              <w:rPr>
                <w:color w:val="auto"/>
                <w:sz w:val="24"/>
                <w:szCs w:val="24"/>
                <w:highlight w:val="none"/>
                <w:u w:val="none" w:color="auto"/>
              </w:rPr>
              <w:t>秒，</w:t>
            </w:r>
            <w:r>
              <w:rPr>
                <w:color w:val="auto"/>
                <w:sz w:val="24"/>
                <w:szCs w:val="24"/>
                <w:highlight w:val="none"/>
                <w:u w:val="single" w:color="auto"/>
              </w:rPr>
              <w:t>2</w:t>
            </w:r>
            <w:r>
              <w:rPr>
                <w:rFonts w:hint="eastAsia"/>
                <w:color w:val="auto"/>
                <w:sz w:val="24"/>
                <w:szCs w:val="24"/>
                <w:highlight w:val="none"/>
                <w:u w:val="single" w:color="auto"/>
                <w:lang w:val="en-US" w:eastAsia="zh-CN"/>
              </w:rPr>
              <w:t>8</w:t>
            </w:r>
            <w:r>
              <w:rPr>
                <w:color w:val="auto"/>
                <w:sz w:val="24"/>
                <w:szCs w:val="24"/>
                <w:highlight w:val="none"/>
                <w:u w:val="none" w:color="auto"/>
              </w:rPr>
              <w:t>度</w:t>
            </w:r>
            <w:r>
              <w:rPr>
                <w:rFonts w:hint="eastAsia"/>
                <w:color w:val="auto"/>
                <w:sz w:val="24"/>
                <w:szCs w:val="24"/>
                <w:highlight w:val="none"/>
                <w:u w:val="single" w:color="auto"/>
                <w:lang w:val="en-US" w:eastAsia="zh-CN"/>
              </w:rPr>
              <w:t>31</w:t>
            </w:r>
            <w:r>
              <w:rPr>
                <w:color w:val="auto"/>
                <w:sz w:val="24"/>
                <w:szCs w:val="24"/>
                <w:highlight w:val="none"/>
                <w:u w:val="none" w:color="auto"/>
              </w:rPr>
              <w:t>分</w:t>
            </w:r>
            <w:r>
              <w:rPr>
                <w:rFonts w:hint="eastAsia"/>
                <w:color w:val="auto"/>
                <w:sz w:val="24"/>
                <w:szCs w:val="24"/>
                <w:highlight w:val="none"/>
                <w:u w:val="single" w:color="auto"/>
                <w:lang w:val="en-US" w:eastAsia="zh-CN"/>
              </w:rPr>
              <w:t>55.825</w:t>
            </w:r>
            <w:r>
              <w:rPr>
                <w:color w:val="auto"/>
                <w:sz w:val="24"/>
                <w:szCs w:val="24"/>
                <w:highlight w:val="none"/>
                <w:u w:val="none" w:color="auto"/>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国民经济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行业类别</w:t>
            </w:r>
          </w:p>
        </w:tc>
        <w:tc>
          <w:tcPr>
            <w:tcW w:w="29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Style w:val="31"/>
                <w:rFonts w:hint="eastAsia" w:cs="Times New Roman"/>
                <w:color w:val="auto"/>
                <w:sz w:val="24"/>
                <w:szCs w:val="24"/>
                <w:highlight w:val="none"/>
                <w:u w:val="none"/>
                <w:vertAlign w:val="baseline"/>
                <w:lang w:val="en-US" w:eastAsia="zh-CN"/>
              </w:rPr>
            </w:pPr>
            <w:bookmarkStart w:id="19" w:name="_Toc18378"/>
            <w:r>
              <w:rPr>
                <w:rStyle w:val="31"/>
                <w:rFonts w:hint="eastAsia" w:cs="Times New Roman"/>
                <w:color w:val="auto"/>
                <w:sz w:val="24"/>
                <w:szCs w:val="24"/>
                <w:highlight w:val="none"/>
                <w:u w:val="none"/>
                <w:vertAlign w:val="baseline"/>
                <w:lang w:val="en-US" w:eastAsia="zh-CN"/>
              </w:rPr>
              <w:t>C3360金属表面处理及热处理加工；</w:t>
            </w:r>
            <w:bookmarkEnd w:id="19"/>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Style w:val="31"/>
                <w:rFonts w:hint="eastAsia" w:cs="Times New Roman"/>
                <w:color w:val="auto"/>
                <w:sz w:val="24"/>
                <w:szCs w:val="24"/>
                <w:highlight w:val="none"/>
                <w:u w:val="none"/>
                <w:vertAlign w:val="baseline"/>
                <w:lang w:val="en-US" w:eastAsia="zh-CN"/>
              </w:rPr>
            </w:pPr>
            <w:bookmarkStart w:id="20" w:name="_Toc27925"/>
            <w:r>
              <w:rPr>
                <w:rStyle w:val="31"/>
                <w:rFonts w:hint="eastAsia" w:cs="Times New Roman"/>
                <w:color w:val="auto"/>
                <w:sz w:val="24"/>
                <w:szCs w:val="24"/>
                <w:highlight w:val="none"/>
                <w:u w:val="none"/>
                <w:vertAlign w:val="baseline"/>
                <w:lang w:val="en-US" w:eastAsia="zh-CN"/>
              </w:rPr>
              <w:t>C3399其他未列明金属制品制造；</w:t>
            </w:r>
            <w:bookmarkEnd w:id="20"/>
          </w:p>
          <w:p>
            <w:pPr>
              <w:pStyle w:val="28"/>
              <w:keepNext w:val="0"/>
              <w:keepLines w:val="0"/>
              <w:pageBreakBefore w:val="0"/>
              <w:widowControl w:val="0"/>
              <w:kinsoku/>
              <w:wordWrap/>
              <w:overflowPunct/>
              <w:topLinePunct w:val="0"/>
              <w:autoSpaceDE/>
              <w:autoSpaceDN/>
              <w:bidi w:val="0"/>
              <w:spacing w:before="0" w:after="0" w:line="240" w:lineRule="auto"/>
              <w:ind w:firstLine="0"/>
              <w:textAlignment w:val="auto"/>
              <w:rPr>
                <w:rStyle w:val="31"/>
                <w:rFonts w:hint="eastAsia" w:cs="Times New Roman"/>
                <w:color w:val="auto"/>
                <w:sz w:val="24"/>
                <w:szCs w:val="24"/>
                <w:highlight w:val="none"/>
                <w:u w:val="none"/>
                <w:vertAlign w:val="baseline"/>
                <w:lang w:val="en-US" w:eastAsia="zh-CN"/>
              </w:rPr>
            </w:pPr>
            <w:r>
              <w:rPr>
                <w:rStyle w:val="31"/>
                <w:rFonts w:hint="eastAsia" w:cs="Times New Roman"/>
                <w:color w:val="auto"/>
                <w:sz w:val="24"/>
                <w:szCs w:val="24"/>
                <w:highlight w:val="none"/>
                <w:u w:val="none"/>
                <w:vertAlign w:val="baseline"/>
                <w:lang w:val="en-US" w:eastAsia="zh-CN"/>
              </w:rPr>
              <w:t>C2922塑料板、管、型材制造</w:t>
            </w:r>
          </w:p>
          <w:p>
            <w:pPr>
              <w:keepNext w:val="0"/>
              <w:keepLines w:val="0"/>
              <w:pageBreakBefore w:val="0"/>
              <w:widowControl w:val="0"/>
              <w:kinsoku/>
              <w:wordWrap/>
              <w:overflowPunct/>
              <w:topLinePunct w:val="0"/>
              <w:autoSpaceDE/>
              <w:autoSpaceDN/>
              <w:bidi w:val="0"/>
              <w:spacing w:line="240" w:lineRule="auto"/>
              <w:textAlignment w:val="auto"/>
              <w:rPr>
                <w:rFonts w:hint="default"/>
                <w:color w:val="auto"/>
                <w:highlight w:val="none"/>
                <w:lang w:val="en-US" w:eastAsia="zh-CN"/>
              </w:rPr>
            </w:pPr>
            <w:r>
              <w:rPr>
                <w:rStyle w:val="31"/>
                <w:rFonts w:hint="eastAsia" w:cs="Times New Roman"/>
                <w:color w:val="auto"/>
                <w:sz w:val="24"/>
                <w:szCs w:val="24"/>
                <w:highlight w:val="none"/>
                <w:u w:val="single"/>
                <w:vertAlign w:val="baseline"/>
                <w:lang w:val="en-US" w:eastAsia="zh-CN"/>
              </w:rPr>
              <w:t>C2669其他专用化学产品制造</w:t>
            </w:r>
          </w:p>
        </w:tc>
        <w:tc>
          <w:tcPr>
            <w:tcW w:w="200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21" w:name="_Toc19009"/>
            <w:bookmarkStart w:id="22" w:name="_Toc22940"/>
            <w:bookmarkStart w:id="23" w:name="_Toc6422"/>
            <w:r>
              <w:rPr>
                <w:rStyle w:val="31"/>
                <w:rFonts w:hint="default" w:ascii="Times New Roman" w:hAnsi="Times New Roman" w:eastAsia="宋体" w:cs="Times New Roman"/>
                <w:b/>
                <w:bCs/>
                <w:color w:val="auto"/>
                <w:sz w:val="24"/>
                <w:szCs w:val="24"/>
                <w:highlight w:val="none"/>
                <w:u w:val="none"/>
                <w:vertAlign w:val="baseline"/>
                <w:lang w:val="en-US" w:eastAsia="zh-CN"/>
              </w:rPr>
              <w:t>建设项目</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24" w:name="_Toc30341"/>
            <w:bookmarkStart w:id="25" w:name="_Toc2920"/>
            <w:bookmarkStart w:id="26" w:name="_Toc23434"/>
            <w:r>
              <w:rPr>
                <w:rStyle w:val="31"/>
                <w:rFonts w:hint="default" w:ascii="Times New Roman" w:hAnsi="Times New Roman" w:eastAsia="宋体" w:cs="Times New Roman"/>
                <w:b/>
                <w:bCs/>
                <w:color w:val="auto"/>
                <w:sz w:val="24"/>
                <w:szCs w:val="24"/>
                <w:highlight w:val="none"/>
                <w:u w:val="none"/>
                <w:vertAlign w:val="baseline"/>
                <w:lang w:val="en-US" w:eastAsia="zh-CN"/>
              </w:rPr>
              <w:t>行业类别</w:t>
            </w:r>
            <w:bookmarkEnd w:id="24"/>
            <w:bookmarkEnd w:id="25"/>
            <w:bookmarkEnd w:id="26"/>
          </w:p>
        </w:tc>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Style w:val="31"/>
                <w:rFonts w:hint="eastAsia" w:cs="Times New Roman"/>
                <w:color w:val="auto"/>
                <w:sz w:val="24"/>
                <w:szCs w:val="24"/>
                <w:highlight w:val="none"/>
                <w:u w:val="none"/>
                <w:vertAlign w:val="baseline"/>
                <w:lang w:val="en-US" w:eastAsia="zh-CN"/>
              </w:rPr>
            </w:pPr>
            <w:bookmarkStart w:id="27" w:name="_Toc26006"/>
            <w:r>
              <w:rPr>
                <w:rStyle w:val="31"/>
                <w:rFonts w:hint="eastAsia" w:cs="Times New Roman"/>
                <w:color w:val="auto"/>
                <w:sz w:val="24"/>
                <w:szCs w:val="24"/>
                <w:highlight w:val="none"/>
                <w:u w:val="none"/>
                <w:vertAlign w:val="baseline"/>
                <w:lang w:val="en-US" w:eastAsia="zh-CN"/>
              </w:rPr>
              <w:t>三十、金属制品业33，67.金属表面处理及热处理加工和68.铸造及其他金属制品制造中其他；</w:t>
            </w:r>
            <w:bookmarkEnd w:id="27"/>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Style w:val="31"/>
                <w:color w:val="auto"/>
                <w:kern w:val="2"/>
                <w:sz w:val="24"/>
                <w:highlight w:val="none"/>
                <w:u w:val="none"/>
              </w:rPr>
            </w:pPr>
            <w:r>
              <w:rPr>
                <w:rStyle w:val="31"/>
                <w:color w:val="auto"/>
                <w:kern w:val="2"/>
                <w:sz w:val="24"/>
                <w:highlight w:val="none"/>
                <w:u w:val="none"/>
              </w:rPr>
              <w:t>二十六、橡胶和塑料制品业29，塑料制品业292中其他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eastAsia="宋体"/>
                <w:color w:val="auto"/>
                <w:highlight w:val="none"/>
                <w:lang w:val="en-US" w:eastAsia="zh-CN"/>
              </w:rPr>
            </w:pPr>
            <w:r>
              <w:rPr>
                <w:rStyle w:val="31"/>
                <w:rFonts w:hint="eastAsia"/>
                <w:color w:val="auto"/>
                <w:kern w:val="2"/>
                <w:sz w:val="24"/>
                <w:highlight w:val="none"/>
                <w:u w:val="single"/>
                <w:lang w:eastAsia="zh-CN"/>
              </w:rPr>
              <w:t>二十三、专用化学产品制造</w:t>
            </w:r>
            <w:r>
              <w:rPr>
                <w:rStyle w:val="31"/>
                <w:rFonts w:hint="eastAsia"/>
                <w:color w:val="auto"/>
                <w:kern w:val="2"/>
                <w:sz w:val="24"/>
                <w:highlight w:val="none"/>
                <w:u w:val="single"/>
                <w:lang w:val="en-US" w:eastAsia="zh-CN"/>
              </w:rPr>
              <w:t>266中单纯物理分离、物理提纯、混合、分装的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建设性质</w:t>
            </w:r>
          </w:p>
        </w:tc>
        <w:tc>
          <w:tcPr>
            <w:tcW w:w="2943" w:type="dxa"/>
            <w:vAlign w:val="center"/>
          </w:tcPr>
          <w:p>
            <w:pPr>
              <w:spacing w:line="240" w:lineRule="auto"/>
              <w:jc w:val="left"/>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sym w:font="Wingdings 2" w:char="00A3"/>
            </w:r>
            <w:r>
              <w:rPr>
                <w:rFonts w:hint="default" w:ascii="Times New Roman" w:hAnsi="Times New Roman" w:cs="Times New Roman"/>
                <w:b w:val="0"/>
                <w:bCs w:val="0"/>
                <w:color w:val="auto"/>
                <w:sz w:val="24"/>
                <w:szCs w:val="24"/>
                <w:highlight w:val="none"/>
                <w:u w:val="none"/>
              </w:rPr>
              <w:t>新建（迁建）</w:t>
            </w:r>
          </w:p>
          <w:p>
            <w:pPr>
              <w:spacing w:line="240" w:lineRule="auto"/>
              <w:jc w:val="left"/>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sym w:font="Wingdings 2" w:char="0052"/>
            </w:r>
            <w:r>
              <w:rPr>
                <w:rFonts w:hint="default" w:ascii="Times New Roman" w:hAnsi="Times New Roman" w:cs="Times New Roman"/>
                <w:b w:val="0"/>
                <w:bCs w:val="0"/>
                <w:color w:val="auto"/>
                <w:sz w:val="24"/>
                <w:szCs w:val="24"/>
                <w:highlight w:val="none"/>
                <w:u w:val="none"/>
              </w:rPr>
              <w:t>改建</w:t>
            </w:r>
          </w:p>
          <w:p>
            <w:pPr>
              <w:spacing w:line="240" w:lineRule="auto"/>
              <w:jc w:val="left"/>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sym w:font="Wingdings 2" w:char="0052"/>
            </w:r>
            <w:r>
              <w:rPr>
                <w:rFonts w:hint="default" w:ascii="Times New Roman" w:hAnsi="Times New Roman" w:cs="Times New Roman"/>
                <w:b w:val="0"/>
                <w:bCs w:val="0"/>
                <w:color w:val="auto"/>
                <w:sz w:val="24"/>
                <w:szCs w:val="24"/>
                <w:highlight w:val="none"/>
                <w:u w:val="none"/>
              </w:rPr>
              <w:t>扩建</w:t>
            </w:r>
          </w:p>
          <w:p>
            <w:pPr>
              <w:spacing w:line="240" w:lineRule="auto"/>
              <w:jc w:val="left"/>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cs="Times New Roman"/>
                <w:b w:val="0"/>
                <w:bCs w:val="0"/>
                <w:color w:val="auto"/>
                <w:sz w:val="24"/>
                <w:szCs w:val="24"/>
                <w:highlight w:val="none"/>
                <w:u w:val="none"/>
              </w:rPr>
              <w:sym w:font="Wingdings 2" w:char="00A3"/>
            </w:r>
            <w:r>
              <w:rPr>
                <w:rFonts w:hint="default" w:ascii="Times New Roman" w:hAnsi="Times New Roman" w:cs="Times New Roman"/>
                <w:b w:val="0"/>
                <w:bCs w:val="0"/>
                <w:color w:val="auto"/>
                <w:sz w:val="24"/>
                <w:szCs w:val="24"/>
                <w:highlight w:val="none"/>
                <w:u w:val="none"/>
              </w:rPr>
              <w:t>技术改造</w:t>
            </w:r>
          </w:p>
        </w:tc>
        <w:tc>
          <w:tcPr>
            <w:tcW w:w="2008" w:type="dxa"/>
            <w:vAlign w:val="center"/>
          </w:tcPr>
          <w:p>
            <w:pPr>
              <w:adjustRightInd w:val="0"/>
              <w:snapToGrid w:val="0"/>
              <w:spacing w:line="240" w:lineRule="auto"/>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建设项目</w:t>
            </w:r>
          </w:p>
          <w:p>
            <w:pPr>
              <w:adjustRightInd w:val="0"/>
              <w:snapToGrid w:val="0"/>
              <w:spacing w:line="240" w:lineRule="auto"/>
              <w:jc w:val="center"/>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cs="Times New Roman"/>
                <w:b/>
                <w:bCs/>
                <w:color w:val="auto"/>
                <w:sz w:val="24"/>
                <w:szCs w:val="24"/>
                <w:highlight w:val="none"/>
                <w:u w:val="none"/>
              </w:rPr>
              <w:t>申报情形</w:t>
            </w:r>
          </w:p>
        </w:tc>
        <w:tc>
          <w:tcPr>
            <w:tcW w:w="3104" w:type="dxa"/>
            <w:vAlign w:val="center"/>
          </w:tcPr>
          <w:p>
            <w:pPr>
              <w:spacing w:line="240" w:lineRule="auto"/>
              <w:jc w:val="left"/>
              <w:rPr>
                <w:rFonts w:hint="default" w:ascii="Times New Roman" w:hAnsi="Times New Roman" w:eastAsia="宋体" w:cs="Times New Roman"/>
                <w:b w:val="0"/>
                <w:bCs w:val="0"/>
                <w:color w:val="auto"/>
                <w:sz w:val="24"/>
                <w:szCs w:val="24"/>
                <w:highlight w:val="none"/>
                <w:u w:val="none"/>
                <w:lang w:eastAsia="zh-CN"/>
              </w:rPr>
            </w:pPr>
            <w:r>
              <w:rPr>
                <w:rFonts w:hint="default" w:ascii="Times New Roman" w:hAnsi="Times New Roman" w:cs="Times New Roman"/>
                <w:b w:val="0"/>
                <w:bCs w:val="0"/>
                <w:color w:val="auto"/>
                <w:sz w:val="24"/>
                <w:szCs w:val="24"/>
                <w:highlight w:val="none"/>
                <w:u w:val="none"/>
              </w:rPr>
              <w:sym w:font="Wingdings 2" w:char="0052"/>
            </w:r>
            <w:r>
              <w:rPr>
                <w:rFonts w:hint="default" w:ascii="Times New Roman" w:hAnsi="Times New Roman" w:cs="Times New Roman"/>
                <w:b w:val="0"/>
                <w:bCs w:val="0"/>
                <w:color w:val="auto"/>
                <w:sz w:val="24"/>
                <w:szCs w:val="24"/>
                <w:highlight w:val="none"/>
                <w:u w:val="none"/>
              </w:rPr>
              <w:t>首次申报项目</w:t>
            </w:r>
          </w:p>
          <w:p>
            <w:pPr>
              <w:spacing w:line="240" w:lineRule="auto"/>
              <w:jc w:val="left"/>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sym w:font="Wingdings 2" w:char="00A3"/>
            </w:r>
            <w:r>
              <w:rPr>
                <w:rFonts w:hint="default" w:ascii="Times New Roman" w:hAnsi="Times New Roman" w:cs="Times New Roman"/>
                <w:b w:val="0"/>
                <w:bCs w:val="0"/>
                <w:color w:val="auto"/>
                <w:sz w:val="24"/>
                <w:szCs w:val="24"/>
                <w:highlight w:val="none"/>
                <w:u w:val="none"/>
              </w:rPr>
              <w:t>不予批准后再次申报项目</w:t>
            </w:r>
          </w:p>
          <w:p>
            <w:pPr>
              <w:spacing w:line="240" w:lineRule="auto"/>
              <w:jc w:val="left"/>
              <w:rPr>
                <w:rFonts w:hint="default" w:ascii="Times New Roman" w:hAnsi="Times New Roman" w:eastAsia="宋体" w:cs="Times New Roman"/>
                <w:b w:val="0"/>
                <w:bCs w:val="0"/>
                <w:color w:val="auto"/>
                <w:sz w:val="24"/>
                <w:szCs w:val="24"/>
                <w:highlight w:val="none"/>
                <w:u w:val="none"/>
                <w:lang w:eastAsia="zh-CN"/>
              </w:rPr>
            </w:pPr>
            <w:r>
              <w:rPr>
                <w:rFonts w:hint="default" w:ascii="Times New Roman" w:hAnsi="Times New Roman" w:cs="Times New Roman"/>
                <w:b w:val="0"/>
                <w:bCs w:val="0"/>
                <w:color w:val="auto"/>
                <w:sz w:val="24"/>
                <w:szCs w:val="24"/>
                <w:highlight w:val="none"/>
                <w:u w:val="none"/>
              </w:rPr>
              <w:sym w:font="Wingdings 2" w:char="00A3"/>
            </w:r>
            <w:r>
              <w:rPr>
                <w:rFonts w:hint="default" w:ascii="Times New Roman" w:hAnsi="Times New Roman" w:cs="Times New Roman"/>
                <w:b w:val="0"/>
                <w:bCs w:val="0"/>
                <w:color w:val="auto"/>
                <w:sz w:val="24"/>
                <w:szCs w:val="24"/>
                <w:highlight w:val="none"/>
                <w:u w:val="none"/>
              </w:rPr>
              <w:t>超五年重新审核项目</w:t>
            </w:r>
          </w:p>
          <w:p>
            <w:pPr>
              <w:spacing w:line="240" w:lineRule="auto"/>
              <w:jc w:val="left"/>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cs="Times New Roman"/>
                <w:b w:val="0"/>
                <w:bCs w:val="0"/>
                <w:color w:val="auto"/>
                <w:sz w:val="24"/>
                <w:szCs w:val="24"/>
                <w:highlight w:val="none"/>
                <w:u w:val="none"/>
              </w:rPr>
              <w:sym w:font="Wingdings 2" w:char="00A3"/>
            </w:r>
            <w:r>
              <w:rPr>
                <w:rFonts w:hint="default" w:ascii="Times New Roman" w:hAnsi="Times New Roman" w:cs="Times New Roman"/>
                <w:b w:val="0"/>
                <w:bCs w:val="0"/>
                <w:color w:val="auto"/>
                <w:sz w:val="24"/>
                <w:szCs w:val="24"/>
                <w:highlight w:val="none"/>
                <w:u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u w:val="single"/>
              </w:rPr>
            </w:pPr>
            <w:r>
              <w:rPr>
                <w:rFonts w:hint="default" w:ascii="Times New Roman" w:hAnsi="Times New Roman" w:eastAsia="宋体" w:cs="Times New Roman"/>
                <w:b/>
                <w:bCs/>
                <w:color w:val="auto"/>
                <w:sz w:val="24"/>
                <w:szCs w:val="24"/>
                <w:highlight w:val="none"/>
                <w:u w:val="single"/>
              </w:rPr>
              <w:t>项目审批（核准/</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single"/>
                <w:lang w:val="en-US" w:eastAsia="zh-CN" w:bidi="ar-SA"/>
              </w:rPr>
            </w:pPr>
            <w:r>
              <w:rPr>
                <w:rFonts w:hint="default" w:ascii="Times New Roman" w:hAnsi="Times New Roman" w:eastAsia="宋体" w:cs="Times New Roman"/>
                <w:b/>
                <w:bCs/>
                <w:color w:val="auto"/>
                <w:sz w:val="24"/>
                <w:szCs w:val="24"/>
                <w:highlight w:val="none"/>
                <w:u w:val="single"/>
              </w:rPr>
              <w:t>备案）部门</w:t>
            </w:r>
          </w:p>
        </w:tc>
        <w:tc>
          <w:tcPr>
            <w:tcW w:w="294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single"/>
                <w:vertAlign w:val="baseline"/>
                <w:lang w:val="en-US" w:eastAsia="zh-CN"/>
              </w:rPr>
            </w:pPr>
            <w:bookmarkStart w:id="28" w:name="_Toc16185"/>
            <w:bookmarkStart w:id="29" w:name="_Toc13004"/>
            <w:bookmarkStart w:id="30" w:name="_Toc12321"/>
            <w:r>
              <w:rPr>
                <w:rStyle w:val="31"/>
                <w:rFonts w:hint="eastAsia" w:cs="Times New Roman"/>
                <w:color w:val="auto"/>
                <w:sz w:val="24"/>
                <w:szCs w:val="24"/>
                <w:highlight w:val="none"/>
                <w:u w:val="single"/>
                <w:vertAlign w:val="baseline"/>
                <w:lang w:val="en-US" w:eastAsia="zh-CN"/>
              </w:rPr>
              <w:t>湘阴县发展和改革局</w:t>
            </w:r>
            <w:bookmarkEnd w:id="28"/>
            <w:bookmarkEnd w:id="29"/>
            <w:bookmarkEnd w:id="30"/>
          </w:p>
        </w:tc>
        <w:tc>
          <w:tcPr>
            <w:tcW w:w="2008" w:type="dxa"/>
            <w:vAlign w:val="center"/>
          </w:tcPr>
          <w:p>
            <w:pPr>
              <w:adjustRightInd w:val="0"/>
              <w:snapToGrid w:val="0"/>
              <w:spacing w:line="240" w:lineRule="auto"/>
              <w:jc w:val="center"/>
              <w:rPr>
                <w:rFonts w:hint="default" w:ascii="Times New Roman" w:hAnsi="Times New Roman" w:cs="Times New Roman"/>
                <w:b/>
                <w:bCs/>
                <w:color w:val="auto"/>
                <w:sz w:val="24"/>
                <w:szCs w:val="24"/>
                <w:highlight w:val="none"/>
                <w:u w:val="single"/>
              </w:rPr>
            </w:pPr>
            <w:r>
              <w:rPr>
                <w:rFonts w:hint="default" w:ascii="Times New Roman" w:hAnsi="Times New Roman" w:cs="Times New Roman"/>
                <w:b/>
                <w:bCs/>
                <w:color w:val="auto"/>
                <w:sz w:val="24"/>
                <w:szCs w:val="24"/>
                <w:highlight w:val="none"/>
                <w:u w:val="single"/>
              </w:rPr>
              <w:t>项目审批（核准/</w:t>
            </w:r>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single"/>
                <w:vertAlign w:val="baseline"/>
                <w:lang w:val="en-US" w:eastAsia="zh-CN"/>
              </w:rPr>
            </w:pPr>
            <w:bookmarkStart w:id="31" w:name="_Toc27678"/>
            <w:bookmarkStart w:id="32" w:name="_Toc7130"/>
            <w:bookmarkStart w:id="33" w:name="_Toc30332"/>
            <w:r>
              <w:rPr>
                <w:rFonts w:hint="default" w:ascii="Times New Roman" w:hAnsi="Times New Roman" w:cs="Times New Roman"/>
                <w:b/>
                <w:bCs/>
                <w:color w:val="auto"/>
                <w:sz w:val="24"/>
                <w:szCs w:val="24"/>
                <w:highlight w:val="none"/>
                <w:u w:val="single"/>
              </w:rPr>
              <w:t>备案）文号</w:t>
            </w:r>
            <w:bookmarkEnd w:id="31"/>
            <w:bookmarkEnd w:id="32"/>
            <w:bookmarkEnd w:id="33"/>
          </w:p>
        </w:tc>
        <w:tc>
          <w:tcPr>
            <w:tcW w:w="31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eastAsia" w:cs="Times New Roman"/>
                <w:color w:val="auto"/>
                <w:sz w:val="24"/>
                <w:szCs w:val="24"/>
                <w:highlight w:val="none"/>
                <w:u w:val="single"/>
                <w:vertAlign w:val="baseline"/>
                <w:lang w:val="en-US" w:eastAsia="zh-CN"/>
              </w:rPr>
            </w:pPr>
            <w:bookmarkStart w:id="34" w:name="_Toc6685"/>
            <w:bookmarkStart w:id="35" w:name="_Toc9266"/>
            <w:bookmarkStart w:id="36" w:name="_Toc29748"/>
            <w:r>
              <w:rPr>
                <w:rStyle w:val="31"/>
                <w:rFonts w:hint="eastAsia" w:cs="Times New Roman"/>
                <w:color w:val="auto"/>
                <w:sz w:val="24"/>
                <w:szCs w:val="24"/>
                <w:highlight w:val="none"/>
                <w:u w:val="single"/>
                <w:vertAlign w:val="baseline"/>
                <w:lang w:val="en-US" w:eastAsia="zh-CN"/>
              </w:rPr>
              <w:t>湘阴发改审〔</w:t>
            </w:r>
            <w:r>
              <w:rPr>
                <w:rStyle w:val="31"/>
                <w:rFonts w:hint="eastAsia" w:ascii="Times New Roman" w:hAnsi="Times New Roman" w:eastAsia="宋体" w:cs="Times New Roman"/>
                <w:color w:val="auto"/>
                <w:sz w:val="24"/>
                <w:szCs w:val="24"/>
                <w:highlight w:val="none"/>
                <w:u w:val="single"/>
                <w:vertAlign w:val="baseline"/>
                <w:lang w:val="en-US" w:eastAsia="zh-CN"/>
              </w:rPr>
              <w:t>2022</w:t>
            </w:r>
            <w:r>
              <w:rPr>
                <w:rStyle w:val="31"/>
                <w:rFonts w:hint="eastAsia" w:cs="Times New Roman"/>
                <w:color w:val="auto"/>
                <w:sz w:val="24"/>
                <w:szCs w:val="24"/>
                <w:highlight w:val="none"/>
                <w:u w:val="single"/>
                <w:vertAlign w:val="baseline"/>
                <w:lang w:val="en-US" w:eastAsia="zh-CN"/>
              </w:rPr>
              <w:t>〕</w:t>
            </w:r>
            <w:r>
              <w:rPr>
                <w:rStyle w:val="31"/>
                <w:rFonts w:hint="eastAsia" w:ascii="Times New Roman" w:hAnsi="Times New Roman" w:eastAsia="宋体" w:cs="Times New Roman"/>
                <w:color w:val="auto"/>
                <w:sz w:val="24"/>
                <w:szCs w:val="24"/>
                <w:highlight w:val="none"/>
                <w:u w:val="single"/>
                <w:vertAlign w:val="baseline"/>
                <w:lang w:val="en-US" w:eastAsia="zh-CN"/>
              </w:rPr>
              <w:t>279号</w:t>
            </w:r>
            <w:bookmarkEnd w:id="34"/>
            <w:bookmarkEnd w:id="35"/>
            <w:bookmarkEnd w:id="36"/>
            <w:r>
              <w:rPr>
                <w:rStyle w:val="31"/>
                <w:rFonts w:hint="eastAsia" w:cs="Times New Roman"/>
                <w:color w:val="auto"/>
                <w:sz w:val="24"/>
                <w:szCs w:val="24"/>
                <w:highlight w:val="none"/>
                <w:u w:val="single"/>
                <w:vertAlign w:val="baseline"/>
                <w:lang w:val="en-US" w:eastAsia="zh-CN"/>
              </w:rPr>
              <w:t>；</w:t>
            </w:r>
          </w:p>
          <w:p>
            <w:pPr>
              <w:pStyle w:val="10"/>
              <w:jc w:val="center"/>
              <w:rPr>
                <w:rFonts w:hint="default"/>
                <w:lang w:val="en-US" w:eastAsia="zh-CN"/>
              </w:rPr>
            </w:pPr>
            <w:r>
              <w:rPr>
                <w:rStyle w:val="31"/>
                <w:rFonts w:hint="default" w:ascii="Times New Roman" w:hAnsi="Times New Roman" w:eastAsia="宋体" w:cs="Times New Roman"/>
                <w:color w:val="auto"/>
                <w:kern w:val="2"/>
                <w:sz w:val="24"/>
                <w:szCs w:val="24"/>
                <w:highlight w:val="none"/>
                <w:u w:val="single"/>
                <w:vertAlign w:val="baseline"/>
                <w:lang w:val="en-US" w:eastAsia="zh-CN" w:bidi="ar-SA"/>
              </w:rPr>
              <w:t>湘阴高新审〔2024〕18号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总投资（万元）</w:t>
            </w:r>
          </w:p>
        </w:tc>
        <w:tc>
          <w:tcPr>
            <w:tcW w:w="294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37" w:name="_Toc20780"/>
            <w:r>
              <w:rPr>
                <w:rStyle w:val="31"/>
                <w:rFonts w:hint="eastAsia" w:cs="Times New Roman"/>
                <w:color w:val="auto"/>
                <w:sz w:val="24"/>
                <w:szCs w:val="24"/>
                <w:highlight w:val="none"/>
                <w:u w:val="none"/>
                <w:vertAlign w:val="baseline"/>
                <w:lang w:val="en-US" w:eastAsia="zh-CN"/>
              </w:rPr>
              <w:t>500</w:t>
            </w:r>
            <w:bookmarkEnd w:id="37"/>
          </w:p>
        </w:tc>
        <w:tc>
          <w:tcPr>
            <w:tcW w:w="2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38" w:name="_Toc23828"/>
            <w:bookmarkStart w:id="39" w:name="_Toc471"/>
            <w:bookmarkStart w:id="40" w:name="_Toc2968"/>
            <w:r>
              <w:rPr>
                <w:rStyle w:val="31"/>
                <w:rFonts w:hint="default" w:ascii="Times New Roman" w:hAnsi="Times New Roman" w:eastAsia="宋体" w:cs="Times New Roman"/>
                <w:b/>
                <w:bCs/>
                <w:color w:val="auto"/>
                <w:sz w:val="24"/>
                <w:szCs w:val="24"/>
                <w:highlight w:val="none"/>
                <w:u w:val="none"/>
                <w:vertAlign w:val="baseline"/>
                <w:lang w:val="en-US" w:eastAsia="zh-CN"/>
              </w:rPr>
              <w:t>环保投资（万元）</w:t>
            </w:r>
            <w:bookmarkEnd w:id="38"/>
            <w:bookmarkEnd w:id="39"/>
            <w:bookmarkEnd w:id="40"/>
          </w:p>
        </w:tc>
        <w:tc>
          <w:tcPr>
            <w:tcW w:w="31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41" w:name="_Toc11580"/>
            <w:r>
              <w:rPr>
                <w:rStyle w:val="31"/>
                <w:rFonts w:hint="eastAsia" w:cs="Times New Roman"/>
                <w:color w:val="auto"/>
                <w:sz w:val="24"/>
                <w:szCs w:val="24"/>
                <w:highlight w:val="none"/>
                <w:u w:val="none"/>
                <w:vertAlign w:val="baseline"/>
                <w:lang w:val="en-US" w:eastAsia="zh-CN"/>
              </w:rPr>
              <w:t>9</w:t>
            </w:r>
            <w:bookmarkEnd w:id="41"/>
            <w:r>
              <w:rPr>
                <w:rStyle w:val="31"/>
                <w:rFonts w:hint="eastAsia" w:cs="Times New Roman"/>
                <w:color w:val="auto"/>
                <w:sz w:val="24"/>
                <w:szCs w:val="24"/>
                <w:highlight w:val="none"/>
                <w:u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环保投资占比（%）</w:t>
            </w:r>
          </w:p>
        </w:tc>
        <w:tc>
          <w:tcPr>
            <w:tcW w:w="294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42" w:name="_Toc18057"/>
            <w:r>
              <w:rPr>
                <w:rFonts w:hint="eastAsia"/>
                <w:color w:val="auto"/>
                <w:sz w:val="24"/>
                <w:szCs w:val="24"/>
                <w:u w:val="none"/>
                <w:lang w:val="en-US" w:eastAsia="zh-CN"/>
              </w:rPr>
              <w:t>18.</w:t>
            </w:r>
            <w:bookmarkEnd w:id="42"/>
            <w:r>
              <w:rPr>
                <w:rFonts w:hint="eastAsia"/>
                <w:color w:val="auto"/>
                <w:sz w:val="24"/>
                <w:szCs w:val="24"/>
                <w:u w:val="none"/>
                <w:lang w:val="en-US" w:eastAsia="zh-CN"/>
              </w:rPr>
              <w:t>6</w:t>
            </w:r>
          </w:p>
        </w:tc>
        <w:tc>
          <w:tcPr>
            <w:tcW w:w="2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43" w:name="_Toc24419"/>
            <w:bookmarkStart w:id="44" w:name="_Toc21659"/>
            <w:bookmarkStart w:id="45" w:name="_Toc27942"/>
            <w:r>
              <w:rPr>
                <w:rStyle w:val="31"/>
                <w:rFonts w:hint="default" w:ascii="Times New Roman" w:hAnsi="Times New Roman" w:eastAsia="宋体" w:cs="Times New Roman"/>
                <w:b/>
                <w:bCs/>
                <w:color w:val="auto"/>
                <w:sz w:val="24"/>
                <w:szCs w:val="24"/>
                <w:highlight w:val="none"/>
                <w:u w:val="none"/>
                <w:vertAlign w:val="baseline"/>
                <w:lang w:val="en-US" w:eastAsia="zh-CN"/>
              </w:rPr>
              <w:t>施工工期</w:t>
            </w:r>
            <w:bookmarkEnd w:id="43"/>
            <w:bookmarkEnd w:id="44"/>
            <w:bookmarkEnd w:id="45"/>
          </w:p>
        </w:tc>
        <w:tc>
          <w:tcPr>
            <w:tcW w:w="31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46" w:name="_Toc6708"/>
            <w:bookmarkStart w:id="47" w:name="_Toc10629"/>
            <w:r>
              <w:rPr>
                <w:rStyle w:val="31"/>
                <w:rFonts w:hint="eastAsia" w:cs="Times New Roman"/>
                <w:color w:val="auto"/>
                <w:sz w:val="24"/>
                <w:szCs w:val="24"/>
                <w:highlight w:val="none"/>
                <w:u w:val="none"/>
                <w:vertAlign w:val="baseline"/>
                <w:lang w:val="en-US" w:eastAsia="zh-CN"/>
              </w:rPr>
              <w:t>1</w:t>
            </w:r>
            <w:r>
              <w:rPr>
                <w:rFonts w:hint="default"/>
                <w:color w:val="auto"/>
                <w:sz w:val="24"/>
                <w:szCs w:val="24"/>
                <w:u w:val="none"/>
                <w:lang w:val="en-US" w:eastAsia="zh-CN"/>
              </w:rPr>
              <w:t>个月</w:t>
            </w:r>
            <w:bookmarkEnd w:id="46"/>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是否开工建设</w:t>
            </w:r>
          </w:p>
        </w:tc>
        <w:tc>
          <w:tcPr>
            <w:tcW w:w="2943" w:type="dxa"/>
            <w:vAlign w:val="center"/>
          </w:tcPr>
          <w:p>
            <w:pPr>
              <w:spacing w:line="240" w:lineRule="auto"/>
              <w:jc w:val="left"/>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rPr>
              <w:sym w:font="Wingdings 2" w:char="00A3"/>
            </w:r>
            <w:r>
              <w:rPr>
                <w:rFonts w:hint="default" w:ascii="Times New Roman" w:hAnsi="Times New Roman" w:cs="Times New Roman"/>
                <w:color w:val="auto"/>
                <w:sz w:val="24"/>
                <w:szCs w:val="24"/>
                <w:highlight w:val="none"/>
                <w:u w:val="none"/>
                <w:lang w:val="en-US" w:eastAsia="zh-CN"/>
              </w:rPr>
              <w:t>否</w:t>
            </w:r>
          </w:p>
          <w:p>
            <w:pPr>
              <w:spacing w:line="240" w:lineRule="auto"/>
              <w:jc w:val="both"/>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rPr>
              <w:sym w:font="Wingdings 2" w:char="0052"/>
            </w:r>
            <w:r>
              <w:rPr>
                <w:rFonts w:hint="default" w:ascii="Times New Roman" w:hAnsi="Times New Roman" w:cs="Times New Roman"/>
                <w:b w:val="0"/>
                <w:bCs w:val="0"/>
                <w:color w:val="auto"/>
                <w:sz w:val="24"/>
                <w:szCs w:val="24"/>
                <w:highlight w:val="none"/>
                <w:u w:val="none"/>
                <w:lang w:val="en-US" w:eastAsia="zh-CN"/>
              </w:rPr>
              <w:t>是</w:t>
            </w:r>
            <w:r>
              <w:rPr>
                <w:rFonts w:hint="eastAsia" w:cs="Times New Roman"/>
                <w:b w:val="0"/>
                <w:bCs w:val="0"/>
                <w:color w:val="auto"/>
                <w:sz w:val="24"/>
                <w:szCs w:val="24"/>
                <w:highlight w:val="none"/>
                <w:u w:val="none"/>
                <w:lang w:val="en-US" w:eastAsia="zh-CN"/>
              </w:rPr>
              <w:t>，</w:t>
            </w:r>
            <w:r>
              <w:rPr>
                <w:rFonts w:hint="eastAsia" w:cs="Times New Roman"/>
                <w:b w:val="0"/>
                <w:bCs w:val="0"/>
                <w:color w:val="auto"/>
                <w:sz w:val="24"/>
                <w:szCs w:val="24"/>
                <w:highlight w:val="none"/>
                <w:u w:val="single"/>
                <w:lang w:val="en-US" w:eastAsia="zh-CN"/>
              </w:rPr>
              <w:t>未批先建，目前不锈钢焊丝生产线已建退火等工序设施</w:t>
            </w:r>
            <w:r>
              <w:rPr>
                <w:rFonts w:hint="eastAsia"/>
                <w:color w:val="auto"/>
                <w:sz w:val="24"/>
                <w:highlight w:val="none"/>
                <w:u w:val="single"/>
                <w:lang w:eastAsia="zh-CN"/>
              </w:rPr>
              <w:t>，2</w:t>
            </w:r>
            <w:r>
              <w:rPr>
                <w:rFonts w:hint="eastAsia"/>
                <w:color w:val="auto"/>
                <w:sz w:val="24"/>
                <w:highlight w:val="none"/>
                <w:u w:val="single"/>
                <w:lang w:val="en-US" w:eastAsia="zh-CN"/>
              </w:rPr>
              <w:t>024年6月5日岳阳市生态环境局对</w:t>
            </w:r>
            <w:r>
              <w:rPr>
                <w:rStyle w:val="31"/>
                <w:rFonts w:hint="eastAsia" w:cs="Times New Roman"/>
                <w:color w:val="auto"/>
                <w:sz w:val="24"/>
                <w:szCs w:val="24"/>
                <w:highlight w:val="none"/>
                <w:u w:val="single"/>
                <w:vertAlign w:val="baseline"/>
                <w:lang w:val="en-US" w:eastAsia="zh-CN"/>
              </w:rPr>
              <w:t>湖南西姆西科技有限公司下达了责令改正违法行为决定书（</w:t>
            </w:r>
            <w:r>
              <w:rPr>
                <w:rFonts w:hint="eastAsia"/>
                <w:color w:val="auto"/>
                <w:sz w:val="24"/>
                <w:highlight w:val="none"/>
                <w:u w:val="single"/>
                <w:lang w:eastAsia="zh-CN"/>
              </w:rPr>
              <w:t>见附件</w:t>
            </w:r>
            <w:r>
              <w:rPr>
                <w:rFonts w:hint="eastAsia"/>
                <w:color w:val="auto"/>
                <w:sz w:val="24"/>
                <w:highlight w:val="none"/>
                <w:u w:val="single"/>
                <w:lang w:val="en-US" w:eastAsia="zh-CN"/>
              </w:rPr>
              <w:t>11</w:t>
            </w:r>
            <w:r>
              <w:rPr>
                <w:rStyle w:val="31"/>
                <w:rFonts w:hint="eastAsia" w:cs="Times New Roman"/>
                <w:color w:val="auto"/>
                <w:sz w:val="24"/>
                <w:szCs w:val="24"/>
                <w:highlight w:val="none"/>
                <w:u w:val="single"/>
                <w:vertAlign w:val="baseline"/>
                <w:lang w:val="en-US" w:eastAsia="zh-CN"/>
              </w:rPr>
              <w:t>）</w:t>
            </w:r>
            <w:r>
              <w:rPr>
                <w:rFonts w:hint="eastAsia"/>
                <w:color w:val="auto"/>
                <w:sz w:val="24"/>
                <w:highlight w:val="none"/>
                <w:u w:val="single"/>
                <w:lang w:eastAsia="zh-CN"/>
              </w:rPr>
              <w:t>，要求建设单位及时对退火工序办理环评手续。</w:t>
            </w:r>
          </w:p>
        </w:tc>
        <w:tc>
          <w:tcPr>
            <w:tcW w:w="200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48" w:name="_Toc4127"/>
            <w:bookmarkStart w:id="49" w:name="_Toc2956"/>
            <w:bookmarkStart w:id="50" w:name="_Toc1800"/>
            <w:r>
              <w:rPr>
                <w:rStyle w:val="31"/>
                <w:rFonts w:hint="default" w:ascii="Times New Roman" w:hAnsi="Times New Roman" w:eastAsia="宋体" w:cs="Times New Roman"/>
                <w:b/>
                <w:bCs/>
                <w:color w:val="auto"/>
                <w:sz w:val="24"/>
                <w:szCs w:val="24"/>
                <w:highlight w:val="none"/>
                <w:u w:val="none"/>
                <w:vertAlign w:val="baseline"/>
                <w:lang w:val="en-US" w:eastAsia="zh-CN"/>
              </w:rPr>
              <w:t>用地（用海）</w:t>
            </w:r>
            <w:bookmarkEnd w:id="48"/>
            <w:bookmarkEnd w:id="49"/>
            <w:bookmarkEnd w:id="50"/>
          </w:p>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b/>
                <w:bCs/>
                <w:color w:val="auto"/>
                <w:sz w:val="24"/>
                <w:szCs w:val="24"/>
                <w:highlight w:val="none"/>
                <w:u w:val="none"/>
                <w:vertAlign w:val="baseline"/>
                <w:lang w:val="en-US" w:eastAsia="zh-CN"/>
              </w:rPr>
            </w:pPr>
            <w:bookmarkStart w:id="51" w:name="_Toc9411"/>
            <w:bookmarkStart w:id="52" w:name="_Toc8321"/>
            <w:bookmarkStart w:id="53" w:name="_Toc2550"/>
            <w:r>
              <w:rPr>
                <w:rStyle w:val="31"/>
                <w:rFonts w:hint="default" w:ascii="Times New Roman" w:hAnsi="Times New Roman" w:eastAsia="宋体" w:cs="Times New Roman"/>
                <w:b/>
                <w:bCs/>
                <w:color w:val="auto"/>
                <w:sz w:val="24"/>
                <w:szCs w:val="24"/>
                <w:highlight w:val="none"/>
                <w:u w:val="none"/>
                <w:vertAlign w:val="baseline"/>
                <w:lang w:val="en-US" w:eastAsia="zh-CN"/>
              </w:rPr>
              <w:t>面积（m</w:t>
            </w:r>
            <w:r>
              <w:rPr>
                <w:rStyle w:val="31"/>
                <w:rFonts w:hint="default" w:ascii="Times New Roman" w:hAnsi="Times New Roman" w:eastAsia="宋体" w:cs="Times New Roman"/>
                <w:b/>
                <w:bCs/>
                <w:color w:val="auto"/>
                <w:sz w:val="24"/>
                <w:szCs w:val="24"/>
                <w:highlight w:val="none"/>
                <w:u w:val="none"/>
                <w:vertAlign w:val="superscript"/>
                <w:lang w:val="en-US" w:eastAsia="zh-CN"/>
              </w:rPr>
              <w:t>2</w:t>
            </w:r>
            <w:r>
              <w:rPr>
                <w:rStyle w:val="31"/>
                <w:rFonts w:hint="default" w:ascii="Times New Roman" w:hAnsi="Times New Roman" w:eastAsia="宋体" w:cs="Times New Roman"/>
                <w:b/>
                <w:bCs/>
                <w:color w:val="auto"/>
                <w:sz w:val="24"/>
                <w:szCs w:val="24"/>
                <w:highlight w:val="none"/>
                <w:u w:val="none"/>
                <w:vertAlign w:val="baseline"/>
                <w:lang w:val="en-US" w:eastAsia="zh-CN"/>
              </w:rPr>
              <w:t>）</w:t>
            </w:r>
            <w:bookmarkEnd w:id="51"/>
            <w:bookmarkEnd w:id="52"/>
            <w:bookmarkEnd w:id="53"/>
          </w:p>
        </w:tc>
        <w:tc>
          <w:tcPr>
            <w:tcW w:w="310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4"/>
                <w:szCs w:val="24"/>
                <w:highlight w:val="none"/>
                <w:u w:val="none"/>
                <w:vertAlign w:val="baseline"/>
                <w:lang w:val="en-US" w:eastAsia="zh-CN"/>
              </w:rPr>
            </w:pPr>
            <w:bookmarkStart w:id="54" w:name="_Toc1839"/>
            <w:bookmarkStart w:id="55" w:name="_Toc16486"/>
            <w:r>
              <w:rPr>
                <w:rFonts w:hint="eastAsia"/>
                <w:color w:val="auto"/>
                <w:sz w:val="24"/>
                <w:szCs w:val="24"/>
                <w:lang w:val="en-US" w:eastAsia="zh-CN"/>
              </w:rPr>
              <w:t>不新增面积，依托现有厂房</w:t>
            </w:r>
            <w:bookmarkEnd w:id="54"/>
            <w:bookmarkEnd w:id="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90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kern w:val="0"/>
                <w:sz w:val="24"/>
                <w:szCs w:val="24"/>
                <w:highlight w:val="none"/>
                <w:u w:val="none"/>
              </w:rPr>
              <w:t>专项评价设置情况</w:t>
            </w:r>
          </w:p>
        </w:tc>
        <w:tc>
          <w:tcPr>
            <w:tcW w:w="8055" w:type="dxa"/>
            <w:gridSpan w:val="3"/>
            <w:vAlign w:val="center"/>
          </w:tcPr>
          <w:p>
            <w:pPr>
              <w:adjustRightInd w:val="0"/>
              <w:snapToGrid w:val="0"/>
              <w:jc w:val="center"/>
              <w:rPr>
                <w:rFonts w:hint="eastAsia" w:ascii="Times New Roman" w:hAnsi="Times New Roman" w:eastAsia="宋体" w:cs="宋体"/>
                <w:b/>
                <w:color w:val="auto"/>
                <w:szCs w:val="21"/>
                <w:u w:val="none" w:color="auto"/>
                <w:lang w:val="en-US" w:eastAsia="zh-CN"/>
              </w:rPr>
            </w:pPr>
            <w:r>
              <w:rPr>
                <w:rFonts w:hint="eastAsia" w:ascii="Times New Roman" w:hAnsi="Times New Roman" w:eastAsia="宋体" w:cs="宋体"/>
                <w:b/>
                <w:color w:val="auto"/>
                <w:sz w:val="24"/>
                <w:szCs w:val="24"/>
                <w:u w:val="none" w:color="auto"/>
                <w:lang w:val="en-US" w:eastAsia="zh-CN"/>
              </w:rPr>
              <w:t>表1-1专项评价设置原则说明表</w:t>
            </w:r>
          </w:p>
          <w:tbl>
            <w:tblPr>
              <w:tblStyle w:val="92"/>
              <w:tblW w:w="498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6"/>
              <w:gridCol w:w="4745"/>
              <w:gridCol w:w="17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3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Cs w:val="21"/>
                      <w:highlight w:val="none"/>
                      <w:u w:val="none" w:color="auto"/>
                    </w:rPr>
                  </w:pPr>
                  <w:r>
                    <w:rPr>
                      <w:rFonts w:hint="eastAsia" w:ascii="Times New Roman" w:hAnsi="Times New Roman" w:eastAsia="宋体" w:cs="Times New Roman"/>
                      <w:b/>
                      <w:bCs/>
                      <w:color w:val="auto"/>
                      <w:szCs w:val="21"/>
                      <w:highlight w:val="none"/>
                      <w:u w:val="none" w:color="auto"/>
                    </w:rPr>
                    <w:t>专项评价类别</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Cs w:val="21"/>
                      <w:highlight w:val="none"/>
                      <w:u w:val="none" w:color="auto"/>
                    </w:rPr>
                  </w:pPr>
                  <w:r>
                    <w:rPr>
                      <w:rFonts w:hint="eastAsia" w:ascii="Times New Roman" w:hAnsi="Times New Roman" w:eastAsia="宋体" w:cs="Times New Roman"/>
                      <w:b/>
                      <w:bCs/>
                      <w:color w:val="auto"/>
                      <w:szCs w:val="21"/>
                      <w:highlight w:val="none"/>
                      <w:u w:val="none" w:color="auto"/>
                    </w:rPr>
                    <w:t>设置原则</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Cs w:val="21"/>
                      <w:highlight w:val="none"/>
                      <w:u w:val="none" w:color="auto"/>
                    </w:rPr>
                  </w:pPr>
                  <w:r>
                    <w:rPr>
                      <w:rFonts w:hint="eastAsia" w:ascii="Times New Roman" w:hAnsi="Times New Roman" w:eastAsia="宋体" w:cs="Times New Roman"/>
                      <w:b/>
                      <w:bCs/>
                      <w:color w:val="auto"/>
                      <w:szCs w:val="21"/>
                      <w:highlight w:val="none"/>
                      <w:u w:val="none" w:color="auto"/>
                    </w:rPr>
                    <w:t>是否</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auto"/>
                      <w:szCs w:val="21"/>
                      <w:highlight w:val="none"/>
                      <w:u w:val="none" w:color="auto"/>
                    </w:rPr>
                  </w:pPr>
                  <w:r>
                    <w:rPr>
                      <w:rFonts w:hint="eastAsia" w:ascii="Times New Roman" w:hAnsi="Times New Roman" w:eastAsia="宋体" w:cs="Times New Roman"/>
                      <w:b/>
                      <w:bCs/>
                      <w:color w:val="auto"/>
                      <w:szCs w:val="21"/>
                      <w:highlight w:val="none"/>
                      <w:u w:val="none" w:color="auto"/>
                    </w:rPr>
                    <w:t>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大气</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排放废气含有毒有害污染物、二噁英、苯并</w:t>
                  </w:r>
                  <w:r>
                    <w:rPr>
                      <w:rFonts w:hint="eastAsia" w:cs="Times New Roman"/>
                      <w:color w:val="auto"/>
                      <w:szCs w:val="21"/>
                      <w:highlight w:val="none"/>
                      <w:u w:val="none" w:color="auto"/>
                      <w:lang w:eastAsia="zh-CN"/>
                    </w:rPr>
                    <w:t>〔</w:t>
                  </w:r>
                  <w:r>
                    <w:rPr>
                      <w:rFonts w:hint="eastAsia" w:ascii="Times New Roman" w:hAnsi="Times New Roman" w:eastAsia="宋体" w:cs="Times New Roman"/>
                      <w:color w:val="auto"/>
                      <w:szCs w:val="21"/>
                      <w:highlight w:val="none"/>
                      <w:u w:val="none" w:color="auto"/>
                    </w:rPr>
                    <w:t>a</w:t>
                  </w:r>
                  <w:r>
                    <w:rPr>
                      <w:rFonts w:hint="eastAsia" w:cs="Times New Roman"/>
                      <w:color w:val="auto"/>
                      <w:szCs w:val="21"/>
                      <w:highlight w:val="none"/>
                      <w:u w:val="none" w:color="auto"/>
                      <w:lang w:eastAsia="zh-CN"/>
                    </w:rPr>
                    <w:t>〕</w:t>
                  </w:r>
                  <w:r>
                    <w:rPr>
                      <w:rFonts w:hint="eastAsia" w:ascii="Times New Roman" w:hAnsi="Times New Roman" w:eastAsia="宋体" w:cs="Times New Roman"/>
                      <w:color w:val="auto"/>
                      <w:szCs w:val="21"/>
                      <w:highlight w:val="none"/>
                      <w:u w:val="none" w:color="auto"/>
                    </w:rPr>
                    <w:t>芘、氰化物、氯气且厂界外500米范围内有环境空气保护目标的建设项目</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地表水</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新增工业废水直排建设项目（槽罐车送污水处理厂除外）；新增废水直排的污水集中处理厂</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本项目新增工业废水</w:t>
                  </w:r>
                  <w:r>
                    <w:rPr>
                      <w:rFonts w:hint="eastAsia" w:cs="Times New Roman"/>
                      <w:color w:val="auto"/>
                      <w:szCs w:val="21"/>
                      <w:highlight w:val="none"/>
                      <w:u w:val="none" w:color="auto"/>
                      <w:lang w:val="en-US" w:eastAsia="zh-CN"/>
                    </w:rPr>
                    <w:t>经处理达标后</w:t>
                  </w:r>
                  <w:r>
                    <w:rPr>
                      <w:rFonts w:hint="eastAsia" w:ascii="Times New Roman" w:hAnsi="Times New Roman" w:eastAsia="宋体" w:cs="Times New Roman"/>
                      <w:color w:val="auto"/>
                      <w:szCs w:val="21"/>
                      <w:highlight w:val="none"/>
                      <w:u w:val="none" w:color="auto"/>
                      <w:lang w:val="en-US" w:eastAsia="zh-CN"/>
                    </w:rPr>
                    <w:t>排湘阴县第三污水处理厂，故不设置地表水专项评价。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环境风险</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有毒有害和易燃易爆危险物质存储量超过临界量的建设项目</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u w:val="none" w:color="auto"/>
                      <w:lang w:eastAsia="zh-CN"/>
                    </w:rPr>
                  </w:pPr>
                  <w:r>
                    <w:rPr>
                      <w:rFonts w:hint="eastAsia" w:ascii="Times New Roman" w:hAnsi="Times New Roman" w:eastAsia="宋体" w:cs="Times New Roman"/>
                      <w:color w:val="auto"/>
                      <w:szCs w:val="21"/>
                      <w:highlight w:val="none"/>
                      <w:u w:val="none" w:color="auto"/>
                      <w:lang w:eastAsia="zh-CN"/>
                    </w:rPr>
                    <w:t>本项目危险物质储存量超过临界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eastAsia="zh-CN"/>
                    </w:rPr>
                    <w:t>量，需设置环境风险专项评价。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生态</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取水口下游500米范围内有重要水生生物的自然产卵场、索饵场越冬场和洄游通道的新增河道取水的污染类建设项目</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海洋</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直接</w:t>
                  </w:r>
                  <w:r>
                    <w:rPr>
                      <w:rFonts w:hint="eastAsia" w:ascii="Times New Roman" w:hAnsi="Times New Roman" w:eastAsia="宋体" w:cs="Times New Roman"/>
                      <w:color w:val="auto"/>
                      <w:szCs w:val="21"/>
                      <w:highlight w:val="none"/>
                      <w:u w:val="none" w:color="auto"/>
                      <w:lang w:eastAsia="zh-CN"/>
                    </w:rPr>
                    <w:t>向</w:t>
                  </w:r>
                  <w:r>
                    <w:rPr>
                      <w:rFonts w:hint="eastAsia" w:ascii="Times New Roman" w:hAnsi="Times New Roman" w:eastAsia="宋体" w:cs="Times New Roman"/>
                      <w:color w:val="auto"/>
                      <w:szCs w:val="21"/>
                      <w:highlight w:val="none"/>
                      <w:u w:val="none" w:color="auto"/>
                    </w:rPr>
                    <w:t>海排放污染物的海洋工程建设项目</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地下水</w:t>
                  </w:r>
                </w:p>
              </w:tc>
              <w:tc>
                <w:tcPr>
                  <w:tcW w:w="47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设计集中式饮用水水源和热水、矿泉水、温泉等特殊地下水资源保护区的</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48" w:beforeLines="20" w:after="48" w:afterLines="20"/>
                    <w:jc w:val="center"/>
                    <w:rPr>
                      <w:rFonts w:hint="eastAsia"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否</w:t>
                  </w:r>
                </w:p>
              </w:tc>
            </w:tr>
          </w:tbl>
          <w:p>
            <w:pPr>
              <w:keepNext w:val="0"/>
              <w:keepLines w:val="0"/>
              <w:pageBreakBefore w:val="0"/>
              <w:widowControl w:val="0"/>
              <w:kinsoku/>
              <w:wordWrap/>
              <w:overflowPunct/>
              <w:topLinePunct w:val="0"/>
              <w:autoSpaceDE/>
              <w:autoSpaceDN/>
              <w:bidi w:val="0"/>
              <w:adjustRightInd/>
              <w:snapToGrid/>
              <w:jc w:val="center"/>
              <w:textAlignment w:val="auto"/>
              <w:outlineLvl w:val="0"/>
              <w:rPr>
                <w:rStyle w:val="31"/>
                <w:rFonts w:hint="default" w:ascii="Times New Roman" w:hAnsi="Times New Roman" w:eastAsia="宋体" w:cs="Times New Roman"/>
                <w:color w:val="auto"/>
                <w:sz w:val="21"/>
                <w:szCs w:val="21"/>
                <w:highlight w:val="none"/>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规划情况</w:t>
            </w:r>
          </w:p>
        </w:tc>
        <w:tc>
          <w:tcPr>
            <w:tcW w:w="8055" w:type="dxa"/>
            <w:gridSpan w:val="3"/>
            <w:vAlign w:val="center"/>
          </w:tcPr>
          <w:p>
            <w:pPr>
              <w:pStyle w:val="62"/>
              <w:ind w:firstLine="0" w:firstLineChars="0"/>
              <w:jc w:val="center"/>
              <w:rPr>
                <w:rStyle w:val="31"/>
                <w:rFonts w:hint="default" w:ascii="Times New Roman" w:hAnsi="Times New Roman" w:eastAsia="宋体" w:cs="Times New Roman"/>
                <w:color w:val="auto"/>
                <w:sz w:val="24"/>
                <w:szCs w:val="24"/>
                <w:highlight w:val="none"/>
                <w:u w:val="none"/>
                <w:vertAlign w:val="baseline"/>
                <w:lang w:val="en-US" w:eastAsia="zh-CN"/>
              </w:rPr>
            </w:pPr>
            <w:r>
              <w:rPr>
                <w:rStyle w:val="31"/>
                <w:rFonts w:hint="default" w:ascii="Times New Roman" w:hAnsi="Times New Roman" w:eastAsia="宋体" w:cs="Times New Roman"/>
                <w:color w:val="auto"/>
                <w:sz w:val="24"/>
                <w:szCs w:val="24"/>
                <w:highlight w:val="none"/>
                <w:u w:val="none"/>
                <w:vertAlign w:val="baseline"/>
                <w:lang w:val="en-US" w:eastAsia="zh-CN"/>
              </w:rPr>
              <w:t>《湖南湘阴高新区近期规划（2020-2025）》</w:t>
            </w:r>
            <w:r>
              <w:rPr>
                <w:rStyle w:val="31"/>
                <w:rFonts w:hint="eastAsia" w:cs="Times New Roman"/>
                <w:color w:val="auto"/>
                <w:sz w:val="24"/>
                <w:szCs w:val="24"/>
                <w:highlight w:val="none"/>
                <w:u w:val="none"/>
                <w:vertAlign w:val="baseline"/>
                <w:lang w:val="en-US" w:eastAsia="zh-CN"/>
              </w:rPr>
              <w:t>，</w:t>
            </w:r>
            <w:r>
              <w:rPr>
                <w:rStyle w:val="31"/>
                <w:rFonts w:hint="default" w:ascii="Times New Roman" w:hAnsi="Times New Roman" w:eastAsia="宋体" w:cs="Times New Roman"/>
                <w:color w:val="auto"/>
                <w:sz w:val="24"/>
                <w:szCs w:val="24"/>
                <w:highlight w:val="none"/>
                <w:u w:val="none"/>
                <w:vertAlign w:val="baseline"/>
                <w:lang w:val="en-US" w:eastAsia="zh-CN"/>
              </w:rPr>
              <w:t>湘阴高新技术产业开发区管理委员会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07"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规划环境影响</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rPr>
              <w:t>评价情况</w:t>
            </w:r>
          </w:p>
        </w:tc>
        <w:tc>
          <w:tcPr>
            <w:tcW w:w="8055" w:type="dxa"/>
            <w:gridSpan w:val="3"/>
            <w:vAlign w:val="center"/>
          </w:tcPr>
          <w:p>
            <w:pPr>
              <w:pStyle w:val="62"/>
              <w:spacing w:line="360" w:lineRule="auto"/>
              <w:ind w:firstLine="0" w:firstLineChars="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lang w:val="en-US" w:eastAsia="zh-CN"/>
              </w:rPr>
              <w:t>（1）规划环评名称：《</w:t>
            </w:r>
            <w:r>
              <w:rPr>
                <w:rFonts w:hint="default" w:ascii="Times New Roman" w:hAnsi="Times New Roman" w:cs="Times New Roman"/>
                <w:color w:val="auto"/>
                <w:sz w:val="24"/>
                <w:szCs w:val="24"/>
                <w:u w:val="none"/>
                <w:lang w:val="en-US" w:eastAsia="zh-CN"/>
              </w:rPr>
              <w:t>湖南</w:t>
            </w:r>
            <w:r>
              <w:rPr>
                <w:rFonts w:hint="default" w:ascii="Times New Roman" w:hAnsi="Times New Roman" w:cs="Times New Roman"/>
                <w:color w:val="auto"/>
                <w:sz w:val="24"/>
                <w:szCs w:val="24"/>
                <w:highlight w:val="none"/>
                <w:u w:val="none"/>
                <w:lang w:val="en-US" w:eastAsia="zh-CN"/>
              </w:rPr>
              <w:t>湘阴高新技术产业开发区调区扩区规划环境影响报告书》</w:t>
            </w:r>
          </w:p>
          <w:p>
            <w:pPr>
              <w:pStyle w:val="62"/>
              <w:spacing w:line="360" w:lineRule="auto"/>
              <w:ind w:firstLine="0" w:firstLineChars="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lang w:val="en-US" w:eastAsia="zh-CN"/>
              </w:rPr>
              <w:t>（2）审批机关：湖南省生态环境厅</w:t>
            </w:r>
          </w:p>
          <w:p>
            <w:pPr>
              <w:pStyle w:val="27"/>
              <w:spacing w:before="0" w:after="0" w:line="360" w:lineRule="auto"/>
              <w:ind w:right="0" w:rightChars="0" w:firstLine="0" w:firstLineChars="0"/>
              <w:rPr>
                <w:rStyle w:val="31"/>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lang w:val="en-US" w:eastAsia="zh-CN"/>
              </w:rPr>
              <w:t>（3）审批文号：湘环评函</w:t>
            </w:r>
            <w:r>
              <w:rPr>
                <w:rFonts w:hint="default" w:ascii="Times New Roman" w:hAnsi="Times New Roman" w:cs="Times New Roman"/>
                <w:color w:val="auto"/>
                <w:kern w:val="0"/>
                <w:sz w:val="24"/>
              </w:rPr>
              <w:t>〔2022〕</w:t>
            </w:r>
            <w:r>
              <w:rPr>
                <w:rFonts w:hint="default" w:ascii="Times New Roman" w:hAnsi="Times New Roman" w:cs="Times New Roman"/>
                <w:color w:val="auto"/>
                <w:sz w:val="24"/>
                <w:szCs w:val="24"/>
                <w:highlight w:val="none"/>
                <w:u w:val="none"/>
                <w:lang w:val="en-US" w:eastAsia="zh-CN"/>
              </w:rPr>
              <w:t>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kern w:val="0"/>
                <w:sz w:val="24"/>
                <w:szCs w:val="24"/>
                <w:highlight w:val="none"/>
                <w:u w:val="none"/>
              </w:rPr>
              <w:t>规划及规划环境影响评价符合性分析</w:t>
            </w:r>
          </w:p>
        </w:tc>
        <w:tc>
          <w:tcPr>
            <w:tcW w:w="9090" w:type="dxa"/>
            <w:gridSpan w:val="4"/>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1、规划符合性分析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项目与《湖南湘阴高新区近期规划（2020-2025）》相符性分析如下：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szCs w:val="32"/>
                <w:lang w:val="en-US" w:eastAsia="zh-CN"/>
              </w:rPr>
              <w:t>表1-</w:t>
            </w:r>
            <w:r>
              <w:rPr>
                <w:rFonts w:hint="eastAsia"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lang w:val="en-US" w:eastAsia="zh-CN"/>
              </w:rPr>
              <w:t>项目与《湖南湘阴高新区近期规划（2020-2025）》相符性分析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1"/>
              <w:gridCol w:w="4096"/>
              <w:gridCol w:w="275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序号</w:t>
                  </w:r>
                </w:p>
              </w:tc>
              <w:tc>
                <w:tcPr>
                  <w:tcW w:w="7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类别</w:t>
                  </w:r>
                </w:p>
              </w:tc>
              <w:tc>
                <w:tcPr>
                  <w:tcW w:w="3617"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规划内容</w:t>
                  </w:r>
                </w:p>
              </w:tc>
              <w:tc>
                <w:tcPr>
                  <w:tcW w:w="243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67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u w:val="none" w:color="auto"/>
                      <w:vertAlign w:val="baseline"/>
                      <w:lang w:val="en-US" w:eastAsia="zh-CN"/>
                    </w:rPr>
                    <w:t>区位划分</w:t>
                  </w:r>
                </w:p>
              </w:tc>
              <w:tc>
                <w:tcPr>
                  <w:tcW w:w="361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2"/>
                      <w:szCs w:val="22"/>
                      <w:u w:val="none" w:color="auto"/>
                    </w:rPr>
                    <w:t>金龙片区位于金龙镇南面，范围东至芙蓉北路、南至燎原路、西至西华村、北至安康路，规划范围约为344.78公顷。</w:t>
                  </w:r>
                </w:p>
              </w:tc>
              <w:tc>
                <w:tcPr>
                  <w:tcW w:w="243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本项目位于</w:t>
                  </w:r>
                  <w:r>
                    <w:rPr>
                      <w:rFonts w:hint="eastAsia" w:cs="Times New Roman"/>
                      <w:color w:val="auto"/>
                      <w:lang w:val="en-US" w:eastAsia="zh-CN"/>
                    </w:rPr>
                    <w:t>湘阴高新技术产业开发区金龙片区</w:t>
                  </w:r>
                  <w:r>
                    <w:rPr>
                      <w:rFonts w:hint="default" w:ascii="Times New Roman" w:hAnsi="Times New Roman" w:eastAsia="宋体" w:cs="Times New Roman"/>
                      <w:color w:val="auto"/>
                      <w:lang w:val="en-US" w:eastAsia="zh-CN"/>
                    </w:rPr>
                    <w:t>，属于金龙片区范围内。</w:t>
                  </w:r>
                </w:p>
              </w:tc>
              <w:tc>
                <w:tcPr>
                  <w:tcW w:w="67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7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功能定位</w:t>
                  </w:r>
                </w:p>
              </w:tc>
              <w:tc>
                <w:tcPr>
                  <w:tcW w:w="3617"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发挥靠城（长沙）依江（湘江）的区位优势，立足对接长沙、省级高新技术开发区发展核心平台的有利条件，依托长株潭大经济圈及岳阳、益阳两城市的经济辐射，“以园兴工、以工兴县”的战略，千方百计加大园区基础建设力度，想方设法引进战略投资大户，把园区建成为规模工业企业的集聚区，商贸流通的重点区，城镇化发展的示范区，对外开放的先导区，以及全国较高水平的省级生态环保型城郊综合工业园区。</w:t>
                  </w:r>
                </w:p>
              </w:tc>
              <w:tc>
                <w:tcPr>
                  <w:tcW w:w="243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本项目投产后经济效益显著，将给当地经济和就业带来一定机会，因此本项目符合园区功能定位。</w:t>
                  </w:r>
                </w:p>
              </w:tc>
              <w:tc>
                <w:tcPr>
                  <w:tcW w:w="67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7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产业定位</w:t>
                  </w:r>
                </w:p>
              </w:tc>
              <w:tc>
                <w:tcPr>
                  <w:tcW w:w="3617"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主导产业：绿色装备制造、绿色建筑建材、绿色食品加工。</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配套产业：电子信息、新材料。</w:t>
                  </w:r>
                </w:p>
              </w:tc>
              <w:tc>
                <w:tcPr>
                  <w:tcW w:w="243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本项目主要产品为</w:t>
                  </w:r>
                  <w:r>
                    <w:rPr>
                      <w:rFonts w:hint="eastAsia" w:ascii="Times New Roman" w:hAnsi="Times New Roman" w:eastAsia="宋体" w:cs="Times New Roman"/>
                      <w:color w:val="auto"/>
                      <w:lang w:val="en-US" w:eastAsia="zh-CN"/>
                    </w:rPr>
                    <w:t>焊丝</w:t>
                  </w:r>
                  <w:r>
                    <w:rPr>
                      <w:rFonts w:hint="eastAsia" w:cs="Times New Roman"/>
                      <w:color w:val="auto"/>
                      <w:lang w:val="en-US" w:eastAsia="zh-CN"/>
                    </w:rPr>
                    <w:t>焊材</w:t>
                  </w:r>
                  <w:r>
                    <w:rPr>
                      <w:rFonts w:hint="default" w:ascii="Times New Roman" w:hAnsi="Times New Roman" w:eastAsia="宋体" w:cs="Times New Roman"/>
                      <w:color w:val="auto"/>
                      <w:lang w:val="en-US" w:eastAsia="zh-CN"/>
                    </w:rPr>
                    <w:t>，属于装备制造产业，符合园区产业定位。</w:t>
                  </w:r>
                </w:p>
              </w:tc>
              <w:tc>
                <w:tcPr>
                  <w:tcW w:w="67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7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分区定位</w:t>
                  </w:r>
                </w:p>
              </w:tc>
              <w:tc>
                <w:tcPr>
                  <w:tcW w:w="3617"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金龙片区主要承接长株潭优势产业，重点发展与长株潭相匹配的绿色装备制造、生物医药、电子信息产业。</w:t>
                  </w:r>
                </w:p>
              </w:tc>
              <w:tc>
                <w:tcPr>
                  <w:tcW w:w="243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项目位于金龙片区，主要产品为</w:t>
                  </w:r>
                  <w:r>
                    <w:rPr>
                      <w:rFonts w:hint="eastAsia" w:ascii="Times New Roman" w:hAnsi="Times New Roman" w:eastAsia="宋体" w:cs="Times New Roman"/>
                      <w:color w:val="auto"/>
                      <w:lang w:val="en-US" w:eastAsia="zh-CN"/>
                    </w:rPr>
                    <w:t>焊材、焊丝</w:t>
                  </w:r>
                  <w:r>
                    <w:rPr>
                      <w:rFonts w:hint="default" w:ascii="Times New Roman" w:hAnsi="Times New Roman" w:eastAsia="宋体" w:cs="Times New Roman"/>
                      <w:color w:val="auto"/>
                      <w:lang w:val="en-US" w:eastAsia="zh-CN"/>
                    </w:rPr>
                    <w:t>，属于装备制造产业，与园区定位</w:t>
                  </w:r>
                  <w:r>
                    <w:rPr>
                      <w:rFonts w:hint="eastAsia" w:ascii="Times New Roman" w:hAnsi="Times New Roman" w:eastAsia="宋体" w:cs="Times New Roman"/>
                      <w:color w:val="auto"/>
                      <w:lang w:val="en-US" w:eastAsia="zh-CN"/>
                    </w:rPr>
                    <w:t>相符</w:t>
                  </w:r>
                  <w:r>
                    <w:rPr>
                      <w:rFonts w:hint="default" w:ascii="Times New Roman" w:hAnsi="Times New Roman" w:eastAsia="宋体" w:cs="Times New Roman"/>
                      <w:color w:val="auto"/>
                      <w:lang w:val="en-US" w:eastAsia="zh-CN"/>
                    </w:rPr>
                    <w:t>。</w:t>
                  </w:r>
                </w:p>
              </w:tc>
              <w:tc>
                <w:tcPr>
                  <w:tcW w:w="672"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bl>
          <w:p>
            <w:pPr>
              <w:pStyle w:val="62"/>
              <w:rPr>
                <w:rFonts w:hint="default" w:ascii="Times New Roman" w:hAnsi="Times New Roman" w:eastAsia="宋体" w:cs="宋体"/>
                <w:color w:val="auto"/>
                <w:sz w:val="24"/>
                <w:szCs w:val="24"/>
                <w:highlight w:val="none"/>
                <w:u w:val="none"/>
                <w:lang w:val="en-US" w:eastAsia="zh-CN"/>
              </w:rPr>
            </w:pPr>
            <w:r>
              <w:rPr>
                <w:rFonts w:hint="default" w:ascii="Times New Roman" w:hAnsi="Times New Roman" w:eastAsia="宋体" w:cs="宋体"/>
                <w:color w:val="auto"/>
                <w:sz w:val="24"/>
                <w:szCs w:val="24"/>
                <w:highlight w:val="none"/>
                <w:u w:val="none"/>
                <w:lang w:val="en-US" w:eastAsia="zh-CN"/>
              </w:rPr>
              <w:t>综上，本项目与《湖南湘阴高新区近期规划（2020-2025）》基本相符。</w:t>
            </w:r>
          </w:p>
          <w:p>
            <w:pPr>
              <w:pStyle w:val="56"/>
              <w:rPr>
                <w:rFonts w:hint="eastAsia" w:eastAsia="宋体"/>
                <w:color w:val="auto"/>
                <w:sz w:val="24"/>
                <w:szCs w:val="24"/>
                <w:highlight w:val="none"/>
                <w:u w:val="none"/>
                <w:lang w:eastAsia="zh-CN"/>
              </w:rPr>
            </w:pPr>
            <w:r>
              <w:rPr>
                <w:rFonts w:hint="eastAsia"/>
                <w:color w:val="auto"/>
                <w:sz w:val="24"/>
                <w:szCs w:val="24"/>
                <w:highlight w:val="none"/>
                <w:u w:val="none"/>
                <w:lang w:val="en-US" w:eastAsia="zh-CN"/>
              </w:rPr>
              <w:t>2</w:t>
            </w:r>
            <w:r>
              <w:rPr>
                <w:rFonts w:hint="default"/>
                <w:color w:val="auto"/>
                <w:sz w:val="24"/>
                <w:szCs w:val="24"/>
                <w:highlight w:val="none"/>
                <w:u w:val="none"/>
              </w:rPr>
              <w:t>、与</w:t>
            </w:r>
            <w:r>
              <w:rPr>
                <w:rFonts w:hint="eastAsia"/>
                <w:color w:val="auto"/>
                <w:sz w:val="24"/>
                <w:szCs w:val="24"/>
                <w:highlight w:val="none"/>
                <w:u w:val="none"/>
                <w:lang w:val="en-US" w:eastAsia="zh-CN"/>
              </w:rPr>
              <w:t>湖南</w:t>
            </w:r>
            <w:r>
              <w:rPr>
                <w:rFonts w:hint="default"/>
                <w:color w:val="auto"/>
                <w:sz w:val="24"/>
                <w:szCs w:val="24"/>
                <w:highlight w:val="none"/>
                <w:u w:val="none"/>
              </w:rPr>
              <w:t>湘阴高新技术产业开发区规划符合性分析</w:t>
            </w:r>
          </w:p>
          <w:p>
            <w:pPr>
              <w:pStyle w:val="62"/>
              <w:rPr>
                <w:rFonts w:hint="default" w:eastAsia="宋体"/>
                <w:color w:val="auto"/>
                <w:sz w:val="24"/>
                <w:szCs w:val="24"/>
                <w:highlight w:val="none"/>
                <w:u w:val="none"/>
                <w:lang w:val="en-US" w:eastAsia="zh-CN"/>
              </w:rPr>
            </w:pPr>
            <w:r>
              <w:rPr>
                <w:rFonts w:hint="eastAsia"/>
                <w:color w:val="auto"/>
                <w:sz w:val="24"/>
                <w:szCs w:val="24"/>
                <w:highlight w:val="none"/>
                <w:u w:val="none"/>
                <w:lang w:val="en-US" w:eastAsia="zh-CN"/>
              </w:rPr>
              <w:t>本项目位于湘阴县金龙工业园，本项目用地属于</w:t>
            </w:r>
            <w:r>
              <w:rPr>
                <w:rFonts w:hint="default"/>
                <w:color w:val="auto"/>
                <w:sz w:val="24"/>
                <w:szCs w:val="24"/>
                <w:highlight w:val="none"/>
                <w:u w:val="none"/>
              </w:rPr>
              <w:t>湘阴高新技术产业开发区调区扩区发展方向范围内</w:t>
            </w:r>
            <w:r>
              <w:rPr>
                <w:rFonts w:hint="eastAsia"/>
                <w:color w:val="auto"/>
                <w:sz w:val="24"/>
                <w:szCs w:val="24"/>
                <w:highlight w:val="none"/>
                <w:u w:val="none"/>
                <w:lang w:eastAsia="zh-CN"/>
              </w:rPr>
              <w:t>，</w:t>
            </w:r>
            <w:r>
              <w:rPr>
                <w:rFonts w:hint="eastAsia"/>
                <w:color w:val="auto"/>
                <w:sz w:val="24"/>
                <w:szCs w:val="24"/>
                <w:highlight w:val="none"/>
                <w:u w:val="none"/>
                <w:lang w:val="en-US" w:eastAsia="zh-CN"/>
              </w:rPr>
              <w:t>具体可见附图6</w:t>
            </w:r>
            <w:r>
              <w:rPr>
                <w:rFonts w:hint="eastAsia"/>
                <w:color w:val="auto"/>
                <w:sz w:val="24"/>
                <w:szCs w:val="24"/>
                <w:highlight w:val="none"/>
                <w:u w:val="none"/>
                <w:lang w:eastAsia="zh-CN"/>
              </w:rPr>
              <w:t>。2022年6月，湖南省生态环境厅出具关于《湖湘阴高新技术产业开发区调区扩区规划环境影响报告书》审查意见的函（湘环评函〔2022〕65号）。</w:t>
            </w:r>
            <w:r>
              <w:rPr>
                <w:rFonts w:hint="eastAsia"/>
                <w:color w:val="auto"/>
                <w:sz w:val="24"/>
                <w:szCs w:val="24"/>
                <w:highlight w:val="none"/>
                <w:u w:val="none"/>
                <w:lang w:val="en-US" w:eastAsia="zh-CN"/>
              </w:rPr>
              <w:t>金龙片区重点发展装备制造产业</w:t>
            </w:r>
            <w:r>
              <w:rPr>
                <w:rFonts w:hint="eastAsia"/>
                <w:color w:val="auto"/>
                <w:sz w:val="24"/>
                <w:szCs w:val="24"/>
                <w:highlight w:val="none"/>
                <w:u w:val="none"/>
                <w:lang w:eastAsia="zh-CN"/>
              </w:rPr>
              <w:t>。本项目</w:t>
            </w:r>
            <w:r>
              <w:rPr>
                <w:rFonts w:hint="eastAsia"/>
                <w:color w:val="auto"/>
                <w:sz w:val="24"/>
                <w:szCs w:val="24"/>
                <w:highlight w:val="none"/>
                <w:u w:val="none"/>
                <w:lang w:val="en-US" w:eastAsia="zh-CN"/>
              </w:rPr>
              <w:t>为</w:t>
            </w:r>
            <w:r>
              <w:rPr>
                <w:rStyle w:val="31"/>
                <w:rFonts w:hint="eastAsia" w:cs="Times New Roman"/>
                <w:color w:val="auto"/>
                <w:sz w:val="24"/>
                <w:szCs w:val="24"/>
                <w:highlight w:val="none"/>
                <w:u w:val="none"/>
                <w:vertAlign w:val="baseline"/>
                <w:lang w:val="en-US" w:eastAsia="zh-CN"/>
              </w:rPr>
              <w:t>金属制品制造</w:t>
            </w:r>
            <w:r>
              <w:rPr>
                <w:rFonts w:hint="eastAsia"/>
                <w:color w:val="auto"/>
                <w:sz w:val="24"/>
                <w:szCs w:val="24"/>
                <w:highlight w:val="none"/>
                <w:u w:val="none"/>
                <w:lang w:val="en-US" w:eastAsia="zh-CN"/>
              </w:rPr>
              <w:t>，属于装备制造产业，与园区产业定位相符。</w:t>
            </w:r>
          </w:p>
          <w:p>
            <w:pPr>
              <w:pStyle w:val="62"/>
              <w:rPr>
                <w:rFonts w:hint="eastAsia"/>
                <w:color w:val="auto"/>
                <w:sz w:val="24"/>
                <w:szCs w:val="24"/>
                <w:highlight w:val="none"/>
                <w:u w:val="none"/>
                <w:lang w:eastAsia="zh-CN"/>
              </w:rPr>
            </w:pPr>
            <w:r>
              <w:rPr>
                <w:rFonts w:hint="eastAsia"/>
                <w:color w:val="auto"/>
                <w:sz w:val="24"/>
                <w:szCs w:val="24"/>
                <w:highlight w:val="none"/>
                <w:u w:val="none"/>
                <w:lang w:val="en-US" w:eastAsia="zh-CN"/>
              </w:rPr>
              <w:t>项目</w:t>
            </w:r>
            <w:r>
              <w:rPr>
                <w:rFonts w:hint="eastAsia"/>
                <w:color w:val="auto"/>
                <w:sz w:val="24"/>
                <w:szCs w:val="24"/>
                <w:highlight w:val="none"/>
                <w:u w:val="none"/>
                <w:lang w:eastAsia="zh-CN"/>
              </w:rPr>
              <w:t>与《</w:t>
            </w:r>
            <w:r>
              <w:rPr>
                <w:rFonts w:hint="eastAsia"/>
                <w:color w:val="auto"/>
                <w:sz w:val="24"/>
                <w:szCs w:val="24"/>
                <w:highlight w:val="none"/>
                <w:u w:val="none"/>
                <w:lang w:val="en-US" w:eastAsia="zh-CN"/>
              </w:rPr>
              <w:t>湖南</w:t>
            </w:r>
            <w:r>
              <w:rPr>
                <w:rFonts w:hint="eastAsia"/>
                <w:color w:val="auto"/>
                <w:sz w:val="24"/>
                <w:szCs w:val="24"/>
                <w:highlight w:val="none"/>
                <w:u w:val="none"/>
                <w:lang w:eastAsia="zh-CN"/>
              </w:rPr>
              <w:t>湘阴高新技术产业开发区调区扩区规划环境影响报告书》及其审查意见符合性详见</w:t>
            </w:r>
            <w:r>
              <w:rPr>
                <w:rFonts w:hint="eastAsia"/>
                <w:color w:val="auto"/>
                <w:sz w:val="24"/>
                <w:szCs w:val="24"/>
                <w:highlight w:val="none"/>
                <w:u w:val="none"/>
                <w:lang w:val="en-US" w:eastAsia="zh-CN"/>
              </w:rPr>
              <w:t>下</w:t>
            </w:r>
            <w:r>
              <w:rPr>
                <w:rFonts w:hint="eastAsia"/>
                <w:color w:val="auto"/>
                <w:sz w:val="24"/>
                <w:szCs w:val="24"/>
                <w:highlight w:val="none"/>
                <w:u w:val="none"/>
                <w:lang w:eastAsia="zh-CN"/>
              </w:rPr>
              <w:t>表：</w:t>
            </w:r>
          </w:p>
          <w:p>
            <w:pPr>
              <w:pStyle w:val="60"/>
              <w:rPr>
                <w:rFonts w:hint="default"/>
                <w:color w:val="auto"/>
                <w:sz w:val="24"/>
                <w:szCs w:val="24"/>
                <w:highlight w:val="none"/>
                <w:u w:val="none"/>
                <w:lang w:val="en-US" w:eastAsia="zh-CN"/>
              </w:rPr>
            </w:pPr>
            <w:r>
              <w:rPr>
                <w:rFonts w:hint="default"/>
                <w:color w:val="auto"/>
                <w:sz w:val="24"/>
                <w:szCs w:val="24"/>
                <w:highlight w:val="none"/>
                <w:u w:val="none"/>
                <w:lang w:val="en-US" w:eastAsia="zh-CN"/>
              </w:rPr>
              <w:t>表1-</w:t>
            </w:r>
            <w:r>
              <w:rPr>
                <w:rFonts w:hint="eastAsia"/>
                <w:color w:val="auto"/>
                <w:sz w:val="24"/>
                <w:szCs w:val="24"/>
                <w:highlight w:val="none"/>
                <w:u w:val="none"/>
                <w:lang w:val="en-US" w:eastAsia="zh-CN"/>
              </w:rPr>
              <w:t>3</w:t>
            </w:r>
            <w:r>
              <w:rPr>
                <w:rFonts w:hint="default"/>
                <w:color w:val="auto"/>
                <w:sz w:val="24"/>
                <w:szCs w:val="24"/>
                <w:highlight w:val="none"/>
                <w:u w:val="none"/>
                <w:lang w:val="en-US" w:eastAsia="zh-CN"/>
              </w:rPr>
              <w:t>项目建设与园区规划环评审查意见的相符性分析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4612"/>
              <w:gridCol w:w="2598"/>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序</w:t>
                  </w:r>
                </w:p>
                <w:p>
                  <w:pPr>
                    <w:adjustRightInd w:val="0"/>
                    <w:snapToGrid w:val="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号</w:t>
                  </w:r>
                </w:p>
              </w:tc>
              <w:tc>
                <w:tcPr>
                  <w:tcW w:w="2601" w:type="pct"/>
                  <w:noWrap w:val="0"/>
                  <w:vAlign w:val="center"/>
                </w:tcPr>
                <w:p>
                  <w:pPr>
                    <w:adjustRightInd w:val="0"/>
                    <w:snapToGrid w:val="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湘环评函</w:t>
                  </w:r>
                  <w:r>
                    <w:rPr>
                      <w:rFonts w:hint="eastAsia" w:cs="Times New Roman"/>
                      <w:b/>
                      <w:bCs/>
                      <w:color w:val="auto"/>
                      <w:szCs w:val="21"/>
                      <w:highlight w:val="none"/>
                      <w:u w:val="none"/>
                      <w:lang w:eastAsia="zh-CN"/>
                    </w:rPr>
                    <w:t>〔</w:t>
                  </w:r>
                  <w:r>
                    <w:rPr>
                      <w:rFonts w:hint="default" w:ascii="Times New Roman" w:hAnsi="Times New Roman" w:cs="Times New Roman"/>
                      <w:b/>
                      <w:bCs/>
                      <w:color w:val="auto"/>
                      <w:szCs w:val="21"/>
                      <w:highlight w:val="none"/>
                      <w:u w:val="none"/>
                    </w:rPr>
                    <w:t>20</w:t>
                  </w:r>
                  <w:r>
                    <w:rPr>
                      <w:rFonts w:hint="eastAsia" w:cs="Times New Roman"/>
                      <w:b/>
                      <w:bCs/>
                      <w:color w:val="auto"/>
                      <w:szCs w:val="21"/>
                      <w:highlight w:val="none"/>
                      <w:u w:val="none"/>
                      <w:lang w:val="en-US" w:eastAsia="zh-CN"/>
                    </w:rPr>
                    <w:t>22</w:t>
                  </w:r>
                  <w:r>
                    <w:rPr>
                      <w:rFonts w:hint="eastAsia" w:cs="Times New Roman"/>
                      <w:b/>
                      <w:bCs/>
                      <w:color w:val="auto"/>
                      <w:szCs w:val="21"/>
                      <w:highlight w:val="none"/>
                      <w:u w:val="none"/>
                      <w:lang w:eastAsia="zh-CN"/>
                    </w:rPr>
                    <w:t>〕</w:t>
                  </w:r>
                  <w:r>
                    <w:rPr>
                      <w:rFonts w:hint="eastAsia" w:cs="Times New Roman"/>
                      <w:b/>
                      <w:bCs/>
                      <w:color w:val="auto"/>
                      <w:szCs w:val="21"/>
                      <w:highlight w:val="none"/>
                      <w:u w:val="none"/>
                      <w:lang w:val="en-US" w:eastAsia="zh-CN"/>
                    </w:rPr>
                    <w:t>65</w:t>
                  </w:r>
                  <w:r>
                    <w:rPr>
                      <w:rFonts w:hint="default" w:ascii="Times New Roman" w:hAnsi="Times New Roman" w:cs="Times New Roman"/>
                      <w:b/>
                      <w:bCs/>
                      <w:color w:val="auto"/>
                      <w:szCs w:val="21"/>
                      <w:highlight w:val="none"/>
                      <w:u w:val="none"/>
                    </w:rPr>
                    <w:t>号</w:t>
                  </w:r>
                </w:p>
              </w:tc>
              <w:tc>
                <w:tcPr>
                  <w:tcW w:w="1465" w:type="pct"/>
                  <w:noWrap w:val="0"/>
                  <w:vAlign w:val="center"/>
                </w:tcPr>
                <w:p>
                  <w:pPr>
                    <w:adjustRightInd w:val="0"/>
                    <w:snapToGrid w:val="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项目情况</w:t>
                  </w:r>
                </w:p>
              </w:tc>
              <w:tc>
                <w:tcPr>
                  <w:tcW w:w="593" w:type="pct"/>
                  <w:noWrap w:val="0"/>
                  <w:vAlign w:val="center"/>
                </w:tcPr>
                <w:p>
                  <w:pPr>
                    <w:adjustRightInd w:val="0"/>
                    <w:snapToGrid w:val="0"/>
                    <w:jc w:val="center"/>
                    <w:rPr>
                      <w:rFonts w:hint="default" w:ascii="Times New Roman" w:hAnsi="Times New Roman" w:cs="Times New Roman"/>
                      <w:b/>
                      <w:bCs/>
                      <w:color w:val="auto"/>
                      <w:szCs w:val="21"/>
                      <w:highlight w:val="none"/>
                      <w:u w:val="none"/>
                    </w:rPr>
                  </w:pPr>
                  <w:r>
                    <w:rPr>
                      <w:rFonts w:hint="default" w:ascii="Times New Roman" w:hAnsi="Times New Roman" w:cs="Times New Roman"/>
                      <w:b/>
                      <w:bCs/>
                      <w:color w:val="auto"/>
                      <w:szCs w:val="21"/>
                      <w:highlight w:val="none"/>
                      <w:u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1</w:t>
                  </w:r>
                </w:p>
              </w:tc>
              <w:tc>
                <w:tcPr>
                  <w:tcW w:w="2601" w:type="pct"/>
                  <w:noWrap w:val="0"/>
                  <w:vAlign w:val="center"/>
                </w:tcPr>
                <w:p>
                  <w:pPr>
                    <w:adjustRightInd w:val="0"/>
                    <w:snapToGrid w:val="0"/>
                    <w:jc w:val="left"/>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严格依规开发，优化空间功能布局。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湘阴县政府应确保落实湘阴政函</w:t>
                  </w:r>
                  <w:r>
                    <w:rPr>
                      <w:rFonts w:hint="eastAsia" w:cs="Times New Roman"/>
                      <w:color w:val="auto"/>
                      <w:szCs w:val="21"/>
                      <w:highlight w:val="none"/>
                      <w:u w:val="none"/>
                      <w:lang w:eastAsia="zh-CN"/>
                    </w:rPr>
                    <w:t>〔</w:t>
                  </w:r>
                  <w:r>
                    <w:rPr>
                      <w:rFonts w:hint="default" w:ascii="Times New Roman" w:hAnsi="Times New Roman" w:cs="Times New Roman"/>
                      <w:color w:val="auto"/>
                      <w:szCs w:val="21"/>
                      <w:highlight w:val="none"/>
                      <w:u w:val="none"/>
                    </w:rPr>
                    <w:t>2022</w:t>
                  </w:r>
                  <w:r>
                    <w:rPr>
                      <w:rFonts w:hint="eastAsia" w:cs="Times New Roman"/>
                      <w:color w:val="auto"/>
                      <w:szCs w:val="21"/>
                      <w:highlight w:val="none"/>
                      <w:u w:val="none"/>
                      <w:lang w:eastAsia="zh-CN"/>
                    </w:rPr>
                    <w:t>〕</w:t>
                  </w:r>
                  <w:r>
                    <w:rPr>
                      <w:rFonts w:hint="default" w:ascii="Times New Roman" w:hAnsi="Times New Roman" w:cs="Times New Roman"/>
                      <w:color w:val="auto"/>
                      <w:szCs w:val="21"/>
                      <w:highlight w:val="none"/>
                      <w:u w:val="none"/>
                    </w:rPr>
                    <w:t>108号承诺函对湘阴县老工业区17家企业的搬迁和退出方案切实推进企业入园发展，不得违反相关规定要求在园区外新增工业项目。新引进项目及园外企业搬迁入园过程中应着重从降低环境影响的角度出发合理选址布局，不得在一类工业用地上布局与之功能定位不相符的工业项目。</w:t>
                  </w:r>
                </w:p>
              </w:tc>
              <w:tc>
                <w:tcPr>
                  <w:tcW w:w="1465" w:type="pct"/>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lang w:val="en-US" w:eastAsia="zh-CN"/>
                    </w:rPr>
                    <w:t>本项目位于金龙</w:t>
                  </w:r>
                  <w:r>
                    <w:rPr>
                      <w:rFonts w:hint="eastAsia" w:cs="Times New Roman"/>
                      <w:color w:val="auto"/>
                      <w:szCs w:val="21"/>
                      <w:highlight w:val="none"/>
                      <w:u w:val="none"/>
                      <w:lang w:val="en-US" w:eastAsia="zh-CN"/>
                    </w:rPr>
                    <w:t>片区</w:t>
                  </w:r>
                  <w:r>
                    <w:rPr>
                      <w:rFonts w:hint="default" w:ascii="Times New Roman" w:hAnsi="Times New Roman" w:eastAsia="宋体" w:cs="Times New Roman"/>
                      <w:color w:val="auto"/>
                      <w:szCs w:val="21"/>
                      <w:highlight w:val="none"/>
                      <w:u w:val="none"/>
                      <w:lang w:val="en-US" w:eastAsia="zh-CN"/>
                    </w:rPr>
                    <w:t>工业用地范围，属于</w:t>
                  </w:r>
                  <w:r>
                    <w:rPr>
                      <w:rFonts w:hint="eastAsia" w:cs="Times New Roman"/>
                      <w:color w:val="auto"/>
                      <w:szCs w:val="21"/>
                      <w:highlight w:val="none"/>
                      <w:u w:val="none"/>
                      <w:lang w:val="en-US" w:eastAsia="zh-CN"/>
                    </w:rPr>
                    <w:t>改扩建</w:t>
                  </w:r>
                  <w:r>
                    <w:rPr>
                      <w:rFonts w:hint="default" w:ascii="Times New Roman" w:hAnsi="Times New Roman" w:eastAsia="宋体" w:cs="Times New Roman"/>
                      <w:color w:val="auto"/>
                      <w:szCs w:val="21"/>
                      <w:highlight w:val="none"/>
                      <w:u w:val="none"/>
                      <w:lang w:val="en-US" w:eastAsia="zh-CN"/>
                    </w:rPr>
                    <w:t>项目，不属于新引进项目，用地性质符合园区规划和定位。</w:t>
                  </w:r>
                </w:p>
              </w:tc>
              <w:tc>
                <w:tcPr>
                  <w:tcW w:w="593"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2</w:t>
                  </w:r>
                </w:p>
              </w:tc>
              <w:tc>
                <w:tcPr>
                  <w:tcW w:w="2601" w:type="pct"/>
                  <w:noWrap w:val="0"/>
                  <w:vAlign w:val="center"/>
                </w:tcPr>
                <w:p>
                  <w:pPr>
                    <w:adjustRightInd w:val="0"/>
                    <w:snapToGrid w:val="0"/>
                    <w:jc w:val="left"/>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严格环境准入，优化园区产业结构。园区产业引进应严格遵循《长江保护法》《长江经济带发展负面清单》《湘江保护条例》《洞庭湖保护条例》等法律法规及相关政策的要求，落实园区“三线一单”环境准入要求，严格执行《报告书》提出的产业定位和生态环境准入清单。对于园区外已有企业或项目的搬迁入园应确保实现其清洁生产水平的提升与污染物排放总量的降低。</w:t>
                  </w:r>
                </w:p>
              </w:tc>
              <w:tc>
                <w:tcPr>
                  <w:tcW w:w="1465"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项目属于</w:t>
                  </w:r>
                  <w:r>
                    <w:rPr>
                      <w:rStyle w:val="31"/>
                      <w:rFonts w:hint="eastAsia" w:cs="Times New Roman"/>
                      <w:color w:val="auto"/>
                      <w:sz w:val="21"/>
                      <w:szCs w:val="21"/>
                      <w:highlight w:val="none"/>
                      <w:u w:val="none"/>
                      <w:vertAlign w:val="baseline"/>
                      <w:lang w:val="en-US" w:eastAsia="zh-CN"/>
                    </w:rPr>
                    <w:t>金属制品制造</w:t>
                  </w:r>
                  <w:r>
                    <w:rPr>
                      <w:rFonts w:hint="default" w:ascii="Times New Roman" w:hAnsi="Times New Roman" w:cs="Times New Roman"/>
                      <w:color w:val="auto"/>
                      <w:szCs w:val="21"/>
                      <w:highlight w:val="none"/>
                      <w:u w:val="none"/>
                    </w:rPr>
                    <w:t>，符合园区规划产业。项目符合《长江保护法》《长江经济带发展负面清单》《湘江保护条例》《洞庭湖保护条例》等法律法规及相关政策的要求。项目不属于园区规划环评中负面清单产业。</w:t>
                  </w:r>
                </w:p>
              </w:tc>
              <w:tc>
                <w:tcPr>
                  <w:tcW w:w="593"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3</w:t>
                  </w:r>
                </w:p>
              </w:tc>
              <w:tc>
                <w:tcPr>
                  <w:tcW w:w="2601" w:type="pct"/>
                  <w:noWrap w:val="0"/>
                  <w:vAlign w:val="center"/>
                </w:tcPr>
                <w:p>
                  <w:pPr>
                    <w:pStyle w:val="75"/>
                    <w:bidi w:val="0"/>
                    <w:jc w:val="left"/>
                    <w:rPr>
                      <w:rFonts w:hint="default"/>
                      <w:color w:val="auto"/>
                      <w:highlight w:val="none"/>
                      <w:u w:val="none"/>
                    </w:rPr>
                  </w:pPr>
                  <w:r>
                    <w:rPr>
                      <w:rFonts w:hint="eastAsia"/>
                      <w:color w:val="auto"/>
                      <w:highlight w:val="none"/>
                      <w:u w:val="none"/>
                      <w:lang w:val="en-US" w:eastAsia="zh-CN"/>
                    </w:rPr>
                    <w:t>落实管控措施，加强园区排污管理。完善污水管网建设，做好雨污分流，确保园区各片区生产生活废水应收尽收，集中排入污水处理厂，园区不得超过污水处理厂的处理能力和入河排污口设置审批所规定的废水排放量引进项目。金龙片区应按承诺时限要求完成湘阴县第三污水处理厂提标升级改造工作，其排放标准应按《湖南省城镇污水处理厂主要水污染物排放标准》</w:t>
                  </w:r>
                  <w:r>
                    <w:rPr>
                      <w:rFonts w:hint="default"/>
                      <w:color w:val="auto"/>
                      <w:highlight w:val="none"/>
                      <w:u w:val="none"/>
                      <w:lang w:val="en-US" w:eastAsia="zh-CN"/>
                    </w:rPr>
                    <w:t>(DB43/T1546-2018)</w:t>
                  </w:r>
                  <w:r>
                    <w:rPr>
                      <w:rFonts w:hint="eastAsia"/>
                      <w:color w:val="auto"/>
                      <w:highlight w:val="none"/>
                      <w:u w:val="none"/>
                      <w:lang w:val="en-US" w:eastAsia="zh-CN"/>
                    </w:rPr>
                    <w:t>一级标准予以执行。园区应推广使用清洁能源，加强园区大气污染防治，采取有效措施减少污染物排放总量，严格控制无组织排放，加强对园区企业</w:t>
                  </w:r>
                  <w:r>
                    <w:rPr>
                      <w:rFonts w:hint="default"/>
                      <w:color w:val="auto"/>
                      <w:highlight w:val="none"/>
                      <w:u w:val="none"/>
                      <w:lang w:val="en-US" w:eastAsia="zh-CN"/>
                    </w:rPr>
                    <w:t>VOCs</w:t>
                  </w:r>
                  <w:r>
                    <w:rPr>
                      <w:rFonts w:hint="eastAsia"/>
                      <w:color w:val="auto"/>
                      <w:highlight w:val="none"/>
                      <w:u w:val="none"/>
                      <w:lang w:val="en-US" w:eastAsia="zh-CN"/>
                    </w:rPr>
                    <w:t>排放的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企业须严格落实排污许可制度和污染物排放总量控制，推动入园企业开展清洁生产审核。</w:t>
                  </w:r>
                </w:p>
              </w:tc>
              <w:tc>
                <w:tcPr>
                  <w:tcW w:w="1465"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highlight w:val="none"/>
                      <w:u w:val="none"/>
                      <w:lang w:val="en-US" w:eastAsia="zh-CN" w:bidi="ar"/>
                    </w:rPr>
                    <w:t>本项目生产废水</w:t>
                  </w:r>
                  <w:r>
                    <w:rPr>
                      <w:rFonts w:hint="eastAsia" w:ascii="宋体" w:hAnsi="宋体" w:cs="宋体"/>
                      <w:color w:val="auto"/>
                      <w:kern w:val="0"/>
                      <w:sz w:val="21"/>
                      <w:szCs w:val="21"/>
                      <w:highlight w:val="none"/>
                      <w:u w:val="none"/>
                      <w:lang w:val="en-US" w:eastAsia="zh-CN" w:bidi="ar"/>
                    </w:rPr>
                    <w:t>经</w:t>
                  </w:r>
                  <w:r>
                    <w:rPr>
                      <w:rFonts w:hint="eastAsia"/>
                      <w:color w:val="auto"/>
                      <w:szCs w:val="21"/>
                      <w:highlight w:val="none"/>
                      <w:lang w:eastAsia="zh-CN"/>
                    </w:rPr>
                    <w:t>中和</w:t>
                  </w:r>
                  <w:r>
                    <w:rPr>
                      <w:rFonts w:hint="eastAsia"/>
                      <w:color w:val="auto"/>
                      <w:szCs w:val="21"/>
                      <w:highlight w:val="none"/>
                      <w:lang w:val="en-US" w:eastAsia="zh-CN"/>
                    </w:rPr>
                    <w:t>+混凝+沉淀+砂滤处理达标后排入湘阴第三污水处理厂</w:t>
                  </w:r>
                  <w:r>
                    <w:rPr>
                      <w:rFonts w:hint="eastAsia" w:ascii="宋体" w:hAnsi="宋体" w:eastAsia="宋体" w:cs="宋体"/>
                      <w:color w:val="auto"/>
                      <w:kern w:val="0"/>
                      <w:sz w:val="21"/>
                      <w:szCs w:val="21"/>
                      <w:highlight w:val="none"/>
                      <w:u w:val="none"/>
                      <w:lang w:val="en-US" w:eastAsia="zh-CN" w:bidi="ar"/>
                    </w:rPr>
                    <w:t>，生活</w:t>
                  </w:r>
                  <w:r>
                    <w:rPr>
                      <w:rFonts w:hint="eastAsia" w:ascii="宋体" w:hAnsi="宋体" w:cs="宋体"/>
                      <w:color w:val="auto"/>
                      <w:kern w:val="0"/>
                      <w:sz w:val="21"/>
                      <w:szCs w:val="21"/>
                      <w:highlight w:val="none"/>
                      <w:u w:val="none"/>
                      <w:lang w:val="en-US" w:eastAsia="zh-CN" w:bidi="ar"/>
                    </w:rPr>
                    <w:t>污水</w:t>
                  </w:r>
                  <w:r>
                    <w:rPr>
                      <w:rFonts w:hint="eastAsia" w:ascii="宋体" w:hAnsi="宋体" w:eastAsia="宋体" w:cs="宋体"/>
                      <w:color w:val="auto"/>
                      <w:kern w:val="0"/>
                      <w:sz w:val="21"/>
                      <w:szCs w:val="21"/>
                      <w:highlight w:val="none"/>
                      <w:u w:val="none"/>
                      <w:lang w:val="en-US" w:eastAsia="zh-CN" w:bidi="ar"/>
                    </w:rPr>
                    <w:t>经过化粪池处理</w:t>
                  </w:r>
                  <w:r>
                    <w:rPr>
                      <w:rFonts w:hint="eastAsia"/>
                      <w:color w:val="auto"/>
                      <w:szCs w:val="21"/>
                      <w:highlight w:val="none"/>
                      <w:lang w:val="en-US" w:eastAsia="zh-CN"/>
                    </w:rPr>
                    <w:t>达标</w:t>
                  </w:r>
                  <w:r>
                    <w:rPr>
                      <w:rFonts w:hint="eastAsia" w:ascii="宋体" w:hAnsi="宋体" w:eastAsia="宋体" w:cs="宋体"/>
                      <w:color w:val="auto"/>
                      <w:kern w:val="0"/>
                      <w:sz w:val="21"/>
                      <w:szCs w:val="21"/>
                      <w:highlight w:val="none"/>
                      <w:u w:val="none"/>
                      <w:lang w:val="en-US" w:eastAsia="zh-CN" w:bidi="ar"/>
                    </w:rPr>
                    <w:t>后</w:t>
                  </w:r>
                  <w:r>
                    <w:rPr>
                      <w:rFonts w:hint="eastAsia"/>
                      <w:color w:val="auto"/>
                      <w:szCs w:val="21"/>
                      <w:highlight w:val="none"/>
                      <w:lang w:val="en-US" w:eastAsia="zh-CN"/>
                    </w:rPr>
                    <w:t>排入湘阴第三污水处理厂</w:t>
                  </w:r>
                  <w:r>
                    <w:rPr>
                      <w:rFonts w:hint="eastAsia" w:ascii="宋体" w:hAnsi="宋体" w:cs="宋体"/>
                      <w:color w:val="auto"/>
                      <w:kern w:val="0"/>
                      <w:sz w:val="21"/>
                      <w:szCs w:val="21"/>
                      <w:highlight w:val="none"/>
                      <w:u w:val="none"/>
                      <w:lang w:val="en-US" w:eastAsia="zh-CN" w:bidi="ar"/>
                    </w:rPr>
                    <w:t>；</w:t>
                  </w:r>
                  <w:r>
                    <w:rPr>
                      <w:rFonts w:hint="eastAsia" w:cs="Times New Roman"/>
                      <w:color w:val="auto"/>
                      <w:sz w:val="21"/>
                      <w:szCs w:val="21"/>
                      <w:highlight w:val="none"/>
                      <w:u w:val="none"/>
                      <w:lang w:val="en-US" w:eastAsia="zh-CN"/>
                    </w:rPr>
                    <w:t>酸雾废气经处理达标后经15m高排气筒排放；粉尘经布袋除尘处理达标后经15m高排气筒排放；注塑废气经两级活性炭吸附处理达标后经15m高排气筒排放。</w:t>
                  </w:r>
                  <w:r>
                    <w:rPr>
                      <w:rFonts w:hint="default" w:ascii="Times New Roman" w:hAnsi="Times New Roman" w:eastAsia="宋体" w:cs="Times New Roman"/>
                      <w:color w:val="auto"/>
                      <w:sz w:val="21"/>
                      <w:szCs w:val="21"/>
                      <w:highlight w:val="none"/>
                      <w:vertAlign w:val="baseline"/>
                      <w:lang w:val="en-US" w:eastAsia="zh-CN"/>
                    </w:rPr>
                    <w:t>一般工业固废收集后暂存于固废暂存间</w:t>
                  </w:r>
                  <w:r>
                    <w:rPr>
                      <w:rFonts w:hint="eastAsia" w:ascii="Times New Roman" w:hAnsi="Times New Roman" w:eastAsia="宋体" w:cs="Times New Roman"/>
                      <w:color w:val="auto"/>
                      <w:sz w:val="21"/>
                      <w:szCs w:val="21"/>
                      <w:highlight w:val="none"/>
                      <w:vertAlign w:val="baseline"/>
                      <w:lang w:val="en-US" w:eastAsia="zh-CN"/>
                    </w:rPr>
                    <w:t>后外售</w:t>
                  </w:r>
                  <w:r>
                    <w:rPr>
                      <w:rFonts w:hint="default" w:ascii="Times New Roman" w:hAnsi="Times New Roman" w:eastAsia="宋体" w:cs="Times New Roman"/>
                      <w:color w:val="auto"/>
                      <w:sz w:val="21"/>
                      <w:szCs w:val="21"/>
                      <w:highlight w:val="none"/>
                      <w:vertAlign w:val="baseline"/>
                      <w:lang w:val="en-US" w:eastAsia="zh-CN"/>
                    </w:rPr>
                    <w:t>。危险废物收集在</w:t>
                  </w:r>
                  <w:r>
                    <w:rPr>
                      <w:rFonts w:hint="eastAsia" w:ascii="Times New Roman" w:hAnsi="Times New Roman" w:eastAsia="宋体" w:cs="Times New Roman"/>
                      <w:color w:val="auto"/>
                      <w:sz w:val="21"/>
                      <w:szCs w:val="21"/>
                      <w:highlight w:val="none"/>
                      <w:vertAlign w:val="baseline"/>
                      <w:lang w:val="en-US" w:eastAsia="zh-CN"/>
                    </w:rPr>
                    <w:t>危</w:t>
                  </w:r>
                  <w:r>
                    <w:rPr>
                      <w:rFonts w:hint="default" w:ascii="Times New Roman" w:hAnsi="Times New Roman" w:eastAsia="宋体" w:cs="Times New Roman"/>
                      <w:color w:val="auto"/>
                      <w:sz w:val="21"/>
                      <w:szCs w:val="21"/>
                      <w:vertAlign w:val="baseline"/>
                      <w:lang w:val="en-US" w:eastAsia="zh-CN"/>
                    </w:rPr>
                    <w:t>废暂存间，交由有资质单位处理。</w:t>
                  </w:r>
                </w:p>
                <w:p>
                  <w:pPr>
                    <w:keepNext w:val="0"/>
                    <w:keepLines w:val="0"/>
                    <w:widowControl/>
                    <w:suppressLineNumbers w:val="0"/>
                    <w:jc w:val="left"/>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color w:val="auto"/>
                      <w:sz w:val="21"/>
                      <w:szCs w:val="21"/>
                      <w:vertAlign w:val="baseline"/>
                      <w:lang w:val="en-US" w:eastAsia="zh-CN"/>
                    </w:rPr>
                    <w:t>本项目</w:t>
                  </w:r>
                  <w:r>
                    <w:rPr>
                      <w:rFonts w:hint="eastAsia" w:cs="Times New Roman"/>
                      <w:color w:val="auto"/>
                      <w:sz w:val="21"/>
                      <w:szCs w:val="21"/>
                      <w:vertAlign w:val="baseline"/>
                      <w:lang w:val="en-US" w:eastAsia="zh-CN"/>
                    </w:rPr>
                    <w:t>改扩建</w:t>
                  </w:r>
                  <w:r>
                    <w:rPr>
                      <w:rFonts w:hint="default" w:ascii="Times New Roman" w:hAnsi="Times New Roman" w:eastAsia="宋体" w:cs="Times New Roman"/>
                      <w:color w:val="auto"/>
                      <w:sz w:val="21"/>
                      <w:szCs w:val="21"/>
                      <w:vertAlign w:val="baseline"/>
                      <w:lang w:val="en-US" w:eastAsia="zh-CN"/>
                    </w:rPr>
                    <w:t>建成后会严格落实排污许可制度和污染物排放总量控制</w:t>
                  </w:r>
                  <w:r>
                    <w:rPr>
                      <w:rFonts w:hint="eastAsia" w:ascii="Times New Roman" w:hAnsi="Times New Roman" w:eastAsia="宋体" w:cs="Times New Roman"/>
                      <w:color w:val="auto"/>
                      <w:sz w:val="21"/>
                      <w:szCs w:val="21"/>
                      <w:vertAlign w:val="baseline"/>
                      <w:lang w:val="en-US" w:eastAsia="zh-CN"/>
                    </w:rPr>
                    <w:t>。</w:t>
                  </w:r>
                </w:p>
              </w:tc>
              <w:tc>
                <w:tcPr>
                  <w:tcW w:w="593"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4</w:t>
                  </w:r>
                </w:p>
              </w:tc>
              <w:tc>
                <w:tcPr>
                  <w:tcW w:w="2601" w:type="pct"/>
                  <w:noWrap w:val="0"/>
                  <w:vAlign w:val="center"/>
                </w:tcPr>
                <w:p>
                  <w:pPr>
                    <w:pStyle w:val="75"/>
                    <w:bidi w:val="0"/>
                    <w:jc w:val="both"/>
                    <w:rPr>
                      <w:rFonts w:hint="default"/>
                      <w:color w:val="auto"/>
                      <w:highlight w:val="none"/>
                      <w:u w:val="none"/>
                    </w:rPr>
                  </w:pPr>
                  <w:r>
                    <w:rPr>
                      <w:rFonts w:hint="eastAsia"/>
                      <w:color w:val="auto"/>
                      <w:highlight w:val="none"/>
                      <w:u w:val="none"/>
                      <w:lang w:val="en-US" w:eastAsia="zh-CN"/>
                    </w:rPr>
                    <w:t>完善监测体系，监控环境质量变化状况。结合园区规划的功能分区、产业布局、重点企业分布、特征污染物的排放种类和状况、环境敏感目标分布等，建立健全环境空气、地表水、地下水、土壤等环境要素的监控体系。合理布局大气小微站，并涵盖相关特征污染物监测。</w:t>
                  </w:r>
                </w:p>
              </w:tc>
              <w:tc>
                <w:tcPr>
                  <w:tcW w:w="1465" w:type="pct"/>
                  <w:noWrap w:val="0"/>
                  <w:vAlign w:val="center"/>
                </w:tcPr>
                <w:p>
                  <w:pPr>
                    <w:adjustRightInd w:val="0"/>
                    <w:snapToGrid w:val="0"/>
                    <w:jc w:val="both"/>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本项目按要求设置了环境空气等环境要素的监测计划。</w:t>
                  </w:r>
                </w:p>
              </w:tc>
              <w:tc>
                <w:tcPr>
                  <w:tcW w:w="593"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5</w:t>
                  </w:r>
                </w:p>
              </w:tc>
              <w:tc>
                <w:tcPr>
                  <w:tcW w:w="2601" w:type="pct"/>
                  <w:noWrap w:val="0"/>
                  <w:vAlign w:val="center"/>
                </w:tcPr>
                <w:p>
                  <w:pPr>
                    <w:pStyle w:val="75"/>
                    <w:bidi w:val="0"/>
                    <w:jc w:val="both"/>
                    <w:rPr>
                      <w:rFonts w:hint="default"/>
                      <w:color w:val="auto"/>
                      <w:highlight w:val="none"/>
                      <w:u w:val="none"/>
                    </w:rPr>
                  </w:pPr>
                  <w:r>
                    <w:rPr>
                      <w:rFonts w:hint="eastAsia"/>
                      <w:color w:val="auto"/>
                      <w:highlight w:val="none"/>
                      <w:u w:val="none"/>
                      <w:lang w:val="en-US" w:eastAsia="zh-CN"/>
                    </w:rPr>
                    <w:t>强化风险管控，严防园区环境事故。建立健全园区环境风险管理工作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急处置能力。</w:t>
                  </w:r>
                </w:p>
              </w:tc>
              <w:tc>
                <w:tcPr>
                  <w:tcW w:w="1465" w:type="pct"/>
                  <w:noWrap w:val="0"/>
                  <w:vAlign w:val="center"/>
                </w:tcPr>
                <w:p>
                  <w:pPr>
                    <w:adjustRightInd w:val="0"/>
                    <w:snapToGrid w:val="0"/>
                    <w:jc w:val="both"/>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企业现有工程已建立较为完善的环境风险防控措施，编制了应急预案并进行了备案。本项目</w:t>
                  </w:r>
                  <w:r>
                    <w:rPr>
                      <w:rFonts w:hint="eastAsia" w:cs="Times New Roman"/>
                      <w:color w:val="auto"/>
                      <w:szCs w:val="21"/>
                      <w:highlight w:val="none"/>
                      <w:u w:val="none"/>
                      <w:lang w:val="en-US" w:eastAsia="zh-CN"/>
                    </w:rPr>
                    <w:t>改扩建</w:t>
                  </w:r>
                  <w:r>
                    <w:rPr>
                      <w:rFonts w:hint="default" w:ascii="Times New Roman" w:hAnsi="Times New Roman" w:cs="Times New Roman"/>
                      <w:color w:val="auto"/>
                      <w:szCs w:val="21"/>
                      <w:highlight w:val="none"/>
                      <w:u w:val="none"/>
                    </w:rPr>
                    <w:t>后，企业将对环境风险防控措施进行完善，并对应急预案进行修编；同时企业将加强应急救援队伍、装备和设施的建设，储备必要的应急物资，并定期组织人员进行应急演练。</w:t>
                  </w:r>
                </w:p>
              </w:tc>
              <w:tc>
                <w:tcPr>
                  <w:tcW w:w="593"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noWrap w:val="0"/>
                  <w:vAlign w:val="center"/>
                </w:tcPr>
                <w:p>
                  <w:pPr>
                    <w:adjustRightInd w:val="0"/>
                    <w:snapToGrid w:val="0"/>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6</w:t>
                  </w:r>
                </w:p>
              </w:tc>
              <w:tc>
                <w:tcPr>
                  <w:tcW w:w="2601" w:type="pct"/>
                  <w:noWrap w:val="0"/>
                  <w:vAlign w:val="center"/>
                </w:tcPr>
                <w:p>
                  <w:pPr>
                    <w:keepNext w:val="0"/>
                    <w:keepLines w:val="0"/>
                    <w:widowControl/>
                    <w:suppressLineNumbers w:val="0"/>
                    <w:jc w:val="left"/>
                    <w:rPr>
                      <w:color w:val="auto"/>
                      <w:highlight w:val="none"/>
                      <w:u w:val="none"/>
                    </w:rPr>
                  </w:pPr>
                  <w:r>
                    <w:rPr>
                      <w:rFonts w:hint="eastAsia" w:ascii="宋体" w:hAnsi="宋体" w:eastAsia="宋体" w:cs="宋体"/>
                      <w:color w:val="auto"/>
                      <w:kern w:val="0"/>
                      <w:sz w:val="21"/>
                      <w:szCs w:val="21"/>
                      <w:highlight w:val="none"/>
                      <w:u w:val="none"/>
                      <w:lang w:val="en-US" w:eastAsia="zh-CN" w:bidi="ar"/>
                    </w:rPr>
                    <w:t>做好周边控规，落实拆迁安置计划。严格做好控规，杜绝在规划的工业用地上新增</w:t>
                  </w:r>
                </w:p>
                <w:p>
                  <w:pPr>
                    <w:keepNext w:val="0"/>
                    <w:keepLines w:val="0"/>
                    <w:widowControl/>
                    <w:suppressLineNumbers w:val="0"/>
                    <w:jc w:val="left"/>
                    <w:rPr>
                      <w:rFonts w:hint="default" w:ascii="Times New Roman" w:hAnsi="Times New Roman" w:cs="Times New Roman"/>
                      <w:color w:val="auto"/>
                      <w:szCs w:val="21"/>
                      <w:highlight w:val="none"/>
                      <w:u w:val="none"/>
                    </w:rPr>
                  </w:pPr>
                  <w:r>
                    <w:rPr>
                      <w:rFonts w:hint="eastAsia" w:ascii="宋体" w:hAnsi="宋体" w:eastAsia="宋体" w:cs="宋体"/>
                      <w:color w:val="auto"/>
                      <w:kern w:val="0"/>
                      <w:sz w:val="21"/>
                      <w:szCs w:val="21"/>
                      <w:highlight w:val="none"/>
                      <w:u w:val="none"/>
                      <w:lang w:val="en-US" w:eastAsia="zh-CN" w:bidi="ar"/>
                    </w:rPr>
                    <w:t>环境敏感目标，确保园区开发过程中的居民拆迁安置到位，防止发生居民再次安置和次生环境问题。对于具体项目环评设置防护距离和拆迁要求的，要确保予以落实。</w:t>
                  </w:r>
                </w:p>
              </w:tc>
              <w:tc>
                <w:tcPr>
                  <w:tcW w:w="1465" w:type="pct"/>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本项目不涉及拆迁安置</w:t>
                  </w:r>
                </w:p>
              </w:tc>
              <w:tc>
                <w:tcPr>
                  <w:tcW w:w="593" w:type="pct"/>
                  <w:noWrap w:val="0"/>
                  <w:vAlign w:val="center"/>
                </w:tcPr>
                <w:p>
                  <w:pPr>
                    <w:adjustRightInd w:val="0"/>
                    <w:snapToGrid w:val="0"/>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相符</w:t>
                  </w:r>
                </w:p>
              </w:tc>
            </w:tr>
          </w:tbl>
          <w:p>
            <w:pPr>
              <w:pStyle w:val="60"/>
              <w:spacing w:line="240" w:lineRule="auto"/>
              <w:rPr>
                <w:rFonts w:hint="default" w:ascii="Times New Roman" w:hAnsi="Times New Roman" w:eastAsia="宋体" w:cs="宋体"/>
                <w:color w:val="auto"/>
                <w:sz w:val="24"/>
                <w:szCs w:val="24"/>
                <w:highlight w:val="none"/>
                <w:u w:val="none"/>
                <w:lang w:val="en-US" w:eastAsia="zh-CN"/>
              </w:rPr>
            </w:pPr>
            <w:r>
              <w:rPr>
                <w:rFonts w:hint="eastAsia" w:ascii="Times New Roman" w:hAnsi="Times New Roman" w:eastAsia="宋体" w:cs="宋体"/>
                <w:color w:val="auto"/>
                <w:sz w:val="24"/>
                <w:szCs w:val="24"/>
                <w:highlight w:val="none"/>
                <w:u w:val="none"/>
                <w:lang w:val="en-US" w:eastAsia="zh-CN"/>
              </w:rPr>
              <w:t>表1-4与湘阴高新区环境准入行业清单符合性分析</w:t>
            </w:r>
          </w:p>
          <w:tbl>
            <w:tblPr>
              <w:tblStyle w:val="92"/>
              <w:tblW w:w="4998"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769"/>
              <w:gridCol w:w="3895"/>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5" w:type="pct"/>
                  <w:gridSpan w:val="2"/>
                  <w:tcBorders>
                    <w:tl2br w:val="nil"/>
                    <w:tr2bl w:val="nil"/>
                  </w:tcBorders>
                  <w:noWrap w:val="0"/>
                  <w:vAlign w:val="center"/>
                </w:tcPr>
                <w:p>
                  <w:pPr>
                    <w:jc w:val="center"/>
                    <w:rPr>
                      <w:rFonts w:hint="default" w:ascii="Times New Roman" w:hAnsi="Times New Roman" w:eastAsia="宋体" w:cs="Times New Roman"/>
                      <w:b/>
                      <w:bCs/>
                      <w:color w:val="auto"/>
                      <w:kern w:val="0"/>
                      <w:szCs w:val="21"/>
                      <w:u w:val="none" w:color="auto"/>
                      <w:lang w:bidi="ar"/>
                    </w:rPr>
                  </w:pPr>
                  <w:r>
                    <w:rPr>
                      <w:rFonts w:hint="default" w:ascii="Times New Roman" w:hAnsi="Times New Roman" w:eastAsia="宋体" w:cs="Times New Roman"/>
                      <w:b/>
                      <w:bCs/>
                      <w:color w:val="auto"/>
                      <w:kern w:val="0"/>
                      <w:szCs w:val="21"/>
                      <w:u w:val="none" w:color="auto"/>
                      <w:lang w:bidi="ar"/>
                    </w:rPr>
                    <w:t>类别</w:t>
                  </w:r>
                </w:p>
              </w:tc>
              <w:tc>
                <w:tcPr>
                  <w:tcW w:w="2198" w:type="pct"/>
                  <w:tcBorders>
                    <w:tl2br w:val="nil"/>
                    <w:tr2bl w:val="nil"/>
                  </w:tcBorders>
                  <w:noWrap w:val="0"/>
                  <w:vAlign w:val="center"/>
                </w:tcPr>
                <w:p>
                  <w:pPr>
                    <w:jc w:val="center"/>
                    <w:rPr>
                      <w:rFonts w:hint="default" w:ascii="Times New Roman" w:hAnsi="Times New Roman" w:eastAsia="宋体" w:cs="Times New Roman"/>
                      <w:b/>
                      <w:bCs/>
                      <w:color w:val="auto"/>
                      <w:kern w:val="0"/>
                      <w:szCs w:val="21"/>
                      <w:u w:val="none" w:color="auto"/>
                      <w:lang w:bidi="ar"/>
                    </w:rPr>
                  </w:pPr>
                  <w:r>
                    <w:rPr>
                      <w:rFonts w:hint="default" w:ascii="Times New Roman" w:hAnsi="Times New Roman" w:eastAsia="宋体" w:cs="Times New Roman"/>
                      <w:b/>
                      <w:bCs/>
                      <w:color w:val="auto"/>
                      <w:kern w:val="0"/>
                      <w:szCs w:val="21"/>
                      <w:u w:val="none" w:color="auto"/>
                      <w:lang w:bidi="ar"/>
                    </w:rPr>
                    <w:t>行业类别</w:t>
                  </w:r>
                </w:p>
              </w:tc>
              <w:tc>
                <w:tcPr>
                  <w:tcW w:w="1906" w:type="pct"/>
                  <w:tcBorders>
                    <w:tl2br w:val="nil"/>
                    <w:tr2bl w:val="nil"/>
                  </w:tcBorders>
                  <w:noWrap w:val="0"/>
                  <w:vAlign w:val="center"/>
                </w:tcPr>
                <w:p>
                  <w:pPr>
                    <w:jc w:val="center"/>
                    <w:rPr>
                      <w:rFonts w:hint="default" w:ascii="Times New Roman" w:hAnsi="Times New Roman" w:eastAsia="宋体" w:cs="Times New Roman"/>
                      <w:b/>
                      <w:bCs/>
                      <w:color w:val="auto"/>
                      <w:kern w:val="0"/>
                      <w:szCs w:val="21"/>
                      <w:u w:val="none" w:color="auto"/>
                      <w:lang w:bidi="ar"/>
                    </w:rPr>
                  </w:pPr>
                  <w:r>
                    <w:rPr>
                      <w:rFonts w:hint="default" w:ascii="Times New Roman" w:hAnsi="Times New Roman" w:eastAsia="宋体" w:cs="Times New Roman"/>
                      <w:b/>
                      <w:bCs/>
                      <w:color w:val="auto"/>
                      <w:kern w:val="0"/>
                      <w:szCs w:val="21"/>
                      <w:u w:val="none" w:color="auto"/>
                      <w:lang w:bidi="ar"/>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895" w:type="pct"/>
                  <w:gridSpan w:val="2"/>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园区引入项目总体要求</w:t>
                  </w:r>
                </w:p>
              </w:tc>
              <w:tc>
                <w:tcPr>
                  <w:tcW w:w="2198" w:type="pct"/>
                  <w:tcBorders>
                    <w:tl2br w:val="nil"/>
                    <w:tr2bl w:val="nil"/>
                  </w:tcBorders>
                  <w:noWrap w:val="0"/>
                  <w:vAlign w:val="center"/>
                </w:tcPr>
                <w:p>
                  <w:pPr>
                    <w:jc w:val="both"/>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①严格执行《长江保护法》、《长江经济带发展负面清单指南（试行）》等法律法规、政策文件相关禁止性规定。</w:t>
                  </w:r>
                </w:p>
                <w:p>
                  <w:pPr>
                    <w:jc w:val="both"/>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②符合国家、省、市产业政策要求，禁止引入《产业结构调整指导目录》（以最新版为准）中禁止类和限制类项目。</w:t>
                  </w:r>
                </w:p>
                <w:p>
                  <w:pPr>
                    <w:jc w:val="both"/>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③禁止引入《关于进一步加强重金属污染防控的意见》（环固体〔2022〕17号）中涉重金属重点行业项目。</w:t>
                  </w:r>
                </w:p>
                <w:p>
                  <w:pPr>
                    <w:jc w:val="both"/>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④严格控制高耗能、高排放项目，入园项目应遵循清洁生产原则，新建、扩建“两高”项目应采用先进的工艺技术和设备，单位</w:t>
                  </w:r>
                </w:p>
                <w:p>
                  <w:pPr>
                    <w:jc w:val="both"/>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产品物耗、能耗、水耗等达到清洁生产先进水平。</w:t>
                  </w:r>
                </w:p>
                <w:p>
                  <w:pPr>
                    <w:jc w:val="both"/>
                    <w:rPr>
                      <w:rFonts w:hint="default" w:ascii="Times New Roman" w:hAnsi="Times New Roman" w:eastAsia="宋体" w:cs="Times New Roman"/>
                      <w:b/>
                      <w:bCs/>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val="en-US" w:eastAsia="zh-CN" w:bidi="ar"/>
                    </w:rPr>
                    <w:t>⑤不符合国家安全、环保、能耗、质量方面强制性标准，不符合国际环境公约等要求的工艺、技术、产品、装备。</w:t>
                  </w:r>
                </w:p>
              </w:tc>
              <w:tc>
                <w:tcPr>
                  <w:tcW w:w="1906" w:type="pct"/>
                  <w:tcBorders>
                    <w:tl2br w:val="nil"/>
                    <w:tr2bl w:val="nil"/>
                  </w:tcBorders>
                  <w:noWrap w:val="0"/>
                  <w:vAlign w:val="center"/>
                </w:tcPr>
                <w:p>
                  <w:pPr>
                    <w:jc w:val="center"/>
                    <w:rPr>
                      <w:rFonts w:hint="default" w:ascii="Times New Roman" w:hAnsi="Times New Roman" w:cs="Times New Roman"/>
                      <w:color w:val="auto"/>
                      <w:szCs w:val="21"/>
                      <w:highlight w:val="none"/>
                      <w:u w:val="none"/>
                    </w:rPr>
                  </w:pPr>
                  <w:r>
                    <w:rPr>
                      <w:rFonts w:hint="eastAsia" w:cs="Times New Roman"/>
                      <w:color w:val="auto"/>
                      <w:szCs w:val="21"/>
                      <w:highlight w:val="none"/>
                      <w:u w:val="none"/>
                      <w:lang w:eastAsia="zh-CN"/>
                    </w:rPr>
                    <w:t>本次改扩建</w:t>
                  </w:r>
                  <w:r>
                    <w:rPr>
                      <w:rFonts w:hint="default" w:ascii="Times New Roman" w:hAnsi="Times New Roman" w:cs="Times New Roman"/>
                      <w:color w:val="auto"/>
                      <w:szCs w:val="21"/>
                      <w:highlight w:val="none"/>
                      <w:u w:val="none"/>
                    </w:rPr>
                    <w:t>项目符合《长江保护法》</w:t>
                  </w:r>
                  <w:r>
                    <w:rPr>
                      <w:rFonts w:hint="default" w:ascii="Times New Roman" w:hAnsi="Times New Roman" w:eastAsia="宋体" w:cs="Times New Roman"/>
                      <w:b w:val="0"/>
                      <w:bCs w:val="0"/>
                      <w:color w:val="auto"/>
                      <w:kern w:val="0"/>
                      <w:szCs w:val="21"/>
                      <w:u w:val="none" w:color="auto"/>
                      <w:lang w:val="en-US" w:eastAsia="zh-CN" w:bidi="ar"/>
                    </w:rPr>
                    <w:t>《长江经济带发展负面清单指南（试行）》</w:t>
                  </w:r>
                  <w:r>
                    <w:rPr>
                      <w:rFonts w:hint="default" w:ascii="Times New Roman" w:hAnsi="Times New Roman" w:cs="Times New Roman"/>
                      <w:color w:val="auto"/>
                      <w:szCs w:val="21"/>
                      <w:highlight w:val="none"/>
                      <w:u w:val="none"/>
                    </w:rPr>
                    <w:t>等法律法规及相关政策的要求。</w:t>
                  </w:r>
                </w:p>
                <w:p>
                  <w:pPr>
                    <w:jc w:val="center"/>
                    <w:rPr>
                      <w:rFonts w:hint="eastAsia" w:ascii="Times New Roman" w:hAnsi="Times New Roman" w:cs="Times New Roman"/>
                      <w:color w:val="auto"/>
                      <w:szCs w:val="21"/>
                      <w:highlight w:val="none"/>
                      <w:u w:val="none"/>
                      <w:lang w:eastAsia="zh-CN"/>
                    </w:rPr>
                  </w:pPr>
                  <w:r>
                    <w:rPr>
                      <w:rFonts w:hint="default" w:ascii="Times New Roman" w:hAnsi="Times New Roman" w:eastAsia="宋体" w:cs="Times New Roman"/>
                      <w:b w:val="0"/>
                      <w:bCs w:val="0"/>
                      <w:color w:val="auto"/>
                      <w:kern w:val="0"/>
                      <w:szCs w:val="21"/>
                      <w:u w:val="none" w:color="auto"/>
                      <w:lang w:bidi="ar"/>
                    </w:rPr>
                    <w:t>本项目</w:t>
                  </w:r>
                  <w:r>
                    <w:rPr>
                      <w:rFonts w:hint="eastAsia" w:ascii="Times New Roman" w:hAnsi="Times New Roman" w:eastAsia="宋体" w:cs="Times New Roman"/>
                      <w:b w:val="0"/>
                      <w:bCs w:val="0"/>
                      <w:color w:val="auto"/>
                      <w:kern w:val="0"/>
                      <w:szCs w:val="21"/>
                      <w:u w:val="none" w:color="auto"/>
                      <w:lang w:val="en-US" w:eastAsia="zh-CN" w:bidi="ar"/>
                    </w:rPr>
                    <w:t>属于</w:t>
                  </w:r>
                  <w:r>
                    <w:rPr>
                      <w:rFonts w:hint="default" w:ascii="Times New Roman" w:hAnsi="Times New Roman" w:eastAsia="宋体" w:cs="Times New Roman"/>
                      <w:b w:val="0"/>
                      <w:bCs w:val="0"/>
                      <w:color w:val="auto"/>
                      <w:kern w:val="0"/>
                      <w:szCs w:val="21"/>
                      <w:u w:val="none" w:color="auto"/>
                      <w:lang w:bidi="ar"/>
                    </w:rPr>
                    <w:t>《国民经济行业分类》</w:t>
                  </w:r>
                  <w:r>
                    <w:rPr>
                      <w:rFonts w:hint="eastAsia" w:ascii="Times New Roman" w:hAnsi="Times New Roman" w:eastAsia="宋体" w:cs="Times New Roman"/>
                      <w:b w:val="0"/>
                      <w:bCs w:val="0"/>
                      <w:color w:val="auto"/>
                      <w:kern w:val="0"/>
                      <w:szCs w:val="21"/>
                      <w:u w:val="none" w:color="auto"/>
                      <w:lang w:eastAsia="zh-CN" w:bidi="ar"/>
                    </w:rPr>
                    <w:t>（</w:t>
                  </w:r>
                  <w:r>
                    <w:rPr>
                      <w:rFonts w:hint="default" w:ascii="Times New Roman" w:hAnsi="Times New Roman" w:eastAsia="宋体" w:cs="Times New Roman"/>
                      <w:b w:val="0"/>
                      <w:bCs w:val="0"/>
                      <w:color w:val="auto"/>
                      <w:kern w:val="0"/>
                      <w:szCs w:val="21"/>
                      <w:u w:val="none" w:color="auto"/>
                      <w:lang w:bidi="ar"/>
                    </w:rPr>
                    <w:t>GB/T4754-2017</w:t>
                  </w:r>
                  <w:r>
                    <w:rPr>
                      <w:rFonts w:hint="eastAsia" w:ascii="Times New Roman" w:hAnsi="Times New Roman" w:eastAsia="宋体" w:cs="Times New Roman"/>
                      <w:b w:val="0"/>
                      <w:bCs w:val="0"/>
                      <w:color w:val="auto"/>
                      <w:kern w:val="0"/>
                      <w:szCs w:val="21"/>
                      <w:u w:val="none" w:color="auto"/>
                      <w:lang w:eastAsia="zh-CN" w:bidi="ar"/>
                    </w:rPr>
                    <w:t>）中</w:t>
                  </w:r>
                  <w:r>
                    <w:rPr>
                      <w:rFonts w:hint="default" w:ascii="Times New Roman" w:hAnsi="Times New Roman" w:eastAsia="宋体" w:cs="Times New Roman"/>
                      <w:b w:val="0"/>
                      <w:bCs w:val="0"/>
                      <w:color w:val="auto"/>
                      <w:kern w:val="0"/>
                      <w:szCs w:val="21"/>
                      <w:u w:val="none" w:color="auto"/>
                      <w:lang w:bidi="ar"/>
                    </w:rPr>
                    <w:t>C3360金属表面处理及热</w:t>
                  </w:r>
                  <w:r>
                    <w:rPr>
                      <w:rFonts w:hint="default" w:ascii="Times New Roman" w:hAnsi="Times New Roman" w:eastAsia="宋体" w:cs="Times New Roman"/>
                      <w:b w:val="0"/>
                      <w:bCs w:val="0"/>
                      <w:color w:val="auto"/>
                      <w:kern w:val="0"/>
                      <w:szCs w:val="21"/>
                      <w:highlight w:val="none"/>
                      <w:u w:val="none" w:color="auto"/>
                      <w:lang w:bidi="ar"/>
                    </w:rPr>
                    <w:t>处理加工</w:t>
                  </w:r>
                  <w:r>
                    <w:rPr>
                      <w:rFonts w:hint="eastAsia" w:cs="Times New Roman"/>
                      <w:b w:val="0"/>
                      <w:bCs w:val="0"/>
                      <w:color w:val="auto"/>
                      <w:kern w:val="0"/>
                      <w:szCs w:val="21"/>
                      <w:highlight w:val="none"/>
                      <w:u w:val="none" w:color="auto"/>
                      <w:lang w:eastAsia="zh-CN" w:bidi="ar"/>
                    </w:rPr>
                    <w:t>、</w:t>
                  </w:r>
                  <w:r>
                    <w:rPr>
                      <w:rFonts w:hint="default" w:ascii="Times New Roman" w:hAnsi="Times New Roman" w:eastAsia="宋体" w:cs="Times New Roman"/>
                      <w:b w:val="0"/>
                      <w:bCs w:val="0"/>
                      <w:color w:val="auto"/>
                      <w:kern w:val="0"/>
                      <w:szCs w:val="21"/>
                      <w:highlight w:val="none"/>
                      <w:u w:val="none" w:color="auto"/>
                      <w:lang w:bidi="ar"/>
                    </w:rPr>
                    <w:t>C3399其他未列明金属制品制造</w:t>
                  </w:r>
                  <w:r>
                    <w:rPr>
                      <w:rFonts w:hint="eastAsia" w:cs="Times New Roman"/>
                      <w:b w:val="0"/>
                      <w:bCs w:val="0"/>
                      <w:color w:val="auto"/>
                      <w:kern w:val="0"/>
                      <w:szCs w:val="21"/>
                      <w:highlight w:val="none"/>
                      <w:u w:val="none" w:color="auto"/>
                      <w:lang w:eastAsia="zh-CN" w:bidi="ar"/>
                    </w:rPr>
                    <w:t>、</w:t>
                  </w:r>
                  <w:r>
                    <w:rPr>
                      <w:rStyle w:val="31"/>
                      <w:rFonts w:hint="eastAsia" w:cs="Times New Roman"/>
                      <w:color w:val="auto"/>
                      <w:sz w:val="21"/>
                      <w:szCs w:val="21"/>
                      <w:highlight w:val="none"/>
                      <w:u w:val="single"/>
                      <w:vertAlign w:val="baseline"/>
                      <w:lang w:val="en-US" w:eastAsia="zh-CN"/>
                    </w:rPr>
                    <w:t>C2669其他专用化学产品制造</w:t>
                  </w:r>
                  <w:r>
                    <w:rPr>
                      <w:rFonts w:hint="eastAsia" w:cs="Times New Roman"/>
                      <w:b w:val="0"/>
                      <w:bCs w:val="0"/>
                      <w:color w:val="auto"/>
                      <w:kern w:val="0"/>
                      <w:szCs w:val="21"/>
                      <w:highlight w:val="none"/>
                      <w:u w:val="none" w:color="auto"/>
                      <w:lang w:eastAsia="zh-CN" w:bidi="ar"/>
                    </w:rPr>
                    <w:t>和</w:t>
                  </w:r>
                  <w:r>
                    <w:rPr>
                      <w:rFonts w:hint="eastAsia" w:cs="Times New Roman"/>
                      <w:b w:val="0"/>
                      <w:bCs w:val="0"/>
                      <w:color w:val="auto"/>
                      <w:kern w:val="0"/>
                      <w:szCs w:val="21"/>
                      <w:highlight w:val="none"/>
                      <w:u w:val="none" w:color="auto"/>
                      <w:lang w:val="en-US" w:eastAsia="zh-CN" w:bidi="ar"/>
                    </w:rPr>
                    <w:t>C2922塑料板、管、型材制造</w:t>
                  </w:r>
                  <w:r>
                    <w:rPr>
                      <w:rFonts w:hint="default" w:ascii="Times New Roman" w:hAnsi="Times New Roman" w:eastAsia="宋体" w:cs="Times New Roman"/>
                      <w:b w:val="0"/>
                      <w:bCs w:val="0"/>
                      <w:color w:val="auto"/>
                      <w:kern w:val="0"/>
                      <w:szCs w:val="21"/>
                      <w:highlight w:val="none"/>
                      <w:u w:val="none" w:color="auto"/>
                      <w:lang w:bidi="ar"/>
                    </w:rPr>
                    <w:t>，本项目不属于</w:t>
                  </w:r>
                  <w:r>
                    <w:rPr>
                      <w:rFonts w:hint="eastAsia" w:ascii="Times New Roman" w:hAnsi="Times New Roman" w:eastAsia="宋体" w:cs="Times New Roman"/>
                      <w:b w:val="0"/>
                      <w:bCs w:val="0"/>
                      <w:color w:val="auto"/>
                      <w:kern w:val="0"/>
                      <w:szCs w:val="21"/>
                      <w:highlight w:val="none"/>
                      <w:u w:val="none" w:color="auto"/>
                      <w:lang w:eastAsia="zh-CN" w:bidi="ar"/>
                    </w:rPr>
                    <w:t>限制类、</w:t>
                  </w:r>
                  <w:r>
                    <w:rPr>
                      <w:rFonts w:hint="default" w:ascii="Times New Roman" w:hAnsi="Times New Roman" w:eastAsia="宋体" w:cs="Times New Roman"/>
                      <w:b w:val="0"/>
                      <w:bCs w:val="0"/>
                      <w:color w:val="auto"/>
                      <w:kern w:val="0"/>
                      <w:szCs w:val="21"/>
                      <w:highlight w:val="none"/>
                      <w:u w:val="none" w:color="auto"/>
                      <w:lang w:bidi="ar"/>
                    </w:rPr>
                    <w:t>禁止类项目</w:t>
                  </w:r>
                  <w:r>
                    <w:rPr>
                      <w:rFonts w:hint="eastAsia" w:cs="Times New Roman"/>
                      <w:b w:val="0"/>
                      <w:bCs w:val="0"/>
                      <w:color w:val="auto"/>
                      <w:kern w:val="0"/>
                      <w:szCs w:val="21"/>
                      <w:highlight w:val="none"/>
                      <w:u w:val="none" w:color="auto"/>
                      <w:lang w:eastAsia="zh-CN" w:bidi="ar"/>
                    </w:rPr>
                    <w:t>，</w:t>
                  </w:r>
                  <w:r>
                    <w:rPr>
                      <w:rFonts w:hint="eastAsia" w:ascii="Times New Roman" w:hAnsi="Times New Roman" w:cs="Times New Roman"/>
                      <w:color w:val="auto"/>
                      <w:szCs w:val="21"/>
                      <w:highlight w:val="none"/>
                      <w:u w:val="none"/>
                      <w:lang w:eastAsia="zh-CN"/>
                    </w:rPr>
                    <w:t>符合《产业结构调整指导目录（</w:t>
                  </w:r>
                  <w:r>
                    <w:rPr>
                      <w:rFonts w:hint="eastAsia" w:ascii="Times New Roman" w:hAnsi="Times New Roman" w:cs="Times New Roman"/>
                      <w:color w:val="auto"/>
                      <w:szCs w:val="21"/>
                      <w:highlight w:val="none"/>
                      <w:u w:val="none"/>
                      <w:lang w:val="en-US" w:eastAsia="zh-CN"/>
                    </w:rPr>
                    <w:t>2024年</w:t>
                  </w:r>
                  <w:r>
                    <w:rPr>
                      <w:rFonts w:hint="eastAsia" w:ascii="Times New Roman" w:hAnsi="Times New Roman" w:cs="Times New Roman"/>
                      <w:color w:val="auto"/>
                      <w:szCs w:val="21"/>
                      <w:highlight w:val="none"/>
                      <w:u w:val="none"/>
                      <w:lang w:eastAsia="zh-CN"/>
                    </w:rPr>
                    <w:t>）》的要求。</w:t>
                  </w:r>
                </w:p>
                <w:p>
                  <w:pPr>
                    <w:jc w:val="center"/>
                    <w:rPr>
                      <w:rFonts w:hint="eastAsia" w:cs="Times New Roman"/>
                      <w:b w:val="0"/>
                      <w:bCs w:val="0"/>
                      <w:color w:val="auto"/>
                      <w:kern w:val="0"/>
                      <w:szCs w:val="21"/>
                      <w:u w:val="none" w:color="auto"/>
                      <w:lang w:val="en-US" w:eastAsia="zh-CN" w:bidi="ar"/>
                    </w:rPr>
                  </w:pPr>
                  <w:r>
                    <w:rPr>
                      <w:rFonts w:hint="eastAsia" w:cs="Times New Roman"/>
                      <w:color w:val="auto"/>
                      <w:szCs w:val="21"/>
                      <w:highlight w:val="none"/>
                      <w:u w:val="none"/>
                      <w:lang w:eastAsia="zh-CN"/>
                    </w:rPr>
                    <w:t>本项目不属于</w:t>
                  </w:r>
                  <w:r>
                    <w:rPr>
                      <w:rFonts w:hint="default" w:ascii="Times New Roman" w:hAnsi="Times New Roman" w:eastAsia="宋体" w:cs="Times New Roman"/>
                      <w:b w:val="0"/>
                      <w:bCs w:val="0"/>
                      <w:color w:val="auto"/>
                      <w:kern w:val="0"/>
                      <w:szCs w:val="21"/>
                      <w:u w:val="none" w:color="auto"/>
                      <w:lang w:val="en-US" w:eastAsia="zh-CN" w:bidi="ar"/>
                    </w:rPr>
                    <w:t>《关于进一步加强重金属污染防控的意见》（环固体〔2022〕17号）中涉重金属重点行业项目</w:t>
                  </w:r>
                  <w:r>
                    <w:rPr>
                      <w:rFonts w:hint="eastAsia" w:cs="Times New Roman"/>
                      <w:b w:val="0"/>
                      <w:bCs w:val="0"/>
                      <w:color w:val="auto"/>
                      <w:kern w:val="0"/>
                      <w:szCs w:val="21"/>
                      <w:u w:val="none" w:color="auto"/>
                      <w:lang w:val="en-US" w:eastAsia="zh-CN" w:bidi="ar"/>
                    </w:rPr>
                    <w:t>。</w:t>
                  </w:r>
                </w:p>
                <w:p>
                  <w:pPr>
                    <w:jc w:val="center"/>
                    <w:rPr>
                      <w:rFonts w:hint="eastAsia" w:cs="Times New Roman"/>
                      <w:b w:val="0"/>
                      <w:bCs w:val="0"/>
                      <w:color w:val="auto"/>
                      <w:kern w:val="0"/>
                      <w:szCs w:val="21"/>
                      <w:u w:val="none" w:color="auto"/>
                      <w:lang w:val="en-US" w:eastAsia="zh-CN" w:bidi="ar"/>
                    </w:rPr>
                  </w:pPr>
                  <w:r>
                    <w:rPr>
                      <w:rFonts w:hint="eastAsia" w:cs="Times New Roman"/>
                      <w:b w:val="0"/>
                      <w:bCs w:val="0"/>
                      <w:color w:val="auto"/>
                      <w:kern w:val="0"/>
                      <w:szCs w:val="21"/>
                      <w:u w:val="none" w:color="auto"/>
                      <w:lang w:val="en-US" w:eastAsia="zh-CN" w:bidi="ar"/>
                    </w:rPr>
                    <w:t>本次项目不属于</w:t>
                  </w:r>
                  <w:r>
                    <w:rPr>
                      <w:rFonts w:hint="default" w:ascii="Times New Roman" w:hAnsi="Times New Roman" w:eastAsia="宋体" w:cs="Times New Roman"/>
                      <w:b w:val="0"/>
                      <w:bCs w:val="0"/>
                      <w:color w:val="auto"/>
                      <w:kern w:val="0"/>
                      <w:szCs w:val="21"/>
                      <w:u w:val="none" w:color="auto"/>
                      <w:lang w:val="en-US" w:eastAsia="zh-CN" w:bidi="ar"/>
                    </w:rPr>
                    <w:t>高耗能、高排放项目</w:t>
                  </w:r>
                  <w:r>
                    <w:rPr>
                      <w:rFonts w:hint="eastAsia" w:cs="Times New Roman"/>
                      <w:b w:val="0"/>
                      <w:bCs w:val="0"/>
                      <w:color w:val="auto"/>
                      <w:kern w:val="0"/>
                      <w:szCs w:val="21"/>
                      <w:u w:val="none" w:color="auto"/>
                      <w:lang w:val="en-US" w:eastAsia="zh-CN" w:bidi="ar"/>
                    </w:rPr>
                    <w:t>。</w:t>
                  </w:r>
                  <w:r>
                    <w:rPr>
                      <w:rFonts w:hint="default" w:ascii="Times New Roman" w:hAnsi="Times New Roman" w:eastAsia="宋体" w:cs="Times New Roman"/>
                      <w:b w:val="0"/>
                      <w:bCs w:val="0"/>
                      <w:color w:val="auto"/>
                      <w:kern w:val="0"/>
                      <w:szCs w:val="21"/>
                      <w:u w:val="none" w:color="auto"/>
                      <w:lang w:val="en-US" w:eastAsia="zh-CN" w:bidi="ar"/>
                    </w:rPr>
                    <w:t>符合国家安全、环保、能耗、质量方面强制性标准</w:t>
                  </w:r>
                  <w:r>
                    <w:rPr>
                      <w:rFonts w:hint="eastAsia" w:cs="Times New Roman"/>
                      <w:b w:val="0"/>
                      <w:bCs w:val="0"/>
                      <w:color w:val="auto"/>
                      <w:kern w:val="0"/>
                      <w:szCs w:val="21"/>
                      <w:u w:val="none" w:color="auto"/>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trPr>
              <w:tc>
                <w:tcPr>
                  <w:tcW w:w="462" w:type="pct"/>
                  <w:vMerge w:val="restart"/>
                  <w:tcBorders>
                    <w:tl2br w:val="nil"/>
                    <w:tr2bl w:val="nil"/>
                  </w:tcBorders>
                  <w:noWrap w:val="0"/>
                  <w:textDirection w:val="tbRlV"/>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金龙片区</w:t>
                  </w:r>
                </w:p>
              </w:tc>
              <w:tc>
                <w:tcPr>
                  <w:tcW w:w="433" w:type="pct"/>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产业</w:t>
                  </w:r>
                </w:p>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定位</w:t>
                  </w:r>
                </w:p>
              </w:tc>
              <w:tc>
                <w:tcPr>
                  <w:tcW w:w="2198" w:type="pct"/>
                  <w:tcBorders>
                    <w:tl2br w:val="nil"/>
                    <w:tr2bl w:val="nil"/>
                  </w:tcBorders>
                  <w:noWrap w:val="0"/>
                  <w:vAlign w:val="center"/>
                </w:tcPr>
                <w:p>
                  <w:pPr>
                    <w:jc w:val="both"/>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主要发展装备制造产业，代表行业：C33金属制品业，C34通用设备制造业，C35专用设备制造业，C36汽车制造业，C37铁路、船舶、航空航天和其他运输设备制造业，C38电气机械和器材制造业</w:t>
                  </w:r>
                </w:p>
              </w:tc>
              <w:tc>
                <w:tcPr>
                  <w:tcW w:w="1906" w:type="pct"/>
                  <w:vMerge w:val="restart"/>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highlight w:val="none"/>
                      <w:u w:val="none" w:color="auto"/>
                      <w:lang w:bidi="ar"/>
                    </w:rPr>
                  </w:pPr>
                  <w:r>
                    <w:rPr>
                      <w:rFonts w:hint="default" w:ascii="Times New Roman" w:hAnsi="Times New Roman" w:eastAsia="宋体" w:cs="Times New Roman"/>
                      <w:b w:val="0"/>
                      <w:bCs w:val="0"/>
                      <w:color w:val="auto"/>
                      <w:kern w:val="0"/>
                      <w:szCs w:val="21"/>
                      <w:u w:val="none" w:color="auto"/>
                      <w:lang w:bidi="ar"/>
                    </w:rPr>
                    <w:t>本项目</w:t>
                  </w:r>
                  <w:r>
                    <w:rPr>
                      <w:rFonts w:hint="eastAsia" w:ascii="Times New Roman" w:hAnsi="Times New Roman" w:eastAsia="宋体" w:cs="Times New Roman"/>
                      <w:b w:val="0"/>
                      <w:bCs w:val="0"/>
                      <w:color w:val="auto"/>
                      <w:kern w:val="0"/>
                      <w:szCs w:val="21"/>
                      <w:u w:val="none" w:color="auto"/>
                      <w:lang w:val="en-US" w:eastAsia="zh-CN" w:bidi="ar"/>
                    </w:rPr>
                    <w:t>属于</w:t>
                  </w:r>
                  <w:r>
                    <w:rPr>
                      <w:rFonts w:hint="default" w:ascii="Times New Roman" w:hAnsi="Times New Roman" w:eastAsia="宋体" w:cs="Times New Roman"/>
                      <w:b w:val="0"/>
                      <w:bCs w:val="0"/>
                      <w:color w:val="auto"/>
                      <w:kern w:val="0"/>
                      <w:szCs w:val="21"/>
                      <w:u w:val="none" w:color="auto"/>
                      <w:lang w:bidi="ar"/>
                    </w:rPr>
                    <w:t>《国民经济行业分类》</w:t>
                  </w:r>
                  <w:r>
                    <w:rPr>
                      <w:rFonts w:hint="eastAsia" w:ascii="Times New Roman" w:hAnsi="Times New Roman" w:eastAsia="宋体" w:cs="Times New Roman"/>
                      <w:b w:val="0"/>
                      <w:bCs w:val="0"/>
                      <w:color w:val="auto"/>
                      <w:kern w:val="0"/>
                      <w:szCs w:val="21"/>
                      <w:u w:val="none" w:color="auto"/>
                      <w:lang w:eastAsia="zh-CN" w:bidi="ar"/>
                    </w:rPr>
                    <w:t>（</w:t>
                  </w:r>
                  <w:r>
                    <w:rPr>
                      <w:rFonts w:hint="default" w:ascii="Times New Roman" w:hAnsi="Times New Roman" w:eastAsia="宋体" w:cs="Times New Roman"/>
                      <w:b w:val="0"/>
                      <w:bCs w:val="0"/>
                      <w:color w:val="auto"/>
                      <w:kern w:val="0"/>
                      <w:szCs w:val="21"/>
                      <w:u w:val="none" w:color="auto"/>
                      <w:lang w:bidi="ar"/>
                    </w:rPr>
                    <w:t>GB/T4754-2017</w:t>
                  </w:r>
                  <w:r>
                    <w:rPr>
                      <w:rFonts w:hint="eastAsia" w:ascii="Times New Roman" w:hAnsi="Times New Roman" w:eastAsia="宋体" w:cs="Times New Roman"/>
                      <w:b w:val="0"/>
                      <w:bCs w:val="0"/>
                      <w:color w:val="auto"/>
                      <w:kern w:val="0"/>
                      <w:szCs w:val="21"/>
                      <w:u w:val="none" w:color="auto"/>
                      <w:lang w:eastAsia="zh-CN" w:bidi="ar"/>
                    </w:rPr>
                    <w:t>）中</w:t>
                  </w:r>
                  <w:r>
                    <w:rPr>
                      <w:rFonts w:hint="default" w:ascii="Times New Roman" w:hAnsi="Times New Roman" w:eastAsia="宋体" w:cs="Times New Roman"/>
                      <w:b w:val="0"/>
                      <w:bCs w:val="0"/>
                      <w:color w:val="auto"/>
                      <w:kern w:val="0"/>
                      <w:szCs w:val="21"/>
                      <w:u w:val="none" w:color="auto"/>
                      <w:lang w:bidi="ar"/>
                    </w:rPr>
                    <w:t>C3360金属表面处理及热</w:t>
                  </w:r>
                  <w:r>
                    <w:rPr>
                      <w:rFonts w:hint="default" w:ascii="Times New Roman" w:hAnsi="Times New Roman" w:eastAsia="宋体" w:cs="Times New Roman"/>
                      <w:b w:val="0"/>
                      <w:bCs w:val="0"/>
                      <w:color w:val="auto"/>
                      <w:kern w:val="0"/>
                      <w:szCs w:val="21"/>
                      <w:highlight w:val="none"/>
                      <w:u w:val="none" w:color="auto"/>
                      <w:lang w:bidi="ar"/>
                    </w:rPr>
                    <w:t>处理加工</w:t>
                  </w:r>
                  <w:r>
                    <w:rPr>
                      <w:rFonts w:hint="eastAsia" w:cs="Times New Roman"/>
                      <w:b w:val="0"/>
                      <w:bCs w:val="0"/>
                      <w:color w:val="auto"/>
                      <w:kern w:val="0"/>
                      <w:szCs w:val="21"/>
                      <w:highlight w:val="none"/>
                      <w:u w:val="none" w:color="auto"/>
                      <w:lang w:eastAsia="zh-CN" w:bidi="ar"/>
                    </w:rPr>
                    <w:t>、</w:t>
                  </w:r>
                  <w:r>
                    <w:rPr>
                      <w:rFonts w:hint="default" w:ascii="Times New Roman" w:hAnsi="Times New Roman" w:eastAsia="宋体" w:cs="Times New Roman"/>
                      <w:b w:val="0"/>
                      <w:bCs w:val="0"/>
                      <w:color w:val="auto"/>
                      <w:kern w:val="0"/>
                      <w:szCs w:val="21"/>
                      <w:highlight w:val="none"/>
                      <w:u w:val="none" w:color="auto"/>
                      <w:lang w:bidi="ar"/>
                    </w:rPr>
                    <w:t>C3399其他未列明金属制品制造</w:t>
                  </w:r>
                  <w:r>
                    <w:rPr>
                      <w:rFonts w:hint="eastAsia" w:cs="Times New Roman"/>
                      <w:b w:val="0"/>
                      <w:bCs w:val="0"/>
                      <w:color w:val="auto"/>
                      <w:kern w:val="0"/>
                      <w:szCs w:val="21"/>
                      <w:highlight w:val="none"/>
                      <w:u w:val="none" w:color="auto"/>
                      <w:lang w:eastAsia="zh-CN" w:bidi="ar"/>
                    </w:rPr>
                    <w:t>、</w:t>
                  </w:r>
                  <w:r>
                    <w:rPr>
                      <w:rStyle w:val="31"/>
                      <w:rFonts w:hint="eastAsia" w:cs="Times New Roman"/>
                      <w:color w:val="auto"/>
                      <w:sz w:val="21"/>
                      <w:szCs w:val="21"/>
                      <w:highlight w:val="none"/>
                      <w:u w:val="single"/>
                      <w:vertAlign w:val="baseline"/>
                      <w:lang w:val="en-US" w:eastAsia="zh-CN"/>
                    </w:rPr>
                    <w:t>C2669其他专用化学产品制造</w:t>
                  </w:r>
                  <w:r>
                    <w:rPr>
                      <w:rFonts w:hint="eastAsia" w:cs="Times New Roman"/>
                      <w:b w:val="0"/>
                      <w:bCs w:val="0"/>
                      <w:color w:val="auto"/>
                      <w:kern w:val="0"/>
                      <w:szCs w:val="21"/>
                      <w:highlight w:val="none"/>
                      <w:u w:val="none" w:color="auto"/>
                      <w:lang w:eastAsia="zh-CN" w:bidi="ar"/>
                    </w:rPr>
                    <w:t>和</w:t>
                  </w:r>
                  <w:r>
                    <w:rPr>
                      <w:rFonts w:hint="eastAsia" w:cs="Times New Roman"/>
                      <w:b w:val="0"/>
                      <w:bCs w:val="0"/>
                      <w:color w:val="auto"/>
                      <w:kern w:val="0"/>
                      <w:szCs w:val="21"/>
                      <w:highlight w:val="none"/>
                      <w:u w:val="none" w:color="auto"/>
                      <w:lang w:val="en-US" w:eastAsia="zh-CN" w:bidi="ar"/>
                    </w:rPr>
                    <w:t>C2922塑料板、管、型材制造</w:t>
                  </w:r>
                  <w:r>
                    <w:rPr>
                      <w:rFonts w:hint="default" w:ascii="Times New Roman" w:hAnsi="Times New Roman" w:eastAsia="宋体" w:cs="Times New Roman"/>
                      <w:b w:val="0"/>
                      <w:bCs w:val="0"/>
                      <w:color w:val="auto"/>
                      <w:kern w:val="0"/>
                      <w:szCs w:val="21"/>
                      <w:highlight w:val="none"/>
                      <w:u w:val="none" w:color="auto"/>
                      <w:lang w:bidi="ar"/>
                    </w:rPr>
                    <w:t>，本项目不属于</w:t>
                  </w:r>
                  <w:r>
                    <w:rPr>
                      <w:rFonts w:hint="eastAsia" w:ascii="Times New Roman" w:hAnsi="Times New Roman" w:eastAsia="宋体" w:cs="Times New Roman"/>
                      <w:b w:val="0"/>
                      <w:bCs w:val="0"/>
                      <w:color w:val="auto"/>
                      <w:kern w:val="0"/>
                      <w:szCs w:val="21"/>
                      <w:highlight w:val="none"/>
                      <w:u w:val="none" w:color="auto"/>
                      <w:lang w:eastAsia="zh-CN" w:bidi="ar"/>
                    </w:rPr>
                    <w:t>限制类、</w:t>
                  </w:r>
                  <w:r>
                    <w:rPr>
                      <w:rFonts w:hint="default" w:ascii="Times New Roman" w:hAnsi="Times New Roman" w:eastAsia="宋体" w:cs="Times New Roman"/>
                      <w:b w:val="0"/>
                      <w:bCs w:val="0"/>
                      <w:color w:val="auto"/>
                      <w:kern w:val="0"/>
                      <w:szCs w:val="21"/>
                      <w:highlight w:val="none"/>
                      <w:u w:val="none" w:color="auto"/>
                      <w:lang w:bidi="ar"/>
                    </w:rPr>
                    <w:t>禁止类项目。</w:t>
                  </w:r>
                </w:p>
                <w:p>
                  <w:pPr>
                    <w:jc w:val="center"/>
                    <w:rPr>
                      <w:rFonts w:hint="default" w:ascii="Times New Roman" w:hAnsi="Times New Roman" w:eastAsia="宋体" w:cs="Times New Roman"/>
                      <w:b w:val="0"/>
                      <w:bCs w:val="0"/>
                      <w:color w:val="auto"/>
                      <w:kern w:val="0"/>
                      <w:szCs w:val="21"/>
                      <w:highlight w:val="none"/>
                      <w:u w:val="none" w:color="auto"/>
                      <w:lang w:val="en-US" w:eastAsia="zh-CN" w:bidi="ar"/>
                    </w:rPr>
                  </w:pPr>
                  <w:r>
                    <w:rPr>
                      <w:rFonts w:hint="eastAsia" w:cs="Times New Roman"/>
                      <w:b w:val="0"/>
                      <w:bCs w:val="0"/>
                      <w:color w:val="auto"/>
                      <w:kern w:val="0"/>
                      <w:szCs w:val="21"/>
                      <w:highlight w:val="none"/>
                      <w:u w:val="none" w:color="auto"/>
                      <w:lang w:eastAsia="zh-CN" w:bidi="ar"/>
                    </w:rPr>
                    <w:t>本项目生产的塑料盘仅供产品包装使用，注塑产生的有机废气经两级活性炭处理后，</w:t>
                  </w:r>
                  <w:r>
                    <w:rPr>
                      <w:rFonts w:hint="eastAsia" w:cs="Times New Roman"/>
                      <w:b w:val="0"/>
                      <w:bCs w:val="0"/>
                      <w:color w:val="auto"/>
                      <w:kern w:val="0"/>
                      <w:szCs w:val="21"/>
                      <w:highlight w:val="none"/>
                      <w:u w:val="none" w:color="auto"/>
                      <w:lang w:val="en-US" w:eastAsia="zh-CN" w:bidi="ar"/>
                    </w:rPr>
                    <w:t>不属于VOCs排放量较大项目。</w:t>
                  </w:r>
                </w:p>
                <w:p>
                  <w:pPr>
                    <w:jc w:val="center"/>
                    <w:rPr>
                      <w:rFonts w:hint="eastAsia" w:ascii="Times New Roman" w:hAnsi="Times New Roman" w:eastAsia="宋体" w:cs="Times New Roman"/>
                      <w:b w:val="0"/>
                      <w:bCs w:val="0"/>
                      <w:color w:val="auto"/>
                      <w:kern w:val="0"/>
                      <w:szCs w:val="21"/>
                      <w:u w:val="none" w:color="auto"/>
                      <w:lang w:eastAsia="zh-CN" w:bidi="ar"/>
                    </w:rPr>
                  </w:pPr>
                  <w:r>
                    <w:rPr>
                      <w:rFonts w:hint="eastAsia" w:cs="Times New Roman"/>
                      <w:b w:val="0"/>
                      <w:bCs w:val="0"/>
                      <w:color w:val="auto"/>
                      <w:kern w:val="0"/>
                      <w:szCs w:val="21"/>
                      <w:highlight w:val="none"/>
                      <w:u w:val="none" w:color="auto"/>
                      <w:lang w:eastAsia="zh-CN" w:bidi="ar"/>
                    </w:rPr>
                    <w:t>本项目不涉及重金属废水，</w:t>
                  </w:r>
                  <w:r>
                    <w:rPr>
                      <w:rFonts w:hint="eastAsia" w:ascii="Times New Roman" w:hAnsi="Times New Roman" w:eastAsia="宋体" w:cs="Times New Roman"/>
                      <w:b w:val="0"/>
                      <w:bCs w:val="0"/>
                      <w:color w:val="auto"/>
                      <w:kern w:val="0"/>
                      <w:szCs w:val="21"/>
                      <w:highlight w:val="none"/>
                      <w:u w:val="none" w:color="auto"/>
                      <w:lang w:eastAsia="zh-CN" w:bidi="ar"/>
                    </w:rPr>
                    <w:t>酸洗废水、水洗废水、清洗废水</w:t>
                  </w:r>
                  <w:r>
                    <w:rPr>
                      <w:rFonts w:hint="eastAsia" w:cs="Times New Roman"/>
                      <w:b w:val="0"/>
                      <w:bCs w:val="0"/>
                      <w:color w:val="auto"/>
                      <w:kern w:val="0"/>
                      <w:szCs w:val="21"/>
                      <w:highlight w:val="none"/>
                      <w:u w:val="none" w:color="auto"/>
                      <w:lang w:eastAsia="zh-CN" w:bidi="ar"/>
                    </w:rPr>
                    <w:t>依托厂区</w:t>
                  </w:r>
                  <w:r>
                    <w:rPr>
                      <w:rFonts w:hint="eastAsia" w:ascii="Times New Roman" w:hAnsi="Times New Roman" w:eastAsia="宋体" w:cs="Times New Roman"/>
                      <w:b w:val="0"/>
                      <w:bCs w:val="0"/>
                      <w:color w:val="auto"/>
                      <w:kern w:val="0"/>
                      <w:szCs w:val="21"/>
                      <w:highlight w:val="none"/>
                      <w:u w:val="none" w:color="auto"/>
                      <w:lang w:eastAsia="zh-CN" w:bidi="ar"/>
                    </w:rPr>
                    <w:t>现有</w:t>
                  </w:r>
                  <w:r>
                    <w:rPr>
                      <w:rFonts w:hint="default" w:ascii="Times New Roman" w:hAnsi="Times New Roman" w:eastAsia="宋体" w:cs="Times New Roman"/>
                      <w:b w:val="0"/>
                      <w:bCs w:val="0"/>
                      <w:color w:val="auto"/>
                      <w:kern w:val="0"/>
                      <w:szCs w:val="21"/>
                      <w:highlight w:val="none"/>
                      <w:u w:val="none" w:color="auto"/>
                      <w:lang w:bidi="ar"/>
                    </w:rPr>
                    <w:t>污水处理站处理后</w:t>
                  </w:r>
                  <w:r>
                    <w:rPr>
                      <w:rFonts w:hint="eastAsia" w:cs="Times New Roman"/>
                      <w:b w:val="0"/>
                      <w:bCs w:val="0"/>
                      <w:color w:val="auto"/>
                      <w:kern w:val="0"/>
                      <w:szCs w:val="21"/>
                      <w:highlight w:val="none"/>
                      <w:u w:val="none" w:color="auto"/>
                      <w:lang w:eastAsia="zh-CN" w:bidi="ar"/>
                    </w:rPr>
                    <w:t>经</w:t>
                  </w:r>
                  <w:r>
                    <w:rPr>
                      <w:rFonts w:hint="default" w:ascii="Times New Roman" w:hAnsi="Times New Roman" w:eastAsia="宋体" w:cs="Times New Roman"/>
                      <w:b w:val="0"/>
                      <w:bCs w:val="0"/>
                      <w:color w:val="auto"/>
                      <w:kern w:val="0"/>
                      <w:szCs w:val="21"/>
                      <w:highlight w:val="none"/>
                      <w:u w:val="none" w:color="auto"/>
                      <w:lang w:bidi="ar"/>
                    </w:rPr>
                    <w:t>现有污水管网进入</w:t>
                  </w:r>
                  <w:r>
                    <w:rPr>
                      <w:rFonts w:hint="eastAsia" w:ascii="Times New Roman" w:hAnsi="Times New Roman" w:eastAsia="宋体" w:cs="Times New Roman"/>
                      <w:b w:val="0"/>
                      <w:bCs w:val="0"/>
                      <w:color w:val="auto"/>
                      <w:kern w:val="0"/>
                      <w:szCs w:val="21"/>
                      <w:highlight w:val="none"/>
                      <w:u w:val="none" w:color="auto"/>
                      <w:lang w:eastAsia="zh-CN" w:bidi="ar"/>
                    </w:rPr>
                    <w:t>湘阴县第三污水处理厂</w:t>
                  </w:r>
                  <w:r>
                    <w:rPr>
                      <w:rFonts w:hint="default" w:ascii="Times New Roman" w:hAnsi="Times New Roman" w:eastAsia="宋体" w:cs="Times New Roman"/>
                      <w:b w:val="0"/>
                      <w:bCs w:val="0"/>
                      <w:color w:val="auto"/>
                      <w:kern w:val="0"/>
                      <w:szCs w:val="21"/>
                      <w:highlight w:val="none"/>
                      <w:u w:val="none" w:color="auto"/>
                      <w:lang w:bidi="ar"/>
                    </w:rPr>
                    <w:t>处理</w:t>
                  </w:r>
                  <w:r>
                    <w:rPr>
                      <w:rFonts w:hint="eastAsia" w:cs="Times New Roman"/>
                      <w:b w:val="0"/>
                      <w:bCs w:val="0"/>
                      <w:color w:val="auto"/>
                      <w:kern w:val="0"/>
                      <w:szCs w:val="21"/>
                      <w:highlight w:val="none"/>
                      <w:u w:val="none" w:color="auto"/>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6" w:hRule="atLeast"/>
              </w:trPr>
              <w:tc>
                <w:tcPr>
                  <w:tcW w:w="462" w:type="pct"/>
                  <w:vMerge w:val="continue"/>
                  <w:tcBorders>
                    <w:tl2br w:val="nil"/>
                    <w:tr2bl w:val="nil"/>
                  </w:tcBorders>
                  <w:noWrap w:val="0"/>
                  <w:textDirection w:val="tbRlV"/>
                  <w:vAlign w:val="center"/>
                </w:tcPr>
                <w:p>
                  <w:pPr>
                    <w:jc w:val="center"/>
                    <w:rPr>
                      <w:rFonts w:hint="default" w:ascii="Times New Roman" w:hAnsi="Times New Roman" w:eastAsia="宋体" w:cs="Times New Roman"/>
                      <w:b w:val="0"/>
                      <w:bCs w:val="0"/>
                      <w:color w:val="auto"/>
                      <w:kern w:val="0"/>
                      <w:szCs w:val="21"/>
                      <w:u w:val="none" w:color="auto"/>
                      <w:lang w:bidi="ar"/>
                    </w:rPr>
                  </w:pPr>
                </w:p>
              </w:tc>
              <w:tc>
                <w:tcPr>
                  <w:tcW w:w="433" w:type="pct"/>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限制</w:t>
                  </w:r>
                </w:p>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类</w:t>
                  </w:r>
                </w:p>
              </w:tc>
              <w:tc>
                <w:tcPr>
                  <w:tcW w:w="2198" w:type="pct"/>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涉及VOCs排放量较大的项目；使用油性涂料且用量较大的项目；限制废水排放量大的项目。</w:t>
                  </w:r>
                </w:p>
              </w:tc>
              <w:tc>
                <w:tcPr>
                  <w:tcW w:w="1906"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6" w:hRule="atLeast"/>
              </w:trPr>
              <w:tc>
                <w:tcPr>
                  <w:tcW w:w="462" w:type="pct"/>
                  <w:vMerge w:val="continue"/>
                  <w:tcBorders>
                    <w:tl2br w:val="nil"/>
                    <w:tr2bl w:val="nil"/>
                  </w:tcBorders>
                  <w:noWrap w:val="0"/>
                  <w:textDirection w:val="tbRlV"/>
                  <w:vAlign w:val="center"/>
                </w:tcPr>
                <w:p>
                  <w:pPr>
                    <w:jc w:val="center"/>
                    <w:rPr>
                      <w:rFonts w:hint="default" w:ascii="Times New Roman" w:hAnsi="Times New Roman" w:eastAsia="宋体" w:cs="Times New Roman"/>
                      <w:b w:val="0"/>
                      <w:bCs w:val="0"/>
                      <w:color w:val="auto"/>
                      <w:kern w:val="0"/>
                      <w:szCs w:val="21"/>
                      <w:u w:val="none" w:color="auto"/>
                      <w:lang w:bidi="ar"/>
                    </w:rPr>
                  </w:pPr>
                </w:p>
              </w:tc>
              <w:tc>
                <w:tcPr>
                  <w:tcW w:w="433" w:type="pct"/>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禁止</w:t>
                  </w:r>
                </w:p>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类</w:t>
                  </w:r>
                </w:p>
              </w:tc>
              <w:tc>
                <w:tcPr>
                  <w:tcW w:w="2198" w:type="pct"/>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r>
                    <w:rPr>
                      <w:rFonts w:hint="default" w:ascii="Times New Roman" w:hAnsi="Times New Roman" w:eastAsia="宋体" w:cs="Times New Roman"/>
                      <w:b w:val="0"/>
                      <w:bCs w:val="0"/>
                      <w:color w:val="auto"/>
                      <w:kern w:val="0"/>
                      <w:szCs w:val="21"/>
                      <w:u w:val="none" w:color="auto"/>
                      <w:lang w:bidi="ar"/>
                    </w:rPr>
                    <w:t>废水排放重金属的项目；C31黑色金属冶炼和压延加工业（C313钢压延加工除外）、C32有色金属冶炼和压延加工业(C325有色金属压延加工除外)。</w:t>
                  </w:r>
                </w:p>
              </w:tc>
              <w:tc>
                <w:tcPr>
                  <w:tcW w:w="1906" w:type="pct"/>
                  <w:vMerge w:val="continue"/>
                  <w:tcBorders>
                    <w:tl2br w:val="nil"/>
                    <w:tr2bl w:val="nil"/>
                  </w:tcBorders>
                  <w:noWrap w:val="0"/>
                  <w:vAlign w:val="center"/>
                </w:tcPr>
                <w:p>
                  <w:pPr>
                    <w:jc w:val="center"/>
                    <w:rPr>
                      <w:rFonts w:hint="default" w:ascii="Times New Roman" w:hAnsi="Times New Roman" w:eastAsia="宋体" w:cs="Times New Roman"/>
                      <w:b w:val="0"/>
                      <w:bCs w:val="0"/>
                      <w:color w:val="auto"/>
                      <w:kern w:val="0"/>
                      <w:szCs w:val="21"/>
                      <w:u w:val="none" w:color="auto"/>
                      <w:lang w:bidi="ar"/>
                    </w:rPr>
                  </w:pPr>
                </w:p>
              </w:tc>
            </w:tr>
          </w:tbl>
          <w:p>
            <w:pPr>
              <w:pStyle w:val="62"/>
              <w:bidi w:val="0"/>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sz w:val="24"/>
                <w:u w:val="none" w:color="auto"/>
              </w:rPr>
              <w:t>综合上表，本项目与与湘阴高新区环境准入行业清单相符。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kern w:val="0"/>
                <w:sz w:val="24"/>
                <w:szCs w:val="24"/>
                <w:highlight w:val="none"/>
                <w:u w:val="none"/>
                <w:lang w:val="en-US" w:eastAsia="zh-CN" w:bidi="ar-SA"/>
              </w:rPr>
              <w:t>其他符合性分析</w:t>
            </w:r>
          </w:p>
        </w:tc>
        <w:tc>
          <w:tcPr>
            <w:tcW w:w="9090" w:type="dxa"/>
            <w:gridSpan w:val="4"/>
            <w:vAlign w:val="center"/>
          </w:tcPr>
          <w:p>
            <w:pPr>
              <w:spacing w:line="360" w:lineRule="auto"/>
              <w:rPr>
                <w:rFonts w:hint="default" w:ascii="Times New Roman" w:hAnsi="Times New Roman" w:eastAsia="宋体" w:cs="Times New Roman"/>
                <w:b/>
                <w:bCs/>
                <w:color w:val="auto"/>
                <w:sz w:val="24"/>
                <w:szCs w:val="24"/>
                <w:u w:val="none" w:color="auto"/>
              </w:rPr>
            </w:pPr>
            <w:r>
              <w:rPr>
                <w:rFonts w:hint="eastAsia" w:cs="Times New Roman"/>
                <w:b/>
                <w:bCs/>
                <w:color w:val="auto"/>
                <w:sz w:val="24"/>
                <w:szCs w:val="24"/>
                <w:u w:val="none" w:color="auto"/>
                <w:lang w:val="en-US" w:eastAsia="zh-CN"/>
              </w:rPr>
              <w:t>1</w:t>
            </w:r>
            <w:r>
              <w:rPr>
                <w:rFonts w:hint="eastAsia" w:ascii="Times New Roman" w:hAnsi="Times New Roman" w:eastAsia="宋体" w:cs="Times New Roman"/>
                <w:b/>
                <w:bCs/>
                <w:color w:val="auto"/>
                <w:sz w:val="24"/>
                <w:szCs w:val="24"/>
                <w:u w:val="none" w:color="auto"/>
                <w:lang w:val="en-US" w:eastAsia="zh-CN"/>
              </w:rPr>
              <w:t>、</w:t>
            </w:r>
            <w:r>
              <w:rPr>
                <w:rFonts w:hint="default" w:ascii="Times New Roman" w:hAnsi="Times New Roman" w:eastAsia="宋体" w:cs="Times New Roman"/>
                <w:b/>
                <w:bCs/>
                <w:color w:val="auto"/>
                <w:sz w:val="24"/>
                <w:szCs w:val="24"/>
                <w:u w:val="none" w:color="auto"/>
              </w:rPr>
              <w:t>与产业政策符合性分析</w:t>
            </w:r>
          </w:p>
          <w:p>
            <w:pPr>
              <w:spacing w:line="360" w:lineRule="auto"/>
              <w:ind w:firstLine="480" w:firstLineChars="200"/>
              <w:rPr>
                <w:rFonts w:hint="eastAsia" w:cs="Times New Roman"/>
                <w:color w:val="auto"/>
                <w:sz w:val="24"/>
                <w:szCs w:val="24"/>
                <w:highlight w:val="yellow"/>
                <w:lang w:val="en-US" w:eastAsia="zh-CN"/>
              </w:rPr>
            </w:pPr>
            <w:r>
              <w:rPr>
                <w:rFonts w:hint="default" w:ascii="Times New Roman" w:hAnsi="Times New Roman" w:cs="Times New Roman"/>
                <w:color w:val="auto"/>
                <w:sz w:val="24"/>
                <w:szCs w:val="24"/>
                <w:highlight w:val="none"/>
                <w:u w:val="single"/>
                <w:lang w:val="en-US" w:eastAsia="zh-CN"/>
              </w:rPr>
              <w:t>本</w:t>
            </w:r>
            <w:r>
              <w:rPr>
                <w:rFonts w:hint="eastAsia" w:cs="Times New Roman"/>
                <w:color w:val="auto"/>
                <w:sz w:val="24"/>
                <w:szCs w:val="24"/>
                <w:highlight w:val="none"/>
                <w:u w:val="single"/>
                <w:lang w:val="en-US" w:eastAsia="zh-CN"/>
              </w:rPr>
              <w:t>次改扩建</w:t>
            </w:r>
            <w:r>
              <w:rPr>
                <w:rFonts w:hint="default" w:ascii="Times New Roman" w:hAnsi="Times New Roman" w:cs="Times New Roman"/>
                <w:color w:val="auto"/>
                <w:sz w:val="24"/>
                <w:szCs w:val="24"/>
                <w:highlight w:val="none"/>
                <w:u w:val="single"/>
                <w:lang w:val="en-US" w:eastAsia="zh-CN"/>
              </w:rPr>
              <w:t>项目属于</w:t>
            </w:r>
            <w:r>
              <w:rPr>
                <w:rFonts w:hint="eastAsia" w:ascii="Times New Roman" w:hAnsi="Times New Roman" w:eastAsia="宋体" w:cs="Times New Roman"/>
                <w:color w:val="auto"/>
                <w:sz w:val="24"/>
                <w:highlight w:val="none"/>
                <w:u w:val="single"/>
                <w:lang w:eastAsia="zh-CN"/>
              </w:rPr>
              <w:t>《国民经济行业分类》(GB/T4754-2017)</w:t>
            </w:r>
            <w:r>
              <w:rPr>
                <w:rFonts w:hint="eastAsia" w:ascii="Times New Roman" w:hAnsi="Times New Roman" w:eastAsia="宋体" w:cs="Times New Roman"/>
                <w:color w:val="auto"/>
                <w:sz w:val="24"/>
                <w:highlight w:val="none"/>
                <w:u w:val="single"/>
                <w:lang w:val="en-US" w:eastAsia="zh-CN"/>
              </w:rPr>
              <w:t>中的“</w:t>
            </w:r>
            <w:r>
              <w:rPr>
                <w:rStyle w:val="31"/>
                <w:rFonts w:hint="eastAsia" w:cs="Times New Roman"/>
                <w:color w:val="auto"/>
                <w:sz w:val="24"/>
                <w:szCs w:val="24"/>
                <w:highlight w:val="none"/>
                <w:u w:val="single"/>
                <w:vertAlign w:val="baseline"/>
                <w:lang w:val="en-US" w:eastAsia="zh-CN"/>
              </w:rPr>
              <w:t>C3360金属表面处理及热处理加工</w:t>
            </w:r>
            <w:r>
              <w:rPr>
                <w:rFonts w:hint="eastAsia" w:ascii="Times New Roman" w:hAnsi="Times New Roman" w:eastAsia="宋体" w:cs="Times New Roman"/>
                <w:color w:val="auto"/>
                <w:sz w:val="24"/>
                <w:highlight w:val="none"/>
                <w:u w:val="single"/>
                <w:lang w:val="en-US" w:eastAsia="zh-CN"/>
              </w:rPr>
              <w:t>”和“</w:t>
            </w:r>
            <w:r>
              <w:rPr>
                <w:rStyle w:val="31"/>
                <w:rFonts w:hint="eastAsia" w:cs="Times New Roman"/>
                <w:color w:val="auto"/>
                <w:sz w:val="24"/>
                <w:szCs w:val="24"/>
                <w:highlight w:val="none"/>
                <w:u w:val="single"/>
                <w:vertAlign w:val="baseline"/>
                <w:lang w:val="en-US" w:eastAsia="zh-CN"/>
              </w:rPr>
              <w:t>C3399其他未列明金属制品制造</w:t>
            </w:r>
            <w:r>
              <w:rPr>
                <w:rFonts w:hint="eastAsia" w:ascii="Times New Roman" w:hAnsi="Times New Roman" w:eastAsia="宋体" w:cs="Times New Roman"/>
                <w:color w:val="auto"/>
                <w:sz w:val="24"/>
                <w:highlight w:val="none"/>
                <w:u w:val="single"/>
                <w:lang w:val="en-US" w:eastAsia="zh-CN"/>
              </w:rPr>
              <w:t>”</w:t>
            </w:r>
            <w:r>
              <w:rPr>
                <w:rFonts w:hint="eastAsia" w:cs="Times New Roman"/>
                <w:color w:val="auto"/>
                <w:sz w:val="24"/>
                <w:highlight w:val="none"/>
                <w:u w:val="single"/>
                <w:lang w:val="en-US" w:eastAsia="zh-CN"/>
              </w:rPr>
              <w:t>、“C2922塑料板、管、型材制造”、“C2669其他专用化学产品制造”</w:t>
            </w:r>
            <w:r>
              <w:rPr>
                <w:rFonts w:hint="eastAsia" w:cs="Times New Roman"/>
                <w:color w:val="auto"/>
                <w:sz w:val="24"/>
                <w:szCs w:val="24"/>
                <w:highlight w:val="none"/>
                <w:u w:val="single"/>
                <w:lang w:val="en-US" w:eastAsia="zh-CN"/>
              </w:rPr>
              <w:t>。</w:t>
            </w:r>
          </w:p>
          <w:p>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根据《产业结构调整指导目录（</w:t>
            </w:r>
            <w:r>
              <w:rPr>
                <w:rFonts w:hint="eastAsia" w:ascii="Times New Roman" w:hAnsi="Times New Roman" w:eastAsia="宋体" w:cs="Times New Roman"/>
                <w:color w:val="auto"/>
                <w:sz w:val="24"/>
                <w:szCs w:val="24"/>
                <w:highlight w:val="none"/>
                <w:u w:val="none" w:color="auto"/>
                <w:lang w:val="en-US" w:eastAsia="zh-CN"/>
              </w:rPr>
              <w:t>2024年</w:t>
            </w:r>
            <w:r>
              <w:rPr>
                <w:rFonts w:hint="default" w:ascii="Times New Roman" w:hAnsi="Times New Roman" w:eastAsia="宋体" w:cs="Times New Roman"/>
                <w:color w:val="auto"/>
                <w:sz w:val="24"/>
                <w:szCs w:val="24"/>
                <w:highlight w:val="none"/>
                <w:u w:val="none" w:color="auto"/>
              </w:rPr>
              <w:t>）》，</w:t>
            </w:r>
            <w:r>
              <w:rPr>
                <w:rFonts w:hint="eastAsia" w:cs="Times New Roman"/>
                <w:color w:val="auto"/>
                <w:sz w:val="24"/>
                <w:szCs w:val="24"/>
                <w:highlight w:val="none"/>
                <w:u w:val="none" w:color="auto"/>
                <w:lang w:eastAsia="zh-CN"/>
              </w:rPr>
              <w:t>本次</w:t>
            </w:r>
            <w:r>
              <w:rPr>
                <w:rFonts w:hint="eastAsia"/>
                <w:color w:val="auto"/>
                <w:sz w:val="24"/>
                <w:szCs w:val="24"/>
                <w:lang w:eastAsia="zh-CN"/>
              </w:rPr>
              <w:t>改</w:t>
            </w:r>
            <w:r>
              <w:rPr>
                <w:rFonts w:hint="eastAsia" w:cs="Times New Roman"/>
                <w:color w:val="auto"/>
                <w:sz w:val="24"/>
                <w:szCs w:val="24"/>
                <w:highlight w:val="none"/>
                <w:u w:val="none" w:color="auto"/>
                <w:lang w:eastAsia="zh-CN"/>
              </w:rPr>
              <w:t>扩建项目不涉及镀铜焊丝。本次改扩建新增塑料盘不使用发泡剂等原料，不涉及</w:t>
            </w:r>
            <w:r>
              <w:rPr>
                <w:rFonts w:hint="eastAsia" w:ascii="Times New Roman" w:hAnsi="Times New Roman" w:cs="Times New Roman"/>
                <w:color w:val="auto"/>
                <w:sz w:val="24"/>
                <w:szCs w:val="24"/>
                <w:highlight w:val="none"/>
                <w:u w:val="none"/>
                <w:lang w:eastAsia="zh-CN"/>
              </w:rPr>
              <w:t>以含氢氯氟烃（HCFCs）和氢氟碳化物（</w:t>
            </w:r>
            <w:r>
              <w:rPr>
                <w:rFonts w:hint="eastAsia" w:ascii="Times New Roman" w:hAnsi="Times New Roman" w:cs="Times New Roman"/>
                <w:color w:val="auto"/>
                <w:sz w:val="24"/>
                <w:szCs w:val="24"/>
                <w:highlight w:val="none"/>
                <w:u w:val="none"/>
                <w:lang w:val="en-US" w:eastAsia="zh-CN"/>
              </w:rPr>
              <w:t>HFCs</w:t>
            </w:r>
            <w:r>
              <w:rPr>
                <w:rFonts w:hint="eastAsia" w:ascii="Times New Roman" w:hAnsi="Times New Roman" w:cs="Times New Roman"/>
                <w:color w:val="auto"/>
                <w:sz w:val="24"/>
                <w:szCs w:val="24"/>
                <w:highlight w:val="none"/>
                <w:u w:val="none"/>
                <w:lang w:eastAsia="zh-CN"/>
              </w:rPr>
              <w:t>）为制冷剂、发泡剂、灭火剂、溶剂、清洗剂、加工助剂等受控用途的聚氨醋泡沫塑料生产线、连续挤出聚苯乙烯泡沫塑料（(XPS）生产线以及冰箱、冰柜、汽车空调器、工业商业用冷藏、制冷设备生产线的限制类</w:t>
            </w:r>
            <w:r>
              <w:rPr>
                <w:rFonts w:hint="eastAsia" w:ascii="Times New Roman" w:hAnsi="Times New Roman" w:cs="Times New Roman"/>
                <w:color w:val="auto"/>
                <w:sz w:val="24"/>
                <w:szCs w:val="24"/>
                <w:highlight w:val="none"/>
                <w:u w:val="none"/>
                <w:lang w:val="en-US" w:eastAsia="zh-CN"/>
              </w:rPr>
              <w:t>；不涉及以氯氟烃（CECs）为发泡剂的聚氨醋、聚乙烯、聚苯乙烯泡沫塑料生产的</w:t>
            </w:r>
            <w:r>
              <w:rPr>
                <w:rFonts w:hint="eastAsia" w:cs="Times New Roman"/>
                <w:color w:val="auto"/>
                <w:sz w:val="24"/>
                <w:szCs w:val="24"/>
                <w:highlight w:val="none"/>
                <w:u w:val="none" w:color="auto"/>
                <w:lang w:eastAsia="zh-CN"/>
              </w:rPr>
              <w:t>淘汰类</w:t>
            </w:r>
            <w:r>
              <w:rPr>
                <w:rFonts w:hint="eastAsia" w:ascii="Times New Roman" w:hAnsi="Times New Roman"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本项目</w:t>
            </w:r>
            <w:r>
              <w:rPr>
                <w:rFonts w:hint="eastAsia" w:cs="Times New Roman"/>
                <w:color w:val="auto"/>
                <w:sz w:val="24"/>
                <w:szCs w:val="24"/>
                <w:highlight w:val="none"/>
                <w:u w:val="none" w:color="auto"/>
                <w:lang w:eastAsia="zh-CN"/>
              </w:rPr>
              <w:t>不</w:t>
            </w:r>
            <w:r>
              <w:rPr>
                <w:rFonts w:hint="default" w:ascii="Times New Roman" w:hAnsi="Times New Roman" w:eastAsia="宋体" w:cs="Times New Roman"/>
                <w:color w:val="auto"/>
                <w:sz w:val="24"/>
                <w:szCs w:val="24"/>
                <w:highlight w:val="none"/>
                <w:u w:val="none" w:color="auto"/>
              </w:rPr>
              <w:t>属于</w:t>
            </w:r>
            <w:r>
              <w:rPr>
                <w:rFonts w:hint="eastAsia" w:cs="Times New Roman"/>
                <w:color w:val="auto"/>
                <w:sz w:val="24"/>
                <w:szCs w:val="24"/>
                <w:highlight w:val="none"/>
                <w:u w:val="none" w:color="auto"/>
                <w:lang w:eastAsia="zh-CN"/>
              </w:rPr>
              <w:t>“限制类”和“淘汰类”，</w:t>
            </w:r>
            <w:r>
              <w:rPr>
                <w:rFonts w:hint="default" w:ascii="Times New Roman" w:hAnsi="Times New Roman" w:eastAsia="宋体" w:cs="Times New Roman"/>
                <w:color w:val="auto"/>
                <w:sz w:val="24"/>
                <w:szCs w:val="24"/>
                <w:highlight w:val="none"/>
                <w:u w:val="none" w:color="auto"/>
              </w:rPr>
              <w:t>因此，本项目符合国家产业政策的要求。</w:t>
            </w:r>
          </w:p>
          <w:p>
            <w:pPr>
              <w:pStyle w:val="56"/>
              <w:bidi w:val="0"/>
              <w:rPr>
                <w:rStyle w:val="31"/>
                <w:rFonts w:hint="default" w:ascii="Times New Roman" w:hAnsi="Times New Roman" w:cs="Times New Roman"/>
                <w:color w:val="auto"/>
                <w:sz w:val="24"/>
                <w:szCs w:val="24"/>
                <w:highlight w:val="none"/>
                <w:u w:val="none"/>
                <w:vertAlign w:val="baseline"/>
                <w:lang w:val="en-US" w:eastAsia="zh-CN"/>
              </w:rPr>
            </w:pPr>
            <w:r>
              <w:rPr>
                <w:rStyle w:val="31"/>
                <w:rFonts w:hint="eastAsia" w:cs="Times New Roman"/>
                <w:color w:val="auto"/>
                <w:sz w:val="24"/>
                <w:szCs w:val="24"/>
                <w:highlight w:val="none"/>
                <w:u w:val="none"/>
                <w:vertAlign w:val="baseline"/>
                <w:lang w:val="en-US" w:eastAsia="zh-CN"/>
              </w:rPr>
              <w:t>2、</w:t>
            </w:r>
            <w:r>
              <w:rPr>
                <w:rStyle w:val="31"/>
                <w:rFonts w:hint="default" w:ascii="Times New Roman" w:hAnsi="Times New Roman" w:cs="Times New Roman"/>
                <w:color w:val="auto"/>
                <w:sz w:val="24"/>
                <w:szCs w:val="24"/>
                <w:highlight w:val="none"/>
                <w:u w:val="none"/>
                <w:vertAlign w:val="baseline"/>
                <w:lang w:val="en-US" w:eastAsia="zh-CN"/>
              </w:rPr>
              <w:t>“三线一单”符合性分析</w:t>
            </w:r>
          </w:p>
          <w:p>
            <w:pPr>
              <w:pStyle w:val="59"/>
              <w:bidi w:val="0"/>
              <w:spacing w:line="360" w:lineRule="auto"/>
              <w:rPr>
                <w:rFonts w:hint="default" w:ascii="Times New Roman" w:hAnsi="Times New Roman"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cs="Times New Roman"/>
                <w:color w:val="auto"/>
                <w:sz w:val="24"/>
                <w:szCs w:val="24"/>
                <w:highlight w:val="none"/>
                <w:u w:val="none"/>
                <w:lang w:val="en-US" w:eastAsia="zh-CN"/>
              </w:rPr>
              <w:t>生态红线</w:t>
            </w:r>
          </w:p>
          <w:p>
            <w:pPr>
              <w:pStyle w:val="62"/>
              <w:bidi w:val="0"/>
              <w:spacing w:line="360" w:lineRule="auto"/>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本项目建设地点位于</w:t>
            </w:r>
            <w:r>
              <w:rPr>
                <w:rFonts w:hint="default" w:ascii="Times New Roman" w:hAnsi="Times New Roman" w:eastAsia="宋体" w:cs="Times New Roman"/>
                <w:color w:val="auto"/>
                <w:sz w:val="24"/>
                <w:szCs w:val="24"/>
                <w:highlight w:val="none"/>
                <w:u w:val="none"/>
                <w:lang w:val="en-US" w:eastAsia="zh-CN"/>
              </w:rPr>
              <w:t>金龙</w:t>
            </w:r>
            <w:r>
              <w:rPr>
                <w:rFonts w:hint="eastAsia" w:cs="Times New Roman"/>
                <w:color w:val="auto"/>
                <w:sz w:val="24"/>
                <w:szCs w:val="24"/>
                <w:highlight w:val="none"/>
                <w:u w:val="none"/>
                <w:lang w:val="en-US" w:eastAsia="zh-CN"/>
              </w:rPr>
              <w:t>片区</w:t>
            </w:r>
            <w:r>
              <w:rPr>
                <w:rFonts w:hint="default" w:ascii="Times New Roman" w:hAnsi="Times New Roman" w:eastAsia="宋体" w:cs="Times New Roman"/>
                <w:color w:val="auto"/>
                <w:sz w:val="24"/>
                <w:szCs w:val="24"/>
                <w:highlight w:val="none"/>
                <w:u w:val="none"/>
                <w:lang w:val="en-US" w:eastAsia="zh-CN"/>
              </w:rPr>
              <w:t>工业用地范围</w:t>
            </w:r>
            <w:r>
              <w:rPr>
                <w:rFonts w:hint="default" w:ascii="Times New Roman" w:hAnsi="Times New Roman" w:cs="Times New Roman"/>
                <w:color w:val="auto"/>
                <w:sz w:val="24"/>
                <w:szCs w:val="24"/>
                <w:highlight w:val="none"/>
                <w:u w:val="none"/>
                <w:lang w:val="en-US" w:eastAsia="zh-CN"/>
              </w:rPr>
              <w:t>范围内，项目影响范围内无国家级和省级禁止开发区域，项目建设与国家生态红线区域保护规划是相符的。项目不属于《岳阳市生态保护红线划定方案》中的重点生态功能区生态保护红线、生态敏感区生态保护红线、国家级和省级禁止开发区生态保护红线、其他各类保护地生态保护红线，不会导致评价范围内生态服务功能下降，符合《岳阳市生态保护红线划定方案》要求。</w:t>
            </w:r>
          </w:p>
          <w:p>
            <w:pPr>
              <w:pStyle w:val="59"/>
              <w:bidi w:val="0"/>
              <w:spacing w:line="360" w:lineRule="auto"/>
              <w:rPr>
                <w:rFonts w:hint="default" w:ascii="Times New Roman" w:hAnsi="Times New Roman" w:cs="Times New Roman"/>
                <w:color w:val="auto"/>
                <w:sz w:val="24"/>
                <w:szCs w:val="24"/>
                <w:highlight w:val="none"/>
                <w:u w:val="none"/>
              </w:rPr>
            </w:pP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2</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环境质量底线</w:t>
            </w:r>
          </w:p>
          <w:p>
            <w:pPr>
              <w:pStyle w:val="62"/>
              <w:bidi w:val="0"/>
              <w:spacing w:line="360" w:lineRule="auto"/>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本项目大气污染物主要是</w:t>
            </w:r>
            <w:r>
              <w:rPr>
                <w:rFonts w:hint="eastAsia" w:cs="Times New Roman"/>
                <w:color w:val="auto"/>
                <w:sz w:val="24"/>
                <w:szCs w:val="24"/>
                <w:highlight w:val="none"/>
                <w:u w:val="none"/>
                <w:lang w:val="en-US" w:eastAsia="zh-CN"/>
              </w:rPr>
              <w:t>含酸废气、氨气等</w:t>
            </w:r>
            <w:r>
              <w:rPr>
                <w:rFonts w:hint="default" w:ascii="Times New Roman" w:hAnsi="Times New Roman" w:cs="Times New Roman"/>
                <w:color w:val="auto"/>
                <w:sz w:val="24"/>
                <w:szCs w:val="24"/>
                <w:highlight w:val="none"/>
                <w:u w:val="none"/>
                <w:lang w:val="en-US" w:eastAsia="zh-CN"/>
              </w:rPr>
              <w:t>，能满足相应排放标准要求；</w:t>
            </w:r>
            <w:r>
              <w:rPr>
                <w:rFonts w:hint="eastAsia" w:cs="Times New Roman"/>
                <w:color w:val="auto"/>
                <w:sz w:val="24"/>
                <w:szCs w:val="24"/>
                <w:highlight w:val="none"/>
                <w:u w:val="none"/>
                <w:lang w:val="en-US" w:eastAsia="zh-CN"/>
              </w:rPr>
              <w:t>生产废水和</w:t>
            </w:r>
            <w:r>
              <w:rPr>
                <w:rFonts w:hint="default" w:ascii="Times New Roman" w:hAnsi="Times New Roman" w:cs="Times New Roman"/>
                <w:color w:val="auto"/>
                <w:sz w:val="24"/>
                <w:szCs w:val="24"/>
                <w:highlight w:val="none"/>
                <w:u w:val="none"/>
                <w:lang w:val="en-US" w:eastAsia="zh-CN"/>
              </w:rPr>
              <w:t>生活</w:t>
            </w:r>
            <w:r>
              <w:rPr>
                <w:rFonts w:hint="eastAsia" w:cs="Times New Roman"/>
                <w:color w:val="auto"/>
                <w:sz w:val="24"/>
                <w:szCs w:val="24"/>
                <w:highlight w:val="none"/>
                <w:u w:val="none"/>
                <w:lang w:val="en-US" w:eastAsia="zh-CN"/>
              </w:rPr>
              <w:t>污水依托现有污水处理设施处理达标后排园区污水处理厂</w:t>
            </w:r>
            <w:r>
              <w:rPr>
                <w:rFonts w:hint="default" w:ascii="Times New Roman" w:hAnsi="Times New Roman" w:cs="Times New Roman"/>
                <w:color w:val="auto"/>
                <w:sz w:val="24"/>
                <w:szCs w:val="24"/>
                <w:highlight w:val="none"/>
                <w:u w:val="none"/>
                <w:lang w:val="en-US" w:eastAsia="zh-CN"/>
              </w:rPr>
              <w:t>，对水环境不会造成不利影响。项目对产生的固体废弃物均采取了有效的处理、处置和利用措施，不会造成二次污染。本项目高噪声设备经合理布置、有效治理后，对厂界影响较小，不会降低该区域声环境质量要求。综上，在采取相应的污染防治措施后，本项目各类污染物达标排放，不会对周边环境造成不良影响，即不会改变区域环境功能区质量要求，因此本项目选址与现有环境质量是相容的，符合环境质量底线的要求。</w:t>
            </w:r>
          </w:p>
          <w:p>
            <w:pPr>
              <w:pStyle w:val="59"/>
              <w:bidi w:val="0"/>
              <w:spacing w:line="360" w:lineRule="auto"/>
              <w:rPr>
                <w:rFonts w:hint="default" w:ascii="Times New Roman" w:hAnsi="Times New Roman" w:cs="Times New Roman"/>
                <w:color w:val="auto"/>
                <w:sz w:val="24"/>
                <w:szCs w:val="24"/>
                <w:highlight w:val="none"/>
                <w:u w:val="none"/>
              </w:rPr>
            </w:pP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3</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资源利用上线</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2"/>
                <w:sz w:val="24"/>
                <w:szCs w:val="24"/>
                <w:u w:val="none"/>
                <w:lang w:val="en-US" w:eastAsia="zh-CN" w:bidi="ar-SA"/>
              </w:rPr>
            </w:pPr>
            <w:r>
              <w:rPr>
                <w:rFonts w:hint="default" w:ascii="Times New Roman" w:hAnsi="Times New Roman" w:eastAsia="宋体" w:cs="宋体"/>
                <w:color w:val="auto"/>
                <w:kern w:val="2"/>
                <w:sz w:val="24"/>
                <w:szCs w:val="24"/>
                <w:u w:val="none"/>
                <w:lang w:val="en-US" w:eastAsia="zh-CN" w:bidi="ar-SA"/>
              </w:rPr>
              <w:t>项目使用资源主要为水、电等，来源于市政供水系统和供电系统，本项目建成运行后通过内部管理、设备选择、污染治理等多方面采取可行的防治措施，以“节能</w:t>
            </w:r>
            <w:r>
              <w:rPr>
                <w:rFonts w:hint="default"/>
                <w:color w:val="auto"/>
                <w:sz w:val="24"/>
                <w:szCs w:val="24"/>
                <w:highlight w:val="none"/>
              </w:rPr>
              <w:t>、</w:t>
            </w:r>
            <w:r>
              <w:rPr>
                <w:rFonts w:hint="default" w:ascii="Times New Roman" w:hAnsi="Times New Roman" w:eastAsia="宋体" w:cs="宋体"/>
                <w:color w:val="auto"/>
                <w:kern w:val="2"/>
                <w:sz w:val="24"/>
                <w:szCs w:val="24"/>
                <w:u w:val="none"/>
                <w:lang w:val="en-US" w:eastAsia="zh-CN" w:bidi="ar-SA"/>
              </w:rPr>
              <w:t>降耗、减污”为目标</w:t>
            </w:r>
            <w:r>
              <w:rPr>
                <w:rFonts w:hint="eastAsia" w:ascii="Times New Roman" w:hAnsi="Times New Roman" w:eastAsia="宋体" w:cs="宋体"/>
                <w:color w:val="auto"/>
                <w:kern w:val="2"/>
                <w:sz w:val="24"/>
                <w:szCs w:val="24"/>
                <w:u w:val="none"/>
                <w:lang w:val="en-US" w:eastAsia="zh-CN" w:bidi="ar-SA"/>
              </w:rPr>
              <w:t>，</w:t>
            </w:r>
            <w:r>
              <w:rPr>
                <w:rFonts w:hint="default" w:ascii="Times New Roman" w:hAnsi="Times New Roman" w:eastAsia="宋体" w:cs="宋体"/>
                <w:color w:val="auto"/>
                <w:kern w:val="2"/>
                <w:sz w:val="24"/>
                <w:szCs w:val="24"/>
                <w:u w:val="none"/>
                <w:lang w:val="en-US" w:eastAsia="zh-CN" w:bidi="ar-SA"/>
              </w:rPr>
              <w:t>有</w:t>
            </w:r>
            <w:r>
              <w:rPr>
                <w:rFonts w:hint="eastAsia" w:ascii="Times New Roman" w:hAnsi="Times New Roman" w:eastAsia="宋体" w:cs="宋体"/>
                <w:color w:val="auto"/>
                <w:kern w:val="2"/>
                <w:sz w:val="24"/>
                <w:szCs w:val="24"/>
                <w:u w:val="none"/>
                <w:lang w:val="en-US" w:eastAsia="zh-CN" w:bidi="ar-SA"/>
              </w:rPr>
              <w:t>效</w:t>
            </w:r>
            <w:r>
              <w:rPr>
                <w:rFonts w:hint="default" w:ascii="Times New Roman" w:hAnsi="Times New Roman" w:eastAsia="宋体" w:cs="宋体"/>
                <w:color w:val="auto"/>
                <w:kern w:val="2"/>
                <w:sz w:val="24"/>
                <w:szCs w:val="24"/>
                <w:u w:val="none"/>
                <w:lang w:val="en-US" w:eastAsia="zh-CN" w:bidi="ar-SA"/>
              </w:rPr>
              <w:t>地控制污染，项目的水、电等资源不会突破区域的资源利用上线。本项目不新增占地。项目符合当地土地规划要求，亦不会达到资源利用上线。</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宋体"/>
                <w:color w:val="auto"/>
                <w:kern w:val="2"/>
                <w:sz w:val="24"/>
                <w:szCs w:val="24"/>
                <w:u w:val="none"/>
                <w:lang w:val="en-US" w:eastAsia="zh-CN" w:bidi="ar-SA"/>
              </w:rPr>
            </w:pPr>
            <w:r>
              <w:rPr>
                <w:rFonts w:hint="default" w:ascii="Times New Roman" w:hAnsi="Times New Roman" w:eastAsia="宋体" w:cs="宋体"/>
                <w:color w:val="auto"/>
                <w:kern w:val="2"/>
                <w:sz w:val="24"/>
                <w:szCs w:val="24"/>
                <w:u w:val="none"/>
                <w:lang w:val="en-US" w:eastAsia="zh-CN" w:bidi="ar-SA"/>
              </w:rPr>
              <w:t>因此，本项目的建设不会突破当地资源利用上线。</w:t>
            </w:r>
          </w:p>
          <w:p>
            <w:pPr>
              <w:pStyle w:val="59"/>
              <w:spacing w:line="360" w:lineRule="auto"/>
              <w:rPr>
                <w:rFonts w:hint="eastAsia" w:ascii="Times New Roman" w:hAnsi="Times New Roman" w:cs="Times New Roman"/>
                <w:color w:val="auto"/>
                <w:sz w:val="24"/>
                <w:szCs w:val="24"/>
                <w:highlight w:val="none"/>
                <w:u w:val="none"/>
              </w:rPr>
            </w:pPr>
            <w:r>
              <w:rPr>
                <w:rFonts w:hint="eastAsia" w:cs="Times New Roman"/>
                <w:color w:val="auto"/>
                <w:sz w:val="24"/>
                <w:szCs w:val="24"/>
                <w:highlight w:val="none"/>
                <w:u w:val="none"/>
                <w:lang w:val="en-US" w:eastAsia="zh-CN"/>
              </w:rPr>
              <w:t>（4）</w:t>
            </w:r>
            <w:r>
              <w:rPr>
                <w:rFonts w:hint="eastAsia" w:ascii="Times New Roman" w:hAnsi="Times New Roman" w:cs="Times New Roman"/>
                <w:color w:val="auto"/>
                <w:sz w:val="24"/>
                <w:szCs w:val="24"/>
                <w:highlight w:val="none"/>
                <w:u w:val="none"/>
              </w:rPr>
              <w:t>生态环境准入清单</w:t>
            </w:r>
          </w:p>
          <w:p>
            <w:pPr>
              <w:pStyle w:val="62"/>
              <w:bidi w:val="0"/>
              <w:spacing w:line="360" w:lineRule="auto"/>
              <w:rPr>
                <w:rFonts w:hint="default" w:ascii="Times New Roman" w:hAnsi="Times New Roman" w:cs="Times New Roman"/>
                <w:color w:val="auto"/>
                <w:sz w:val="24"/>
                <w:szCs w:val="24"/>
                <w:highlight w:val="none"/>
                <w:u w:val="single" w:color="auto"/>
                <w:lang w:val="en-US" w:eastAsia="zh-CN"/>
              </w:rPr>
            </w:pPr>
            <w:r>
              <w:rPr>
                <w:rFonts w:hint="eastAsia"/>
                <w:color w:val="auto"/>
                <w:sz w:val="24"/>
                <w:szCs w:val="24"/>
                <w:highlight w:val="none"/>
                <w:u w:val="single" w:color="auto"/>
                <w:lang w:val="en-US" w:eastAsia="zh-CN"/>
              </w:rPr>
              <w:t>2024年6月11日，</w:t>
            </w:r>
            <w:r>
              <w:rPr>
                <w:rFonts w:ascii="Arial" w:hAnsi="Arial" w:eastAsia="Arial" w:cs="Arial"/>
                <w:i w:val="0"/>
                <w:iCs w:val="0"/>
                <w:caps w:val="0"/>
                <w:color w:val="auto"/>
                <w:spacing w:val="0"/>
                <w:sz w:val="24"/>
                <w:szCs w:val="24"/>
                <w:highlight w:val="none"/>
                <w:u w:val="single" w:color="auto"/>
                <w:shd w:val="clear" w:fill="FFFFFF"/>
              </w:rPr>
              <w:t>湖南省生态环境厅</w:t>
            </w:r>
            <w:r>
              <w:rPr>
                <w:rFonts w:hint="eastAsia" w:ascii="Arial" w:hAnsi="Arial" w:eastAsia="宋体" w:cs="Arial"/>
                <w:i w:val="0"/>
                <w:iCs w:val="0"/>
                <w:caps w:val="0"/>
                <w:color w:val="auto"/>
                <w:spacing w:val="0"/>
                <w:sz w:val="24"/>
                <w:szCs w:val="24"/>
                <w:highlight w:val="none"/>
                <w:u w:val="single" w:color="auto"/>
                <w:shd w:val="clear" w:fill="FFFFFF"/>
                <w:lang w:eastAsia="zh-CN"/>
              </w:rPr>
              <w:t>印发</w:t>
            </w:r>
            <w:r>
              <w:rPr>
                <w:rFonts w:hint="eastAsia"/>
                <w:color w:val="auto"/>
                <w:sz w:val="24"/>
                <w:szCs w:val="24"/>
                <w:highlight w:val="none"/>
                <w:u w:val="single" w:color="auto"/>
                <w:lang w:val="en-US" w:eastAsia="zh-CN"/>
              </w:rPr>
              <w:t>《湖南省生态环境分区管控总体管控要求暨省级以上产业园区生态环境准入清单》（湘环函〔2024〕26号）</w:t>
            </w:r>
            <w:r>
              <w:rPr>
                <w:rFonts w:hint="default" w:ascii="Times New Roman" w:hAnsi="Times New Roman" w:eastAsia="宋体" w:cs="Times New Roman"/>
                <w:color w:val="auto"/>
                <w:sz w:val="24"/>
                <w:szCs w:val="24"/>
                <w:u w:val="single" w:color="auto"/>
              </w:rPr>
              <w:t>中“</w:t>
            </w:r>
            <w:r>
              <w:rPr>
                <w:rFonts w:hint="default" w:ascii="Times New Roman" w:hAnsi="Times New Roman" w:eastAsia="宋体" w:cs="Times New Roman"/>
                <w:color w:val="auto"/>
                <w:sz w:val="24"/>
                <w:szCs w:val="24"/>
                <w:u w:val="single" w:color="auto"/>
                <w:lang w:eastAsia="zh-CN"/>
              </w:rPr>
              <w:t>湘阴高新技术产业开发区</w:t>
            </w:r>
            <w:r>
              <w:rPr>
                <w:rFonts w:hint="default" w:ascii="Times New Roman" w:hAnsi="Times New Roman" w:eastAsia="宋体" w:cs="Times New Roman"/>
                <w:color w:val="auto"/>
                <w:sz w:val="24"/>
                <w:szCs w:val="24"/>
                <w:u w:val="single" w:color="auto"/>
              </w:rPr>
              <w:t>”，本项目位于</w:t>
            </w:r>
            <w:r>
              <w:rPr>
                <w:rFonts w:hint="eastAsia"/>
                <w:color w:val="auto"/>
                <w:sz w:val="24"/>
                <w:szCs w:val="24"/>
                <w:u w:val="single" w:color="auto"/>
                <w:lang w:val="en-US" w:eastAsia="zh-CN"/>
              </w:rPr>
              <w:t>湘阴高新技术产业开发区金龙片区</w:t>
            </w:r>
            <w:r>
              <w:rPr>
                <w:rFonts w:hint="default" w:ascii="Times New Roman" w:hAnsi="Times New Roman" w:eastAsia="宋体" w:cs="Times New Roman"/>
                <w:color w:val="auto"/>
                <w:sz w:val="24"/>
                <w:szCs w:val="24"/>
                <w:u w:val="single" w:color="auto"/>
              </w:rPr>
              <w:t>，属于重点管控单元。项目区域具体管控要求及符合性分析详见下表1-</w:t>
            </w:r>
            <w:r>
              <w:rPr>
                <w:rFonts w:hint="eastAsia" w:ascii="Times New Roman" w:hAnsi="Times New Roman" w:eastAsia="宋体" w:cs="Times New Roman"/>
                <w:color w:val="auto"/>
                <w:sz w:val="24"/>
                <w:szCs w:val="24"/>
                <w:u w:val="single" w:color="auto"/>
                <w:lang w:val="en-US" w:eastAsia="zh-CN"/>
              </w:rPr>
              <w:t>5</w:t>
            </w:r>
            <w:r>
              <w:rPr>
                <w:rFonts w:hint="default" w:ascii="Times New Roman" w:hAnsi="Times New Roman" w:cs="Times New Roman"/>
                <w:color w:val="auto"/>
                <w:sz w:val="24"/>
                <w:szCs w:val="24"/>
                <w:highlight w:val="none"/>
                <w:u w:val="single" w:color="auto"/>
                <w:lang w:val="en-US" w:eastAsia="zh-CN"/>
              </w:rPr>
              <w:t>。</w:t>
            </w:r>
          </w:p>
          <w:p>
            <w:pPr>
              <w:pStyle w:val="60"/>
              <w:bidi w:val="0"/>
              <w:spacing w:line="240" w:lineRule="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u w:val="single"/>
                <w:lang w:val="en-US" w:eastAsia="zh-CN"/>
              </w:rPr>
              <w:t>表1-</w:t>
            </w:r>
            <w:r>
              <w:rPr>
                <w:rFonts w:hint="eastAsia" w:cs="Times New Roman"/>
                <w:color w:val="auto"/>
                <w:sz w:val="24"/>
                <w:szCs w:val="24"/>
                <w:highlight w:val="none"/>
                <w:u w:val="single"/>
                <w:lang w:val="en-US" w:eastAsia="zh-CN"/>
              </w:rPr>
              <w:t>5</w:t>
            </w:r>
            <w:r>
              <w:rPr>
                <w:rFonts w:hint="eastAsia"/>
                <w:color w:val="auto"/>
                <w:sz w:val="24"/>
                <w:szCs w:val="24"/>
                <w:highlight w:val="none"/>
                <w:u w:val="single"/>
                <w:lang w:val="en-US" w:eastAsia="zh-CN"/>
              </w:rPr>
              <w:t>湘阴高新技术产业开发区</w:t>
            </w:r>
            <w:r>
              <w:rPr>
                <w:rFonts w:hint="default" w:ascii="Times New Roman" w:hAnsi="Times New Roman" w:cs="Times New Roman"/>
                <w:color w:val="auto"/>
                <w:sz w:val="24"/>
                <w:szCs w:val="24"/>
                <w:highlight w:val="none"/>
                <w:u w:val="single"/>
                <w:lang w:val="en-US" w:eastAsia="zh-CN"/>
              </w:rPr>
              <w:t>生态环境准入清单（重点管控单元）</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1"/>
              <w:gridCol w:w="5163"/>
              <w:gridCol w:w="2438"/>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管控维度</w:t>
                  </w:r>
                </w:p>
              </w:tc>
              <w:tc>
                <w:tcPr>
                  <w:tcW w:w="5033"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管控要求</w:t>
                  </w:r>
                </w:p>
              </w:tc>
              <w:tc>
                <w:tcPr>
                  <w:tcW w:w="2375"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本项目情况</w:t>
                  </w:r>
                </w:p>
              </w:tc>
              <w:tc>
                <w:tcPr>
                  <w:tcW w:w="528"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是否</w:t>
                  </w:r>
                </w:p>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eastAsia="宋体" w:cs="Times New Roman"/>
                      <w:color w:val="auto"/>
                      <w:kern w:val="0"/>
                      <w:sz w:val="21"/>
                      <w:szCs w:val="21"/>
                      <w:highlight w:val="none"/>
                      <w:u w:val="single"/>
                      <w:lang w:val="en-US" w:eastAsia="zh-CN" w:bidi="ar-SA"/>
                    </w:rPr>
                    <w:t>主导产业</w:t>
                  </w:r>
                </w:p>
              </w:tc>
              <w:tc>
                <w:tcPr>
                  <w:tcW w:w="5033" w:type="dxa"/>
                  <w:noWrap w:val="0"/>
                  <w:vAlign w:val="center"/>
                </w:tcPr>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eastAsia="宋体" w:cs="Times New Roman"/>
                      <w:color w:val="auto"/>
                      <w:kern w:val="0"/>
                      <w:sz w:val="21"/>
                      <w:szCs w:val="21"/>
                      <w:highlight w:val="none"/>
                      <w:u w:val="single"/>
                      <w:lang w:val="en-US" w:eastAsia="zh-CN" w:bidi="ar-SA"/>
                    </w:rPr>
                    <w:t>湘发改地区〔湘发改地区〔2021〕394号：2021〕394号：主导产业，装备制造；特色产业，装配建筑建材；</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eastAsia="宋体" w:cs="Times New Roman"/>
                      <w:color w:val="auto"/>
                      <w:kern w:val="0"/>
                      <w:sz w:val="21"/>
                      <w:szCs w:val="21"/>
                      <w:highlight w:val="none"/>
                      <w:u w:val="single"/>
                      <w:lang w:val="en-US" w:eastAsia="zh-CN" w:bidi="ar-SA"/>
                    </w:rPr>
                    <w:t>湘环评函〔2022〕65号：区块一、区块二（洋沙湖片区）重点发展装备制造、食品加工、新材料产业（主要包含电子专用材料制造、电池制造（不含铅酸蓄电池）等）、废弃资源综合利用（包括利用金属废料和碎屑加工处理和废油回收）；区块三、区块四、区块五（临港片区）重点发展装配式建筑建材产业、配套发展物流产业；区块六（金龙片区）重点发展装备制造产业。</w:t>
                  </w:r>
                </w:p>
              </w:tc>
              <w:tc>
                <w:tcPr>
                  <w:tcW w:w="2375" w:type="dxa"/>
                  <w:noWrap w:val="0"/>
                  <w:vAlign w:val="center"/>
                </w:tcPr>
                <w:p>
                  <w:pPr>
                    <w:pStyle w:val="62"/>
                    <w:spacing w:line="240" w:lineRule="auto"/>
                    <w:ind w:left="0" w:leftChars="0" w:firstLine="0" w:firstLineChars="0"/>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本项目</w:t>
                  </w:r>
                  <w:r>
                    <w:rPr>
                      <w:rFonts w:hint="eastAsia" w:cs="Times New Roman"/>
                      <w:color w:val="auto"/>
                      <w:sz w:val="21"/>
                      <w:szCs w:val="21"/>
                      <w:highlight w:val="none"/>
                      <w:u w:val="single"/>
                      <w:lang w:val="en-US" w:eastAsia="zh-CN"/>
                    </w:rPr>
                    <w:t>位于</w:t>
                  </w:r>
                  <w:r>
                    <w:rPr>
                      <w:rFonts w:hint="default" w:ascii="Times New Roman" w:hAnsi="Times New Roman" w:eastAsia="宋体" w:cs="Times New Roman"/>
                      <w:color w:val="auto"/>
                      <w:kern w:val="0"/>
                      <w:sz w:val="21"/>
                      <w:szCs w:val="21"/>
                      <w:highlight w:val="none"/>
                      <w:u w:val="single"/>
                      <w:lang w:val="en-US" w:eastAsia="zh-CN" w:bidi="ar-SA"/>
                    </w:rPr>
                    <w:t>区块六（金龙片区）</w:t>
                  </w:r>
                  <w:r>
                    <w:rPr>
                      <w:rFonts w:hint="eastAsia" w:ascii="Times New Roman" w:hAnsi="Times New Roman" w:eastAsia="宋体" w:cs="Times New Roman"/>
                      <w:color w:val="auto"/>
                      <w:kern w:val="0"/>
                      <w:sz w:val="21"/>
                      <w:szCs w:val="21"/>
                      <w:highlight w:val="none"/>
                      <w:u w:val="single"/>
                      <w:lang w:val="en-US" w:eastAsia="zh-CN" w:bidi="ar-SA"/>
                    </w:rPr>
                    <w:t>，项目</w:t>
                  </w:r>
                  <w:r>
                    <w:rPr>
                      <w:rFonts w:hint="default" w:ascii="Times New Roman" w:hAnsi="Times New Roman" w:eastAsia="宋体" w:cs="Times New Roman"/>
                      <w:color w:val="auto"/>
                      <w:sz w:val="21"/>
                      <w:szCs w:val="21"/>
                      <w:highlight w:val="none"/>
                      <w:u w:val="single"/>
                      <w:lang w:eastAsia="zh-CN"/>
                    </w:rPr>
                    <w:t>属于</w:t>
                  </w:r>
                  <w:r>
                    <w:rPr>
                      <w:rFonts w:hint="eastAsia" w:cs="Times New Roman"/>
                      <w:color w:val="auto"/>
                      <w:kern w:val="0"/>
                      <w:sz w:val="21"/>
                      <w:szCs w:val="21"/>
                      <w:highlight w:val="none"/>
                      <w:u w:val="single"/>
                      <w:lang w:val="en-US" w:eastAsia="zh-CN" w:bidi="ar-SA"/>
                    </w:rPr>
                    <w:t>金属制品制造</w:t>
                  </w:r>
                  <w:r>
                    <w:rPr>
                      <w:rFonts w:hint="default" w:ascii="Times New Roman" w:hAnsi="Times New Roman" w:eastAsia="宋体" w:cs="Times New Roman"/>
                      <w:color w:val="auto"/>
                      <w:sz w:val="21"/>
                      <w:szCs w:val="21"/>
                      <w:highlight w:val="none"/>
                      <w:u w:val="single"/>
                      <w:lang w:val="en-US" w:eastAsia="zh-CN"/>
                    </w:rPr>
                    <w:t>，</w:t>
                  </w:r>
                  <w:r>
                    <w:rPr>
                      <w:rFonts w:hint="eastAsia" w:cs="Times New Roman"/>
                      <w:color w:val="auto"/>
                      <w:sz w:val="21"/>
                      <w:szCs w:val="21"/>
                      <w:highlight w:val="none"/>
                      <w:u w:val="single"/>
                      <w:lang w:val="en-US" w:eastAsia="zh-CN"/>
                    </w:rPr>
                    <w:t>属于</w:t>
                  </w:r>
                  <w:r>
                    <w:rPr>
                      <w:rFonts w:hint="default" w:ascii="Times New Roman" w:hAnsi="Times New Roman" w:eastAsia="宋体" w:cs="Times New Roman"/>
                      <w:color w:val="auto"/>
                      <w:kern w:val="0"/>
                      <w:sz w:val="21"/>
                      <w:szCs w:val="21"/>
                      <w:highlight w:val="none"/>
                      <w:u w:val="single"/>
                      <w:lang w:val="en-US" w:eastAsia="zh-CN" w:bidi="ar-SA"/>
                    </w:rPr>
                    <w:t>装备制造产业</w:t>
                  </w:r>
                  <w:r>
                    <w:rPr>
                      <w:rFonts w:hint="eastAsia" w:ascii="Times New Roman" w:hAnsi="Times New Roman" w:eastAsia="宋体" w:cs="Times New Roman"/>
                      <w:color w:val="auto"/>
                      <w:kern w:val="0"/>
                      <w:sz w:val="21"/>
                      <w:szCs w:val="21"/>
                      <w:highlight w:val="none"/>
                      <w:u w:val="single"/>
                      <w:lang w:val="en-US" w:eastAsia="zh-CN" w:bidi="ar-SA"/>
                    </w:rPr>
                    <w:t>，</w:t>
                  </w:r>
                  <w:r>
                    <w:rPr>
                      <w:rFonts w:hint="default" w:ascii="Times New Roman" w:hAnsi="Times New Roman" w:eastAsia="宋体" w:cs="Times New Roman"/>
                      <w:color w:val="auto"/>
                      <w:sz w:val="21"/>
                      <w:szCs w:val="21"/>
                      <w:highlight w:val="none"/>
                      <w:u w:val="single"/>
                      <w:lang w:val="en-US" w:eastAsia="zh-CN"/>
                    </w:rPr>
                    <w:t>符合园区产业规划要求。</w:t>
                  </w:r>
                </w:p>
              </w:tc>
              <w:tc>
                <w:tcPr>
                  <w:tcW w:w="528"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空间布局约束</w:t>
                  </w:r>
                </w:p>
              </w:tc>
              <w:tc>
                <w:tcPr>
                  <w:tcW w:w="5033" w:type="dxa"/>
                  <w:noWrap w:val="0"/>
                  <w:vAlign w:val="center"/>
                </w:tcPr>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（1.1）新引进项目及高新区外企业搬迁入园过程中应着重从降低环境影响的角度出发合理选址布局。对于高新区外已有企业或项目的搬迁入园应确保实现其清洁生产水平的提升与污染物排放总量的降低。</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（1.2）区块一、区块二（洋沙湖片区）将涉及气型污染物无组织排放的企业、车间尽量远离湿地公园布置；禁止引进对洋沙湖-东湖国家湿地公园产生不利影响的企业。</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（1.3）区块三、区块四、区块五（临港片区）严控以气型污染为主的企业入驻。</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（1.4）区块六（金龙片区）适当限制以水型污染为主的企业入驻。</w:t>
                  </w:r>
                </w:p>
              </w:tc>
              <w:tc>
                <w:tcPr>
                  <w:tcW w:w="2375" w:type="dxa"/>
                  <w:noWrap w:val="0"/>
                  <w:vAlign w:val="center"/>
                </w:tcPr>
                <w:p>
                  <w:pPr>
                    <w:keepNext w:val="0"/>
                    <w:keepLines w:val="0"/>
                    <w:pageBreakBefore w:val="0"/>
                    <w:widowControl w:val="0"/>
                    <w:kinsoku/>
                    <w:wordWrap/>
                    <w:overflowPunct/>
                    <w:bidi w:val="0"/>
                    <w:snapToGrid/>
                    <w:ind w:right="0" w:rightChars="0" w:firstLine="0" w:firstLineChars="0"/>
                    <w:jc w:val="left"/>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本项目</w:t>
                  </w:r>
                  <w:r>
                    <w:rPr>
                      <w:rFonts w:hint="eastAsia" w:cs="Times New Roman"/>
                      <w:color w:val="auto"/>
                      <w:sz w:val="21"/>
                      <w:szCs w:val="21"/>
                      <w:highlight w:val="none"/>
                      <w:u w:val="single"/>
                      <w:lang w:val="en-US" w:eastAsia="zh-CN"/>
                    </w:rPr>
                    <w:t>位于金龙片区二类工业用地，</w:t>
                  </w:r>
                  <w:r>
                    <w:rPr>
                      <w:rFonts w:hint="default" w:ascii="Times New Roman" w:hAnsi="Times New Roman" w:eastAsia="宋体" w:cs="Times New Roman"/>
                      <w:color w:val="auto"/>
                      <w:szCs w:val="21"/>
                      <w:highlight w:val="none"/>
                      <w:u w:val="single"/>
                      <w:lang w:val="en-US" w:eastAsia="zh-CN"/>
                    </w:rPr>
                    <w:t>属于</w:t>
                  </w:r>
                  <w:r>
                    <w:rPr>
                      <w:rFonts w:hint="eastAsia" w:cs="Times New Roman"/>
                      <w:color w:val="auto"/>
                      <w:szCs w:val="21"/>
                      <w:highlight w:val="none"/>
                      <w:u w:val="single"/>
                      <w:lang w:val="en-US" w:eastAsia="zh-CN"/>
                    </w:rPr>
                    <w:t>改扩建</w:t>
                  </w:r>
                  <w:r>
                    <w:rPr>
                      <w:rFonts w:hint="default" w:ascii="Times New Roman" w:hAnsi="Times New Roman" w:eastAsia="宋体" w:cs="Times New Roman"/>
                      <w:color w:val="auto"/>
                      <w:szCs w:val="21"/>
                      <w:highlight w:val="none"/>
                      <w:u w:val="single"/>
                      <w:lang w:val="en-US" w:eastAsia="zh-CN"/>
                    </w:rPr>
                    <w:t>项目，不属于新引进项目，用地性质符合园区规划和定位。</w:t>
                  </w:r>
                  <w:r>
                    <w:rPr>
                      <w:rFonts w:hint="eastAsia" w:cs="Times New Roman"/>
                      <w:color w:val="auto"/>
                      <w:sz w:val="21"/>
                      <w:szCs w:val="21"/>
                      <w:highlight w:val="none"/>
                      <w:u w:val="single"/>
                      <w:lang w:val="en-US" w:eastAsia="zh-CN"/>
                    </w:rPr>
                    <w:t>项目不涉及重金属废水，酸洗废水、水洗废水、清洗废水依托厂区现有污水处理站处理后经现有污水管网进入湘阴县第三污水处理厂处理。</w:t>
                  </w:r>
                </w:p>
              </w:tc>
              <w:tc>
                <w:tcPr>
                  <w:tcW w:w="528"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污染物排放管束</w:t>
                  </w:r>
                </w:p>
              </w:tc>
              <w:tc>
                <w:tcPr>
                  <w:tcW w:w="5033" w:type="dxa"/>
                  <w:shd w:val="clear" w:color="auto" w:fill="auto"/>
                  <w:noWrap w:val="0"/>
                  <w:vAlign w:val="center"/>
                </w:tcPr>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（2.1）废水</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（2.1.1）高新区各区块排水实施雨污分流，雨水经雨水管网排入洋沙湖。</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2.1.2）区块一、区块二（洋沙湖片区）废水进入湘阴县第二污水处理厂处理达标后排入洋沙湖闸外流入湘江；区块三、区块四、区块五（临港片区）废水依托湘阴县第一污水处理厂处理达标后排入湘江；区块六（金龙片区）废水依托湘阴县第三污水处理厂处理达标后由洋沙河排入洋沙湖。</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（2.2）废气</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（2.2.1）持续深化工业炉窑大气污染专项治理，进一步加强传统产业环保升级，采用节能低碳环保技术改造提升传统产业，努力构建绿色制造体系，不断优化工业产品结构。</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（2.2.2）加强高新区大气污染防治，采取有效措施减少污染物排放总量，严格控制无组织排放，加强对高新区企业VOCs排放的治理。</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2.3）固体废弃物：建立高新区固废规范化管理体系，做好工业固体废物的分类收集、转运、综合利用和无害化处理。对危险废物应严格按照国家有关规定综合利用或妥善处置，对危险废物产生企业和经营单位，应强化日常环境监管。</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（2.4）建立健全环境空气、地表水、地下水、土壤等环境要素的监控体系。合理布局大气小微站，并涵盖相关特征污染物监测。</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（2.5）高新区内相关行业污染物排放满足《湖南省生态环中境厅关于执行污染物特别排放限值（第一批）的公告》中的要求。</w:t>
                  </w:r>
                </w:p>
              </w:tc>
              <w:tc>
                <w:tcPr>
                  <w:tcW w:w="2375" w:type="dxa"/>
                  <w:shd w:val="clear" w:color="auto" w:fill="auto"/>
                  <w:noWrap w:val="0"/>
                  <w:vAlign w:val="center"/>
                </w:tcPr>
                <w:p>
                  <w:pPr>
                    <w:pStyle w:val="28"/>
                    <w:keepNext w:val="0"/>
                    <w:keepLines w:val="0"/>
                    <w:pageBreakBefore w:val="0"/>
                    <w:widowControl w:val="0"/>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本项目厂区进行了雨污分流，酸洗废水、水洗废水、清洗废水经现有污水处理</w:t>
                  </w:r>
                  <w:r>
                    <w:rPr>
                      <w:rFonts w:hint="eastAsia" w:cs="Times New Roman"/>
                      <w:color w:val="auto"/>
                      <w:sz w:val="21"/>
                      <w:szCs w:val="21"/>
                      <w:highlight w:val="none"/>
                      <w:u w:val="single"/>
                      <w:lang w:val="en-US" w:eastAsia="zh-CN"/>
                    </w:rPr>
                    <w:t>设施</w:t>
                  </w:r>
                  <w:r>
                    <w:rPr>
                      <w:rFonts w:hint="default" w:ascii="Times New Roman" w:hAnsi="Times New Roman" w:eastAsia="宋体" w:cs="Times New Roman"/>
                      <w:color w:val="auto"/>
                      <w:sz w:val="21"/>
                      <w:szCs w:val="21"/>
                      <w:highlight w:val="none"/>
                      <w:u w:val="single"/>
                      <w:lang w:val="en-US" w:eastAsia="zh-CN"/>
                    </w:rPr>
                    <w:t>处理后依托园区现有污水管网进入湘阴县第三污水处理厂处理</w:t>
                  </w:r>
                  <w:r>
                    <w:rPr>
                      <w:rFonts w:hint="eastAsia" w:cs="Times New Roman"/>
                      <w:color w:val="auto"/>
                      <w:sz w:val="21"/>
                      <w:szCs w:val="21"/>
                      <w:highlight w:val="none"/>
                      <w:u w:val="single"/>
                      <w:lang w:val="en-US" w:eastAsia="zh-CN"/>
                    </w:rPr>
                    <w:t>达标后</w:t>
                  </w:r>
                  <w:r>
                    <w:rPr>
                      <w:rFonts w:hint="default" w:ascii="Times New Roman" w:hAnsi="Times New Roman" w:eastAsia="宋体" w:cs="Times New Roman"/>
                      <w:color w:val="auto"/>
                      <w:sz w:val="21"/>
                      <w:szCs w:val="21"/>
                      <w:highlight w:val="none"/>
                      <w:u w:val="single"/>
                    </w:rPr>
                    <w:t>由洋沙河排入洋沙湖</w:t>
                  </w:r>
                  <w:r>
                    <w:rPr>
                      <w:rFonts w:hint="default" w:ascii="Times New Roman" w:hAnsi="Times New Roman" w:eastAsia="宋体" w:cs="Times New Roman"/>
                      <w:color w:val="auto"/>
                      <w:sz w:val="21"/>
                      <w:szCs w:val="21"/>
                      <w:highlight w:val="none"/>
                      <w:u w:val="single"/>
                      <w:lang w:val="en-US" w:eastAsia="zh-CN"/>
                    </w:rPr>
                    <w:t>。</w:t>
                  </w:r>
                </w:p>
                <w:p>
                  <w:pPr>
                    <w:pStyle w:val="28"/>
                    <w:keepNext w:val="0"/>
                    <w:keepLines w:val="0"/>
                    <w:pageBreakBefore w:val="0"/>
                    <w:widowControl w:val="0"/>
                    <w:kinsoku/>
                    <w:wordWrap/>
                    <w:overflowPunct/>
                    <w:topLinePunct w:val="0"/>
                    <w:autoSpaceDE/>
                    <w:autoSpaceDN/>
                    <w:bidi w:val="0"/>
                    <w:adjustRightInd/>
                    <w:snapToGrid/>
                    <w:spacing w:before="0" w:after="0" w:line="240" w:lineRule="auto"/>
                    <w:ind w:firstLine="0"/>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项目不涉及</w:t>
                  </w:r>
                  <w:r>
                    <w:rPr>
                      <w:rFonts w:hint="default" w:ascii="Times New Roman" w:hAnsi="Times New Roman" w:eastAsia="宋体" w:cs="Times New Roman"/>
                      <w:color w:val="auto"/>
                      <w:sz w:val="21"/>
                      <w:szCs w:val="21"/>
                      <w:highlight w:val="none"/>
                      <w:u w:val="single"/>
                    </w:rPr>
                    <w:t>工业炉窑</w:t>
                  </w:r>
                  <w:r>
                    <w:rPr>
                      <w:rFonts w:hint="eastAsia" w:cs="Times New Roman"/>
                      <w:color w:val="auto"/>
                      <w:sz w:val="21"/>
                      <w:szCs w:val="21"/>
                      <w:highlight w:val="none"/>
                      <w:u w:val="single"/>
                      <w:lang w:val="en-US" w:eastAsia="zh-CN"/>
                    </w:rPr>
                    <w:t>，酸雾废气经处理达标后经15m高排气筒排放；粉尘经布袋除尘处理达标后经15m高排气筒排放；项目VOCs产生工序均为封闭设备，产生的有机废气经“两级活性炭吸附”处理达标后经15m高排气筒排放。</w:t>
                  </w:r>
                </w:p>
                <w:p>
                  <w:pPr>
                    <w:pStyle w:val="28"/>
                    <w:keepNext w:val="0"/>
                    <w:keepLines w:val="0"/>
                    <w:pageBreakBefore w:val="0"/>
                    <w:widowControl w:val="0"/>
                    <w:kinsoku/>
                    <w:wordWrap/>
                    <w:overflowPunct/>
                    <w:topLinePunct w:val="0"/>
                    <w:autoSpaceDE/>
                    <w:autoSpaceDN/>
                    <w:bidi w:val="0"/>
                    <w:adjustRightInd/>
                    <w:snapToGrid/>
                    <w:spacing w:before="0" w:after="0" w:line="240" w:lineRule="auto"/>
                    <w:ind w:firstLine="210" w:firstLineChars="100"/>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一般工业固废收集后暂存于固废暂存间</w:t>
                  </w:r>
                  <w:r>
                    <w:rPr>
                      <w:rFonts w:hint="eastAsia" w:ascii="Times New Roman" w:hAnsi="Times New Roman" w:eastAsia="宋体" w:cs="Times New Roman"/>
                      <w:color w:val="auto"/>
                      <w:sz w:val="21"/>
                      <w:szCs w:val="21"/>
                      <w:highlight w:val="none"/>
                      <w:u w:val="single"/>
                      <w:vertAlign w:val="baseline"/>
                      <w:lang w:val="en-US" w:eastAsia="zh-CN"/>
                    </w:rPr>
                    <w:t>后外售</w:t>
                  </w:r>
                  <w:r>
                    <w:rPr>
                      <w:rFonts w:hint="default" w:ascii="Times New Roman" w:hAnsi="Times New Roman" w:eastAsia="宋体" w:cs="Times New Roman"/>
                      <w:color w:val="auto"/>
                      <w:sz w:val="21"/>
                      <w:szCs w:val="21"/>
                      <w:highlight w:val="none"/>
                      <w:u w:val="single"/>
                      <w:vertAlign w:val="baseline"/>
                      <w:lang w:val="en-US" w:eastAsia="zh-CN"/>
                    </w:rPr>
                    <w:t>。危险废物收集在</w:t>
                  </w:r>
                  <w:r>
                    <w:rPr>
                      <w:rFonts w:hint="eastAsia" w:ascii="Times New Roman" w:hAnsi="Times New Roman" w:eastAsia="宋体" w:cs="Times New Roman"/>
                      <w:color w:val="auto"/>
                      <w:sz w:val="21"/>
                      <w:szCs w:val="21"/>
                      <w:highlight w:val="none"/>
                      <w:u w:val="single"/>
                      <w:vertAlign w:val="baseline"/>
                      <w:lang w:val="en-US" w:eastAsia="zh-CN"/>
                    </w:rPr>
                    <w:t>危</w:t>
                  </w:r>
                  <w:r>
                    <w:rPr>
                      <w:rFonts w:hint="default" w:ascii="Times New Roman" w:hAnsi="Times New Roman" w:eastAsia="宋体" w:cs="Times New Roman"/>
                      <w:color w:val="auto"/>
                      <w:sz w:val="21"/>
                      <w:szCs w:val="21"/>
                      <w:highlight w:val="none"/>
                      <w:u w:val="single"/>
                      <w:vertAlign w:val="baseline"/>
                      <w:lang w:val="en-US" w:eastAsia="zh-CN"/>
                    </w:rPr>
                    <w:t>废暂存间，交由有资质单位处理。</w:t>
                  </w:r>
                </w:p>
                <w:p>
                  <w:pPr>
                    <w:pStyle w:val="43"/>
                    <w:rPr>
                      <w:rFonts w:hint="eastAsia" w:ascii="Times New Roman" w:hAnsi="Times New Roman" w:eastAsia="宋体" w:cs="Times New Roman"/>
                      <w:color w:val="auto"/>
                      <w:kern w:val="2"/>
                      <w:sz w:val="21"/>
                      <w:szCs w:val="21"/>
                      <w:highlight w:val="none"/>
                      <w:u w:val="single"/>
                      <w:vertAlign w:val="baseline"/>
                      <w:lang w:val="en-US" w:eastAsia="zh-CN" w:bidi="ar-SA"/>
                    </w:rPr>
                  </w:pPr>
                  <w:r>
                    <w:rPr>
                      <w:rFonts w:hint="eastAsia" w:ascii="Times New Roman" w:hAnsi="Times New Roman" w:eastAsia="宋体" w:cs="Times New Roman"/>
                      <w:color w:val="auto"/>
                      <w:kern w:val="2"/>
                      <w:sz w:val="21"/>
                      <w:szCs w:val="21"/>
                      <w:highlight w:val="none"/>
                      <w:u w:val="single"/>
                      <w:vertAlign w:val="baseline"/>
                      <w:lang w:val="en-US" w:eastAsia="zh-CN" w:bidi="ar-SA"/>
                    </w:rPr>
                    <w:t>本项目</w:t>
                  </w:r>
                  <w:r>
                    <w:rPr>
                      <w:rFonts w:hint="default" w:ascii="Times New Roman" w:hAnsi="Times New Roman" w:eastAsia="宋体" w:cs="Times New Roman"/>
                      <w:color w:val="auto"/>
                      <w:sz w:val="21"/>
                      <w:szCs w:val="21"/>
                      <w:highlight w:val="none"/>
                      <w:u w:val="single"/>
                    </w:rPr>
                    <w:t>建立</w:t>
                  </w:r>
                  <w:r>
                    <w:rPr>
                      <w:rFonts w:hint="eastAsia" w:ascii="Times New Roman" w:hAnsi="Times New Roman" w:eastAsia="宋体" w:cs="Times New Roman"/>
                      <w:color w:val="auto"/>
                      <w:sz w:val="21"/>
                      <w:szCs w:val="21"/>
                      <w:highlight w:val="none"/>
                      <w:u w:val="single"/>
                      <w:lang w:eastAsia="zh-CN"/>
                    </w:rPr>
                    <w:t>了</w:t>
                  </w:r>
                  <w:r>
                    <w:rPr>
                      <w:rFonts w:hint="default" w:ascii="Times New Roman" w:hAnsi="Times New Roman" w:eastAsia="宋体" w:cs="Times New Roman"/>
                      <w:color w:val="auto"/>
                      <w:sz w:val="21"/>
                      <w:szCs w:val="21"/>
                      <w:highlight w:val="none"/>
                      <w:u w:val="single"/>
                    </w:rPr>
                    <w:t>环境空气、地表水</w:t>
                  </w:r>
                  <w:r>
                    <w:rPr>
                      <w:rFonts w:hint="eastAsia" w:ascii="Times New Roman" w:hAnsi="Times New Roman" w:eastAsia="宋体" w:cs="Times New Roman"/>
                      <w:color w:val="auto"/>
                      <w:sz w:val="21"/>
                      <w:szCs w:val="21"/>
                      <w:highlight w:val="none"/>
                      <w:u w:val="single"/>
                      <w:lang w:eastAsia="zh-CN"/>
                    </w:rPr>
                    <w:t>的环境监控体系。</w:t>
                  </w:r>
                </w:p>
                <w:p>
                  <w:pPr>
                    <w:pStyle w:val="43"/>
                    <w:rPr>
                      <w:rFonts w:hint="default"/>
                      <w:color w:val="auto"/>
                      <w:highlight w:val="none"/>
                      <w:u w:val="single"/>
                      <w:lang w:val="en-US" w:eastAsia="zh-CN"/>
                    </w:rPr>
                  </w:pPr>
                  <w:r>
                    <w:rPr>
                      <w:rFonts w:hint="default" w:ascii="Times New Roman" w:hAnsi="Times New Roman" w:eastAsia="宋体" w:cs="Times New Roman"/>
                      <w:color w:val="auto"/>
                      <w:kern w:val="2"/>
                      <w:sz w:val="21"/>
                      <w:szCs w:val="21"/>
                      <w:highlight w:val="none"/>
                      <w:u w:val="single"/>
                      <w:vertAlign w:val="baseline"/>
                      <w:lang w:val="en-US" w:eastAsia="zh-CN" w:bidi="ar-SA"/>
                    </w:rPr>
                    <w:t>本项目排放的污染物满足《湖南省生态环境厅关于执行污染物特别排放限值（第一批）的公告》中的要求。</w:t>
                  </w:r>
                </w:p>
              </w:tc>
              <w:tc>
                <w:tcPr>
                  <w:tcW w:w="52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环境风险防控</w:t>
                  </w:r>
                </w:p>
              </w:tc>
              <w:tc>
                <w:tcPr>
                  <w:tcW w:w="5033" w:type="dxa"/>
                  <w:noWrap w:val="0"/>
                  <w:vAlign w:val="center"/>
                </w:tcPr>
                <w:p>
                  <w:pPr>
                    <w:keepNext w:val="0"/>
                    <w:keepLines w:val="0"/>
                    <w:widowControl/>
                    <w:suppressLineNumbers w:val="0"/>
                    <w:jc w:val="left"/>
                    <w:rPr>
                      <w:rFonts w:hint="default"/>
                      <w:color w:val="auto"/>
                      <w:szCs w:val="21"/>
                      <w:highlight w:val="none"/>
                      <w:u w:val="single"/>
                    </w:rPr>
                  </w:pPr>
                  <w:r>
                    <w:rPr>
                      <w:rFonts w:hint="default"/>
                      <w:color w:val="auto"/>
                      <w:szCs w:val="21"/>
                      <w:highlight w:val="none"/>
                      <w:u w:val="single"/>
                    </w:rPr>
                    <w:t>（3.1）高新区各区块应建立健全环境风险防控体系，组织推动高新区应急预案修编并落实相关要求，加强环境风险事故防范和应急管理。</w:t>
                  </w:r>
                </w:p>
                <w:p>
                  <w:pPr>
                    <w:keepNext w:val="0"/>
                    <w:keepLines w:val="0"/>
                    <w:widowControl/>
                    <w:suppressLineNumbers w:val="0"/>
                    <w:jc w:val="left"/>
                    <w:rPr>
                      <w:rFonts w:hint="default"/>
                      <w:color w:val="auto"/>
                      <w:szCs w:val="21"/>
                      <w:highlight w:val="none"/>
                      <w:u w:val="single"/>
                    </w:rPr>
                  </w:pPr>
                  <w:r>
                    <w:rPr>
                      <w:rFonts w:hint="default"/>
                      <w:color w:val="auto"/>
                      <w:szCs w:val="21"/>
                      <w:highlight w:val="none"/>
                      <w:u w:val="single"/>
                    </w:rPr>
                    <w:t>（3.2）高新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p>
                  <w:pPr>
                    <w:keepNext w:val="0"/>
                    <w:keepLines w:val="0"/>
                    <w:widowControl/>
                    <w:suppressLineNumbers w:val="0"/>
                    <w:jc w:val="left"/>
                    <w:rPr>
                      <w:rFonts w:hint="default"/>
                      <w:color w:val="auto"/>
                      <w:szCs w:val="21"/>
                      <w:highlight w:val="none"/>
                      <w:u w:val="single"/>
                    </w:rPr>
                  </w:pPr>
                  <w:r>
                    <w:rPr>
                      <w:rFonts w:hint="default"/>
                      <w:color w:val="auto"/>
                      <w:szCs w:val="21"/>
                      <w:highlight w:val="none"/>
                      <w:u w:val="single"/>
                    </w:rPr>
                    <w:t>（3.3）强化源头风险隐患排查，建立土壤环境风险管控清单，对重点监管源实施分类别、分用途和分阶段的全过程监管和综合整治，逐步构建形成具有区域特色的土壤环境管理体系，推动区域土壤环境质量逐步改善与提升。</w:t>
                  </w:r>
                </w:p>
              </w:tc>
              <w:tc>
                <w:tcPr>
                  <w:tcW w:w="2375" w:type="dxa"/>
                  <w:noWrap w:val="0"/>
                  <w:vAlign w:val="center"/>
                </w:tcPr>
                <w:p>
                  <w:pP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Cs w:val="21"/>
                      <w:highlight w:val="none"/>
                      <w:u w:val="single"/>
                    </w:rPr>
                    <w:t>本项目</w:t>
                  </w:r>
                  <w:r>
                    <w:rPr>
                      <w:rFonts w:hint="eastAsia" w:cs="Times New Roman"/>
                      <w:color w:val="auto"/>
                      <w:szCs w:val="21"/>
                      <w:highlight w:val="none"/>
                      <w:u w:val="single"/>
                      <w:lang w:eastAsia="zh-CN"/>
                    </w:rPr>
                    <w:t>改扩建</w:t>
                  </w:r>
                  <w:r>
                    <w:rPr>
                      <w:rFonts w:hint="default" w:ascii="Times New Roman" w:hAnsi="Times New Roman" w:cs="Times New Roman"/>
                      <w:color w:val="auto"/>
                      <w:szCs w:val="21"/>
                      <w:highlight w:val="none"/>
                      <w:u w:val="single"/>
                    </w:rPr>
                    <w:t>后，企业将对环境风险防控措施进行完善，并</w:t>
                  </w:r>
                  <w:r>
                    <w:rPr>
                      <w:rFonts w:hint="eastAsia" w:cs="Times New Roman"/>
                      <w:color w:val="auto"/>
                      <w:szCs w:val="21"/>
                      <w:highlight w:val="none"/>
                      <w:u w:val="single"/>
                      <w:lang w:val="en-US" w:eastAsia="zh-CN"/>
                    </w:rPr>
                    <w:t>制定突发环境事件应急</w:t>
                  </w:r>
                  <w:r>
                    <w:rPr>
                      <w:rFonts w:hint="default" w:ascii="Times New Roman" w:hAnsi="Times New Roman" w:cs="Times New Roman"/>
                      <w:color w:val="auto"/>
                      <w:szCs w:val="21"/>
                      <w:highlight w:val="none"/>
                      <w:u w:val="single"/>
                    </w:rPr>
                    <w:t>预案。</w:t>
                  </w:r>
                </w:p>
              </w:tc>
              <w:tc>
                <w:tcPr>
                  <w:tcW w:w="528"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 w:type="dxa"/>
                  <w:noWrap w:val="0"/>
                  <w:vAlign w:val="center"/>
                </w:tcPr>
                <w:p>
                  <w:pPr>
                    <w:keepNext w:val="0"/>
                    <w:keepLines w:val="0"/>
                    <w:pageBreakBefore w:val="0"/>
                    <w:widowControl w:val="0"/>
                    <w:kinsoku/>
                    <w:wordWrap/>
                    <w:overflowPunct/>
                    <w:bidi w:val="0"/>
                    <w:snapToGrid/>
                    <w:ind w:right="0" w:rightChars="0"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资源开发效率要求</w:t>
                  </w:r>
                </w:p>
              </w:tc>
              <w:tc>
                <w:tcPr>
                  <w:tcW w:w="5033" w:type="dxa"/>
                  <w:noWrap w:val="0"/>
                  <w:vAlign w:val="center"/>
                </w:tcPr>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4.1）能源：推动高新区能源系统整体优化和污染综合整治，鼓励工业企业、园区优先利用可再生能源。2025年区域综合能耗消费量预测当量值为449200吨标煤，区域单位GDP能耗预测值为0.5561吨标煤/万元，区域“十四五”时期能源消耗增量控制在141700吨标煤。</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（4.2）水资源</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（4.2.1）强化生产用水管理，大力推广高效冷却、循环用水等节水工艺和技术，支持企业开展节水技术改造。</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（4.2.2）积极推行水循环梯级利用，推动现有企业和高新区开展绿色高质量省级和循环化改造，促进企业间串联用水、分质用水，一水多用和循环利用。</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（4.2.3）2025年，高新区指标应符合相应行政区域的管控要求，湘阴县用水总量控制在3.455亿立方米以内，2025年万元地区生产总值用水量比2020年下降21.26%，2025年万元工业增加值用水量比2020年下降21.55%。</w:t>
                  </w:r>
                </w:p>
                <w:p>
                  <w:pPr>
                    <w:keepNext w:val="0"/>
                    <w:keepLines w:val="0"/>
                    <w:pageBreakBefore w:val="0"/>
                    <w:widowControl w:val="0"/>
                    <w:kinsoku/>
                    <w:wordWrap/>
                    <w:overflowPunct/>
                    <w:bidi w:val="0"/>
                    <w:snapToGrid/>
                    <w:ind w:right="0" w:rightChars="0" w:firstLine="0" w:firstLineChars="0"/>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4.3）土地资源：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万元/亩。</w:t>
                  </w:r>
                </w:p>
              </w:tc>
              <w:tc>
                <w:tcPr>
                  <w:tcW w:w="2375" w:type="dxa"/>
                  <w:noWrap w:val="0"/>
                  <w:vAlign w:val="center"/>
                </w:tcPr>
                <w:p>
                  <w:pPr>
                    <w:keepNext w:val="0"/>
                    <w:keepLines w:val="0"/>
                    <w:pageBreakBefore w:val="0"/>
                    <w:widowControl w:val="0"/>
                    <w:kinsoku/>
                    <w:wordWrap/>
                    <w:overflowPunct/>
                    <w:bidi w:val="0"/>
                    <w:snapToGrid/>
                    <w:ind w:right="0" w:rightChars="0" w:firstLine="0" w:firstLineChars="0"/>
                    <w:jc w:val="left"/>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本</w:t>
                  </w:r>
                  <w:r>
                    <w:rPr>
                      <w:rFonts w:hint="eastAsia" w:ascii="Times New Roman" w:hAnsi="Times New Roman" w:eastAsia="宋体" w:cs="Times New Roman"/>
                      <w:color w:val="auto"/>
                      <w:sz w:val="21"/>
                      <w:szCs w:val="21"/>
                      <w:highlight w:val="none"/>
                      <w:u w:val="single"/>
                      <w:lang w:val="en-US" w:eastAsia="zh-CN"/>
                    </w:rPr>
                    <w:t>次改扩建不涉及煤燃料</w:t>
                  </w:r>
                  <w:r>
                    <w:rPr>
                      <w:rFonts w:hint="default" w:ascii="Times New Roman" w:hAnsi="Times New Roman" w:eastAsia="宋体" w:cs="Times New Roman"/>
                      <w:color w:val="auto"/>
                      <w:sz w:val="21"/>
                      <w:szCs w:val="21"/>
                      <w:highlight w:val="none"/>
                      <w:u w:val="single"/>
                      <w:lang w:val="en-US" w:eastAsia="zh-CN"/>
                    </w:rPr>
                    <w:t>；项目所用能源主要为电能，属清洁能源。</w:t>
                  </w:r>
                </w:p>
                <w:p>
                  <w:pPr>
                    <w:keepNext w:val="0"/>
                    <w:keepLines w:val="0"/>
                    <w:pageBreakBefore w:val="0"/>
                    <w:widowControl w:val="0"/>
                    <w:kinsoku/>
                    <w:wordWrap/>
                    <w:overflowPunct/>
                    <w:bidi w:val="0"/>
                    <w:snapToGrid/>
                    <w:ind w:right="0" w:rightChars="0"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项目废水经处理后大部分回用，小部分外排，循环水、冷却水等废水循环使用，属于节水企业。</w:t>
                  </w:r>
                </w:p>
                <w:p>
                  <w:pPr>
                    <w:keepNext w:val="0"/>
                    <w:keepLines w:val="0"/>
                    <w:pageBreakBefore w:val="0"/>
                    <w:widowControl w:val="0"/>
                    <w:kinsoku/>
                    <w:wordWrap/>
                    <w:overflowPunct/>
                    <w:bidi w:val="0"/>
                    <w:snapToGrid/>
                    <w:ind w:right="0" w:rightChars="0" w:firstLine="0" w:firstLineChars="0"/>
                    <w:jc w:val="left"/>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项目在现有用地范围内改扩建，不新增用地</w:t>
                  </w:r>
                </w:p>
              </w:tc>
              <w:tc>
                <w:tcPr>
                  <w:tcW w:w="528" w:type="dxa"/>
                  <w:noWrap w:val="0"/>
                  <w:vAlign w:val="center"/>
                </w:tcPr>
                <w:p>
                  <w:pPr>
                    <w:keepNext w:val="0"/>
                    <w:keepLines w:val="0"/>
                    <w:pageBreakBefore w:val="0"/>
                    <w:widowControl w:val="0"/>
                    <w:kinsoku/>
                    <w:wordWrap/>
                    <w:overflowPunct/>
                    <w:bidi w:val="0"/>
                    <w:snapToGrid/>
                    <w:ind w:right="0" w:rightChars="0" w:firstLine="0" w:firstLineChars="0"/>
                    <w:jc w:val="left"/>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符合</w:t>
                  </w:r>
                </w:p>
              </w:tc>
            </w:tr>
          </w:tbl>
          <w:p>
            <w:pPr>
              <w:pStyle w:val="62"/>
              <w:bidi w:val="0"/>
              <w:rPr>
                <w:color w:val="auto"/>
                <w:sz w:val="24"/>
                <w:szCs w:val="24"/>
                <w:highlight w:val="none"/>
                <w:u w:val="single"/>
              </w:rPr>
            </w:pPr>
            <w:r>
              <w:rPr>
                <w:rFonts w:hint="eastAsia"/>
                <w:color w:val="auto"/>
                <w:sz w:val="24"/>
                <w:szCs w:val="24"/>
                <w:highlight w:val="none"/>
                <w:u w:val="single"/>
                <w:lang w:val="en-US" w:eastAsia="zh-CN"/>
              </w:rPr>
              <w:t>综上所述，本项目符合《湖南省生态环境分区管控总体管控要求暨省级以上产业园区生态环境准入清单》（湘环函〔2024〕26号）的要求。</w:t>
            </w:r>
          </w:p>
          <w:p>
            <w:pPr>
              <w:pStyle w:val="56"/>
              <w:rPr>
                <w:rFonts w:hint="default"/>
                <w:color w:val="auto"/>
                <w:sz w:val="24"/>
                <w:szCs w:val="24"/>
                <w:highlight w:val="none"/>
                <w:u w:val="none"/>
                <w:lang w:val="en-US" w:eastAsia="zh-CN"/>
              </w:rPr>
            </w:pPr>
            <w:r>
              <w:rPr>
                <w:rFonts w:hint="eastAsia"/>
                <w:color w:val="auto"/>
                <w:sz w:val="24"/>
                <w:szCs w:val="24"/>
                <w:highlight w:val="none"/>
                <w:u w:val="none"/>
                <w:lang w:val="en-US" w:eastAsia="zh-CN"/>
              </w:rPr>
              <w:t>3、</w:t>
            </w:r>
            <w:r>
              <w:rPr>
                <w:rFonts w:hint="default"/>
                <w:color w:val="auto"/>
                <w:sz w:val="24"/>
                <w:szCs w:val="24"/>
                <w:highlight w:val="none"/>
                <w:u w:val="none"/>
                <w:lang w:val="en-US" w:eastAsia="zh-CN"/>
              </w:rPr>
              <w:t>与《湖南省“十四五”生态环境保护规划》的符合性</w:t>
            </w:r>
          </w:p>
          <w:p>
            <w:pPr>
              <w:pStyle w:val="62"/>
              <w:rPr>
                <w:rFonts w:hint="default"/>
                <w:color w:val="auto"/>
                <w:sz w:val="24"/>
                <w:szCs w:val="24"/>
                <w:highlight w:val="none"/>
                <w:u w:val="none"/>
                <w:lang w:val="en-US" w:eastAsia="zh-CN"/>
              </w:rPr>
            </w:pPr>
            <w:r>
              <w:rPr>
                <w:rFonts w:hint="default"/>
                <w:color w:val="auto"/>
                <w:sz w:val="24"/>
                <w:szCs w:val="24"/>
                <w:highlight w:val="none"/>
                <w:u w:val="none"/>
                <w:lang w:val="en-US" w:eastAsia="zh-CN"/>
              </w:rPr>
              <w:t>2021年9月30日湖南省人民政府办公厅发布了《湖南省“十四五”生态环境保护规划》</w:t>
            </w:r>
            <w:r>
              <w:rPr>
                <w:rFonts w:hint="eastAsia"/>
                <w:color w:val="auto"/>
                <w:sz w:val="24"/>
                <w:szCs w:val="24"/>
                <w:highlight w:val="none"/>
                <w:u w:val="none"/>
                <w:lang w:val="en-US" w:eastAsia="zh-CN"/>
              </w:rPr>
              <w:t>（</w:t>
            </w:r>
            <w:r>
              <w:rPr>
                <w:rFonts w:hint="default"/>
                <w:color w:val="auto"/>
                <w:sz w:val="24"/>
                <w:szCs w:val="24"/>
                <w:highlight w:val="none"/>
                <w:u w:val="none"/>
                <w:lang w:val="en-US" w:eastAsia="zh-CN"/>
              </w:rPr>
              <w:t>湘政办发</w:t>
            </w:r>
            <w:r>
              <w:rPr>
                <w:rFonts w:hint="eastAsia"/>
                <w:color w:val="auto"/>
                <w:sz w:val="24"/>
                <w:szCs w:val="24"/>
                <w:highlight w:val="none"/>
                <w:u w:val="none"/>
                <w:lang w:val="en-US" w:eastAsia="zh-CN"/>
              </w:rPr>
              <w:t>〔</w:t>
            </w:r>
            <w:r>
              <w:rPr>
                <w:rFonts w:hint="default"/>
                <w:color w:val="auto"/>
                <w:sz w:val="24"/>
                <w:szCs w:val="24"/>
                <w:highlight w:val="none"/>
                <w:u w:val="none"/>
                <w:lang w:val="en-US" w:eastAsia="zh-CN"/>
              </w:rPr>
              <w:t>2021</w:t>
            </w:r>
            <w:r>
              <w:rPr>
                <w:rFonts w:hint="eastAsia"/>
                <w:color w:val="auto"/>
                <w:sz w:val="24"/>
                <w:szCs w:val="24"/>
                <w:highlight w:val="none"/>
                <w:u w:val="none"/>
                <w:lang w:val="en-US" w:eastAsia="zh-CN"/>
              </w:rPr>
              <w:t>〕</w:t>
            </w:r>
            <w:r>
              <w:rPr>
                <w:rFonts w:hint="default"/>
                <w:color w:val="auto"/>
                <w:sz w:val="24"/>
                <w:szCs w:val="24"/>
                <w:highlight w:val="none"/>
                <w:u w:val="none"/>
                <w:lang w:val="en-US" w:eastAsia="zh-CN"/>
              </w:rPr>
              <w:t>61号</w:t>
            </w:r>
            <w:r>
              <w:rPr>
                <w:rFonts w:hint="eastAsia"/>
                <w:color w:val="auto"/>
                <w:sz w:val="24"/>
                <w:szCs w:val="24"/>
                <w:highlight w:val="none"/>
                <w:u w:val="none"/>
                <w:lang w:val="en-US" w:eastAsia="zh-CN"/>
              </w:rPr>
              <w:t>）</w:t>
            </w:r>
            <w:r>
              <w:rPr>
                <w:rFonts w:hint="default"/>
                <w:color w:val="auto"/>
                <w:sz w:val="24"/>
                <w:szCs w:val="24"/>
                <w:highlight w:val="none"/>
                <w:u w:val="none"/>
                <w:lang w:val="en-US" w:eastAsia="zh-CN"/>
              </w:rPr>
              <w:t>，本项目符合性如下。</w:t>
            </w:r>
          </w:p>
          <w:p>
            <w:pPr>
              <w:bidi w:val="0"/>
              <w:jc w:val="center"/>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sz w:val="24"/>
                <w:szCs w:val="32"/>
                <w:highlight w:val="none"/>
                <w:u w:val="none"/>
                <w:lang w:val="en-US" w:eastAsia="zh-CN"/>
              </w:rPr>
              <w:t>表1</w:t>
            </w:r>
            <w:r>
              <w:rPr>
                <w:rFonts w:hint="eastAsia" w:ascii="Times New Roman" w:hAnsi="Times New Roman" w:eastAsia="宋体" w:cs="Times New Roman"/>
                <w:b/>
                <w:bCs/>
                <w:color w:val="auto"/>
                <w:sz w:val="24"/>
                <w:szCs w:val="32"/>
                <w:highlight w:val="none"/>
                <w:u w:val="none"/>
                <w:lang w:val="en-US" w:eastAsia="zh-CN"/>
              </w:rPr>
              <w:t>-</w:t>
            </w:r>
            <w:r>
              <w:rPr>
                <w:rFonts w:hint="eastAsia" w:cs="Times New Roman"/>
                <w:b/>
                <w:bCs/>
                <w:color w:val="auto"/>
                <w:sz w:val="24"/>
                <w:szCs w:val="32"/>
                <w:highlight w:val="none"/>
                <w:u w:val="none"/>
                <w:lang w:val="en-US" w:eastAsia="zh-CN"/>
              </w:rPr>
              <w:t>6</w:t>
            </w:r>
            <w:r>
              <w:rPr>
                <w:rFonts w:hint="default" w:ascii="Times New Roman" w:hAnsi="Times New Roman" w:eastAsia="宋体" w:cs="Times New Roman"/>
                <w:b/>
                <w:bCs/>
                <w:color w:val="auto"/>
                <w:sz w:val="24"/>
                <w:szCs w:val="32"/>
                <w:highlight w:val="none"/>
                <w:u w:val="none"/>
                <w:lang w:val="en-US" w:eastAsia="zh-CN"/>
              </w:rPr>
              <w:t>与《湖南省“十四五”生态环境保护规划》相符性一览表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4236"/>
              <w:gridCol w:w="2649"/>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noWrap w:val="0"/>
                  <w:vAlign w:val="center"/>
                </w:tcPr>
                <w:p>
                  <w:pPr>
                    <w:bidi w:val="0"/>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序号</w:t>
                  </w:r>
                </w:p>
              </w:tc>
              <w:tc>
                <w:tcPr>
                  <w:tcW w:w="4138" w:type="dxa"/>
                  <w:noWrap w:val="0"/>
                  <w:vAlign w:val="center"/>
                </w:tcPr>
                <w:p>
                  <w:pPr>
                    <w:bidi w:val="0"/>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规划要求</w:t>
                  </w:r>
                </w:p>
              </w:tc>
              <w:tc>
                <w:tcPr>
                  <w:tcW w:w="2560" w:type="dxa"/>
                  <w:noWrap w:val="0"/>
                  <w:vAlign w:val="center"/>
                </w:tcPr>
                <w:p>
                  <w:pPr>
                    <w:bidi w:val="0"/>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本项目情况</w:t>
                  </w:r>
                </w:p>
              </w:tc>
              <w:tc>
                <w:tcPr>
                  <w:tcW w:w="1027" w:type="dxa"/>
                  <w:noWrap w:val="0"/>
                  <w:vAlign w:val="center"/>
                </w:tcPr>
                <w:p>
                  <w:pPr>
                    <w:bidi w:val="0"/>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w:t>
                  </w:r>
                </w:p>
              </w:tc>
              <w:tc>
                <w:tcPr>
                  <w:tcW w:w="4138"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加强永久基本农田保护，对土壤污染详查严格管控类的永久基本农田进行核实整改补足，确保面积不减、质量提升、布局稳定。</w:t>
                  </w:r>
                </w:p>
              </w:tc>
              <w:tc>
                <w:tcPr>
                  <w:tcW w:w="2560"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本项目位于</w:t>
                  </w:r>
                  <w:r>
                    <w:rPr>
                      <w:rFonts w:hint="eastAsia"/>
                      <w:color w:val="auto"/>
                      <w:u w:val="none"/>
                      <w:lang w:val="en-US" w:eastAsia="zh-CN"/>
                    </w:rPr>
                    <w:t>湘阴高新技术产业开发区金龙片区</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不涉及基本农田</w:t>
                  </w:r>
                </w:p>
              </w:tc>
              <w:tc>
                <w:tcPr>
                  <w:tcW w:w="102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w:t>
                  </w:r>
                </w:p>
              </w:tc>
              <w:tc>
                <w:tcPr>
                  <w:tcW w:w="4138"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利用综合标准依法依规淘汰落后产能，严禁未经批准新增煤炭、钢铁、水泥、电解铝、平板玻璃等行业产能。</w:t>
                  </w:r>
                </w:p>
              </w:tc>
              <w:tc>
                <w:tcPr>
                  <w:tcW w:w="2560"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本项目不属于规定的落后产能行业</w:t>
                  </w:r>
                </w:p>
              </w:tc>
              <w:tc>
                <w:tcPr>
                  <w:tcW w:w="102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w:t>
                  </w:r>
                </w:p>
              </w:tc>
              <w:tc>
                <w:tcPr>
                  <w:tcW w:w="4138"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坚决遏制“两高”项目盲目发展，全面梳理排查在建“两高”项目，科学有序推进拟建项目，严格落实污染物排放区域削减要求，对不符合规定的项目坚决停批、停建。</w:t>
                  </w:r>
                </w:p>
              </w:tc>
              <w:tc>
                <w:tcPr>
                  <w:tcW w:w="2560"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对照湖南省发展和改革委员会2021年12月发布的《湖南省“两高”项目管理目录》，本项目不属于湖南省禁止的“两高”项目。</w:t>
                  </w:r>
                </w:p>
              </w:tc>
              <w:tc>
                <w:tcPr>
                  <w:tcW w:w="102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w:t>
                  </w:r>
                </w:p>
              </w:tc>
              <w:tc>
                <w:tcPr>
                  <w:tcW w:w="4138"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严格落实湖南省“三线一单”生态环境总体管控要求，将生态保护红线、环境质量底线、资源利用上线和生态环境准入清单作为硬约束落实到环境管控单元</w:t>
                  </w:r>
                  <w:r>
                    <w:rPr>
                      <w:rFonts w:hint="default" w:ascii="Times New Roman" w:hAnsi="Times New Roman" w:eastAsia="宋体" w:cs="Times New Roman"/>
                      <w:color w:val="auto"/>
                      <w:sz w:val="21"/>
                      <w:szCs w:val="21"/>
                      <w:highlight w:val="none"/>
                      <w:u w:val="none"/>
                      <w:lang w:eastAsia="zh-CN"/>
                    </w:rPr>
                    <w:t>。</w:t>
                  </w:r>
                </w:p>
              </w:tc>
              <w:tc>
                <w:tcPr>
                  <w:tcW w:w="2560"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本项目符合湖南省“三线一单”生态环境总体管控要求</w:t>
                  </w:r>
                </w:p>
              </w:tc>
              <w:tc>
                <w:tcPr>
                  <w:tcW w:w="102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79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w:t>
                  </w:r>
                </w:p>
              </w:tc>
              <w:tc>
                <w:tcPr>
                  <w:tcW w:w="4138" w:type="dxa"/>
                  <w:noWrap w:val="0"/>
                  <w:vAlign w:val="center"/>
                </w:tcPr>
                <w:p>
                  <w:pPr>
                    <w:bidi w:val="0"/>
                    <w:jc w:val="both"/>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rPr>
                    <w:t>按照《湖南省沿江化工企业搬迁改造实施方案》要求，沿江岸线1公里范围内严禁新建、扩建化工园区、化工生产项目；</w:t>
                  </w:r>
                </w:p>
                <w:p>
                  <w:pPr>
                    <w:bidi w:val="0"/>
                    <w:jc w:val="both"/>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严禁现有合规化工园区在沿江岸线1公里范围内靠江扩建；安全环保达标的化工生产企业因生产需要可向背江一面逐步搬迁，2025年底前完成沿江化工企业搬迁改造任务。</w:t>
                  </w:r>
                </w:p>
              </w:tc>
              <w:tc>
                <w:tcPr>
                  <w:tcW w:w="2560" w:type="dxa"/>
                  <w:noWrap w:val="0"/>
                  <w:vAlign w:val="center"/>
                </w:tcPr>
                <w:p>
                  <w:pPr>
                    <w:bidi w:val="0"/>
                    <w:jc w:val="both"/>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本项目位于</w:t>
                  </w:r>
                  <w:r>
                    <w:rPr>
                      <w:rFonts w:hint="eastAsia"/>
                      <w:color w:val="auto"/>
                      <w:u w:val="single"/>
                      <w:lang w:val="en-US" w:eastAsia="zh-CN"/>
                    </w:rPr>
                    <w:t>湘阴高新技术产业开发区金龙片区内</w:t>
                  </w:r>
                  <w:r>
                    <w:rPr>
                      <w:rFonts w:hint="default" w:ascii="Times New Roman" w:hAnsi="Times New Roman" w:eastAsia="宋体" w:cs="Times New Roman"/>
                      <w:color w:val="auto"/>
                      <w:sz w:val="21"/>
                      <w:szCs w:val="21"/>
                      <w:highlight w:val="none"/>
                      <w:u w:val="single"/>
                      <w:lang w:val="en-US" w:eastAsia="zh-CN"/>
                    </w:rPr>
                    <w:t>，</w:t>
                  </w:r>
                  <w:r>
                    <w:rPr>
                      <w:rFonts w:hint="eastAsia"/>
                      <w:color w:val="auto"/>
                      <w:u w:val="single"/>
                      <w:lang w:eastAsia="zh-CN"/>
                    </w:rPr>
                    <w:t>距离长江</w:t>
                  </w:r>
                  <w:r>
                    <w:rPr>
                      <w:rFonts w:hint="default" w:ascii="Times New Roman" w:hAnsi="Times New Roman" w:eastAsia="宋体" w:cs="Times New Roman"/>
                      <w:color w:val="auto"/>
                      <w:sz w:val="21"/>
                      <w:szCs w:val="21"/>
                      <w:highlight w:val="none"/>
                      <w:u w:val="single"/>
                    </w:rPr>
                    <w:t>沿江岸线</w:t>
                  </w:r>
                  <w:r>
                    <w:rPr>
                      <w:rFonts w:hint="eastAsia" w:cs="Times New Roman"/>
                      <w:color w:val="auto"/>
                      <w:sz w:val="21"/>
                      <w:szCs w:val="21"/>
                      <w:highlight w:val="none"/>
                      <w:u w:val="single"/>
                      <w:lang w:eastAsia="zh-CN"/>
                    </w:rPr>
                    <w:t>约</w:t>
                  </w:r>
                  <w:r>
                    <w:rPr>
                      <w:rFonts w:hint="eastAsia" w:cs="Times New Roman"/>
                      <w:color w:val="auto"/>
                      <w:sz w:val="21"/>
                      <w:szCs w:val="21"/>
                      <w:highlight w:val="none"/>
                      <w:u w:val="single"/>
                      <w:lang w:val="en-US" w:eastAsia="zh-CN"/>
                    </w:rPr>
                    <w:t>12km，不在沿江岸线1公里范围内</w:t>
                  </w:r>
                  <w:r>
                    <w:rPr>
                      <w:rFonts w:hint="default" w:ascii="Times New Roman" w:hAnsi="Times New Roman" w:eastAsia="宋体" w:cs="Times New Roman"/>
                      <w:color w:val="auto"/>
                      <w:sz w:val="21"/>
                      <w:szCs w:val="21"/>
                      <w:highlight w:val="none"/>
                      <w:u w:val="single"/>
                      <w:lang w:val="en-US" w:eastAsia="zh-CN"/>
                    </w:rPr>
                    <w:t>。</w:t>
                  </w:r>
                </w:p>
              </w:tc>
              <w:tc>
                <w:tcPr>
                  <w:tcW w:w="1027" w:type="dxa"/>
                  <w:noWrap w:val="0"/>
                  <w:vAlign w:val="center"/>
                </w:tcPr>
                <w:p>
                  <w:pPr>
                    <w:bidi w:val="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w:t>
                  </w:r>
                </w:p>
              </w:tc>
              <w:tc>
                <w:tcPr>
                  <w:tcW w:w="4138"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w:t>
                  </w:r>
                </w:p>
              </w:tc>
              <w:tc>
                <w:tcPr>
                  <w:tcW w:w="2560" w:type="dxa"/>
                  <w:noWrap w:val="0"/>
                  <w:vAlign w:val="center"/>
                </w:tcPr>
                <w:p>
                  <w:pPr>
                    <w:bidi w:val="0"/>
                    <w:jc w:val="both"/>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项目产VOC</w:t>
                  </w:r>
                  <w:r>
                    <w:rPr>
                      <w:rFonts w:hint="eastAsia" w:cs="Times New Roman"/>
                      <w:color w:val="auto"/>
                      <w:sz w:val="21"/>
                      <w:szCs w:val="21"/>
                      <w:highlight w:val="none"/>
                      <w:u w:val="none"/>
                      <w:vertAlign w:val="subscript"/>
                      <w:lang w:val="en-US" w:eastAsia="zh-CN"/>
                    </w:rPr>
                    <w:t>S</w:t>
                  </w:r>
                  <w:r>
                    <w:rPr>
                      <w:rFonts w:hint="eastAsia" w:cs="Times New Roman"/>
                      <w:color w:val="auto"/>
                      <w:sz w:val="21"/>
                      <w:szCs w:val="21"/>
                      <w:highlight w:val="none"/>
                      <w:u w:val="none"/>
                      <w:lang w:val="en-US" w:eastAsia="zh-CN"/>
                    </w:rPr>
                    <w:t>设备均为密闭，建设无组织排放；</w:t>
                  </w:r>
                  <w:r>
                    <w:rPr>
                      <w:rFonts w:hint="default" w:ascii="Times New Roman" w:hAnsi="Times New Roman" w:cs="Times New Roman"/>
                      <w:color w:val="auto"/>
                      <w:sz w:val="21"/>
                      <w:szCs w:val="21"/>
                      <w:u w:val="none" w:color="auto"/>
                      <w:lang w:val="en-US" w:eastAsia="zh-CN"/>
                    </w:rPr>
                    <w:t>对于有组织</w:t>
                  </w:r>
                  <w:r>
                    <w:rPr>
                      <w:rFonts w:hint="eastAsia" w:ascii="Times New Roman" w:hAnsi="Times New Roman" w:eastAsia="宋体" w:cs="Times New Roman"/>
                      <w:color w:val="auto"/>
                      <w:sz w:val="21"/>
                      <w:szCs w:val="21"/>
                      <w:u w:val="none"/>
                      <w:lang w:val="en-US" w:eastAsia="zh-CN"/>
                    </w:rPr>
                    <w:t>VOC</w:t>
                  </w:r>
                  <w:r>
                    <w:rPr>
                      <w:rFonts w:hint="eastAsia" w:ascii="Times New Roman" w:hAnsi="Times New Roman" w:eastAsia="宋体" w:cs="Times New Roman"/>
                      <w:color w:val="auto"/>
                      <w:sz w:val="21"/>
                      <w:szCs w:val="21"/>
                      <w:u w:val="none"/>
                      <w:vertAlign w:val="subscript"/>
                      <w:lang w:val="en-US" w:eastAsia="zh-CN"/>
                    </w:rPr>
                    <w:t>S</w:t>
                  </w:r>
                  <w:r>
                    <w:rPr>
                      <w:rFonts w:hint="default" w:ascii="Times New Roman" w:hAnsi="Times New Roman" w:cs="Times New Roman"/>
                      <w:color w:val="auto"/>
                      <w:sz w:val="21"/>
                      <w:szCs w:val="21"/>
                      <w:u w:val="none" w:color="auto"/>
                      <w:lang w:val="en-US" w:eastAsia="zh-CN"/>
                    </w:rPr>
                    <w:t>将采取合理可行的处理措施，确保达标排放</w:t>
                  </w:r>
                </w:p>
              </w:tc>
              <w:tc>
                <w:tcPr>
                  <w:tcW w:w="1027" w:type="dxa"/>
                  <w:noWrap w:val="0"/>
                  <w:vAlign w:val="center"/>
                </w:tcPr>
                <w:p>
                  <w:pPr>
                    <w:bidi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bl>
          <w:p>
            <w:pPr>
              <w:pStyle w:val="27"/>
              <w:spacing w:before="0" w:after="0"/>
              <w:ind w:firstLine="0" w:firstLineChars="0"/>
              <w:rPr>
                <w:rFonts w:hint="eastAsia" w:ascii="Times New Roman" w:hAnsi="Times New Roman"/>
                <w:b/>
                <w:bCs/>
                <w:color w:val="auto"/>
                <w:sz w:val="24"/>
                <w:szCs w:val="24"/>
                <w:u w:val="none" w:color="auto"/>
                <w:lang w:val="en-US" w:eastAsia="zh-CN"/>
              </w:rPr>
            </w:pPr>
            <w:r>
              <w:rPr>
                <w:rFonts w:hint="eastAsia" w:ascii="Times New Roman" w:hAnsi="Times New Roman"/>
                <w:b/>
                <w:bCs/>
                <w:color w:val="auto"/>
                <w:sz w:val="24"/>
                <w:szCs w:val="24"/>
                <w:highlight w:val="none"/>
                <w:u w:val="none" w:color="auto"/>
                <w:lang w:val="en-US" w:eastAsia="zh-CN"/>
              </w:rPr>
              <w:t>4、与《湖南省长江经济带发展负面清单实</w:t>
            </w:r>
            <w:r>
              <w:rPr>
                <w:rFonts w:hint="eastAsia" w:ascii="Times New Roman" w:hAnsi="Times New Roman"/>
                <w:b/>
                <w:bCs/>
                <w:color w:val="auto"/>
                <w:sz w:val="24"/>
                <w:szCs w:val="24"/>
                <w:u w:val="none" w:color="auto"/>
                <w:lang w:val="en-US" w:eastAsia="zh-CN"/>
              </w:rPr>
              <w:t>施细则》符合性分析</w:t>
            </w:r>
          </w:p>
          <w:p>
            <w:pPr>
              <w:spacing w:line="360" w:lineRule="auto"/>
              <w:ind w:firstLine="480" w:firstLineChars="200"/>
              <w:rPr>
                <w:rFonts w:hAnsi="宋体"/>
                <w:color w:val="auto"/>
                <w:sz w:val="24"/>
                <w:szCs w:val="24"/>
                <w:u w:val="none" w:color="auto"/>
              </w:rPr>
            </w:pPr>
            <w:r>
              <w:rPr>
                <w:rFonts w:hint="eastAsia"/>
                <w:color w:val="auto"/>
                <w:sz w:val="24"/>
                <w:szCs w:val="24"/>
                <w:u w:val="none" w:color="auto"/>
              </w:rPr>
              <w:t>本项目与《关于印发&lt;湖南省长江经济带发展负面清单实施细则（试行，2022年版）&gt;的通知》（第70号，2022年6月30日）相符性分析见表1-</w:t>
            </w:r>
            <w:r>
              <w:rPr>
                <w:rFonts w:hint="eastAsia"/>
                <w:color w:val="auto"/>
                <w:sz w:val="24"/>
                <w:szCs w:val="24"/>
                <w:u w:val="none" w:color="auto"/>
                <w:lang w:val="en-US" w:eastAsia="zh-CN"/>
              </w:rPr>
              <w:t>7</w:t>
            </w:r>
            <w:r>
              <w:rPr>
                <w:rFonts w:hint="eastAsia"/>
                <w:color w:val="auto"/>
                <w:sz w:val="24"/>
                <w:szCs w:val="24"/>
                <w:u w:val="none" w:color="auto"/>
              </w:rPr>
              <w:t>。</w:t>
            </w:r>
          </w:p>
          <w:p>
            <w:pPr>
              <w:spacing w:line="240" w:lineRule="auto"/>
              <w:jc w:val="center"/>
              <w:rPr>
                <w:rFonts w:hint="eastAsia" w:ascii="黑体" w:hAnsi="黑体" w:eastAsia="黑体" w:cs="黑体"/>
                <w:color w:val="auto"/>
                <w:sz w:val="24"/>
                <w:szCs w:val="24"/>
                <w:u w:val="none" w:color="auto"/>
              </w:rPr>
            </w:pPr>
            <w:r>
              <w:rPr>
                <w:rFonts w:hint="eastAsia"/>
                <w:b/>
                <w:bCs/>
                <w:color w:val="auto"/>
                <w:kern w:val="0"/>
                <w:sz w:val="24"/>
                <w:szCs w:val="24"/>
                <w:u w:val="none" w:color="auto"/>
              </w:rPr>
              <w:t>表1-</w:t>
            </w:r>
            <w:r>
              <w:rPr>
                <w:rFonts w:hint="eastAsia"/>
                <w:b/>
                <w:bCs/>
                <w:color w:val="auto"/>
                <w:kern w:val="0"/>
                <w:sz w:val="24"/>
                <w:szCs w:val="24"/>
                <w:u w:val="none" w:color="auto"/>
                <w:lang w:val="en-US" w:eastAsia="zh-CN"/>
              </w:rPr>
              <w:t>7</w:t>
            </w:r>
            <w:r>
              <w:rPr>
                <w:rFonts w:hint="eastAsia"/>
                <w:b/>
                <w:bCs/>
                <w:color w:val="auto"/>
                <w:kern w:val="0"/>
                <w:sz w:val="24"/>
                <w:szCs w:val="24"/>
                <w:u w:val="none" w:color="auto"/>
              </w:rPr>
              <w:t>与《湖南省长江经济带发展负面清单实施细则》相符性分析表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7"/>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1" w:type="pct"/>
                  <w:noWrap w:val="0"/>
                  <w:vAlign w:val="center"/>
                </w:tcPr>
                <w:p>
                  <w:pPr>
                    <w:jc w:val="center"/>
                    <w:rPr>
                      <w:b/>
                      <w:bCs/>
                      <w:color w:val="auto"/>
                      <w:szCs w:val="21"/>
                      <w:u w:val="none" w:color="auto"/>
                    </w:rPr>
                  </w:pPr>
                  <w:r>
                    <w:rPr>
                      <w:rFonts w:hint="eastAsia"/>
                      <w:b/>
                      <w:bCs/>
                      <w:color w:val="auto"/>
                      <w:szCs w:val="21"/>
                      <w:u w:val="none" w:color="auto"/>
                    </w:rPr>
                    <w:t>内容</w:t>
                  </w:r>
                </w:p>
              </w:tc>
              <w:tc>
                <w:tcPr>
                  <w:tcW w:w="1228" w:type="pct"/>
                  <w:noWrap w:val="0"/>
                  <w:vAlign w:val="center"/>
                </w:tcPr>
                <w:p>
                  <w:pPr>
                    <w:jc w:val="center"/>
                    <w:rPr>
                      <w:b/>
                      <w:bCs/>
                      <w:color w:val="auto"/>
                      <w:szCs w:val="21"/>
                      <w:u w:val="none" w:color="auto"/>
                    </w:rPr>
                  </w:pPr>
                  <w:r>
                    <w:rPr>
                      <w:rFonts w:hint="eastAsia"/>
                      <w:b/>
                      <w:bCs/>
                      <w:color w:val="auto"/>
                      <w:szCs w:val="21"/>
                      <w:u w:val="none" w:color="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color w:val="auto"/>
                      <w:szCs w:val="21"/>
                      <w:u w:val="none" w:color="auto"/>
                    </w:rPr>
                  </w:pPr>
                  <w:r>
                    <w:rPr>
                      <w:rFonts w:hint="eastAsia"/>
                      <w:color w:val="auto"/>
                      <w:szCs w:val="21"/>
                      <w:u w:val="none" w:color="auto"/>
                    </w:rPr>
                    <w:t>第三条禁止建设不符合全国和省级港口布局规划以及港口总体规划的码头项目。……禁止建设不符合《长江干线过江通道布局规划（2020-2035年）》的过长江通道项目。</w:t>
                  </w:r>
                </w:p>
              </w:tc>
              <w:tc>
                <w:tcPr>
                  <w:tcW w:w="1228" w:type="pct"/>
                  <w:noWrap w:val="0"/>
                  <w:vAlign w:val="center"/>
                </w:tcPr>
                <w:p>
                  <w:pPr>
                    <w:jc w:val="center"/>
                    <w:rPr>
                      <w:rFonts w:hint="eastAsia"/>
                      <w:color w:val="auto"/>
                      <w:szCs w:val="21"/>
                      <w:u w:val="none" w:color="auto"/>
                    </w:rPr>
                  </w:pPr>
                  <w:r>
                    <w:rPr>
                      <w:rFonts w:hint="eastAsia"/>
                      <w:color w:val="auto"/>
                      <w:szCs w:val="21"/>
                      <w:u w:val="none" w:color="auto"/>
                      <w:lang w:eastAsia="zh-CN"/>
                    </w:rPr>
                    <w:t>本项目</w:t>
                  </w:r>
                  <w:r>
                    <w:rPr>
                      <w:rFonts w:hint="eastAsia"/>
                      <w:color w:val="auto"/>
                      <w:szCs w:val="21"/>
                      <w:u w:val="none" w:color="auto"/>
                    </w:rPr>
                    <w:t>不涉及</w:t>
                  </w:r>
                  <w:r>
                    <w:rPr>
                      <w:rFonts w:hint="eastAsia"/>
                      <w:color w:val="auto"/>
                      <w:u w:val="none" w:color="auto"/>
                      <w:lang w:eastAsia="zh-CN"/>
                    </w:rPr>
                    <w:t>码头项目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color w:val="auto"/>
                      <w:szCs w:val="21"/>
                      <w:u w:val="none" w:color="auto"/>
                    </w:rPr>
                  </w:pPr>
                  <w:r>
                    <w:rPr>
                      <w:rFonts w:hint="eastAsia"/>
                      <w:color w:val="auto"/>
                      <w:szCs w:val="21"/>
                      <w:u w:val="none" w:color="auto"/>
                    </w:rPr>
                    <w:t>第四条禁止在自然保护区核心区、缓冲区的岸线和河段范围内投资建设以下旅游和生产经营项目：（一）高尔夫球场开发……。</w:t>
                  </w:r>
                </w:p>
              </w:tc>
              <w:tc>
                <w:tcPr>
                  <w:tcW w:w="1228" w:type="pct"/>
                  <w:noWrap w:val="0"/>
                  <w:vAlign w:val="center"/>
                </w:tcPr>
                <w:p>
                  <w:pPr>
                    <w:jc w:val="center"/>
                    <w:rPr>
                      <w:rFonts w:hint="eastAsia"/>
                      <w:color w:val="auto"/>
                      <w:szCs w:val="21"/>
                      <w:u w:val="none" w:color="auto"/>
                    </w:rPr>
                  </w:pPr>
                  <w:r>
                    <w:rPr>
                      <w:rFonts w:hint="eastAsia"/>
                      <w:color w:val="auto"/>
                      <w:u w:val="none" w:color="auto"/>
                    </w:rPr>
                    <w:t>本项目选址</w:t>
                  </w:r>
                  <w:r>
                    <w:rPr>
                      <w:rFonts w:hint="eastAsia"/>
                      <w:color w:val="auto"/>
                      <w:u w:val="none" w:color="auto"/>
                      <w:lang w:eastAsia="zh-CN"/>
                    </w:rPr>
                    <w:t>不涉及</w:t>
                  </w:r>
                  <w:r>
                    <w:rPr>
                      <w:rFonts w:hint="eastAsia"/>
                      <w:color w:val="auto"/>
                      <w:szCs w:val="21"/>
                      <w:u w:val="none" w:color="auto"/>
                    </w:rPr>
                    <w:t>自然保护区核心区、缓冲区的岸线和河段范围</w:t>
                  </w:r>
                  <w:r>
                    <w:rPr>
                      <w:rFonts w:hint="eastAsia"/>
                      <w:color w:val="auto"/>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color w:val="auto"/>
                      <w:szCs w:val="21"/>
                      <w:highlight w:val="none"/>
                      <w:u w:val="none" w:color="auto"/>
                    </w:rPr>
                  </w:pPr>
                  <w:r>
                    <w:rPr>
                      <w:rFonts w:hint="eastAsia"/>
                      <w:color w:val="auto"/>
                      <w:szCs w:val="21"/>
                      <w:highlight w:val="none"/>
                      <w:u w:val="none" w:color="auto"/>
                    </w:rPr>
                    <w:t>第五条机场、铁路、公路、水利、围堰等公益性基础设施的选址选线应多方案优化必选，尽量避让相关自然保护区域、野生动物迁徙洄游通道；无法避让的，应当采取修建野生动物通道、过鱼设施等措施，消除或者减少对野生动物的不利影响。</w:t>
                  </w:r>
                </w:p>
              </w:tc>
              <w:tc>
                <w:tcPr>
                  <w:tcW w:w="1228" w:type="pct"/>
                  <w:noWrap w:val="0"/>
                  <w:vAlign w:val="center"/>
                </w:tcPr>
                <w:p>
                  <w:pPr>
                    <w:jc w:val="center"/>
                    <w:rPr>
                      <w:rFonts w:hint="eastAsia" w:eastAsia="宋体"/>
                      <w:color w:val="auto"/>
                      <w:szCs w:val="21"/>
                      <w:highlight w:val="none"/>
                      <w:u w:val="none" w:color="auto"/>
                      <w:lang w:eastAsia="zh-CN"/>
                    </w:rPr>
                  </w:pPr>
                  <w:r>
                    <w:rPr>
                      <w:rFonts w:hint="eastAsia"/>
                      <w:b w:val="0"/>
                      <w:bCs/>
                      <w:color w:val="auto"/>
                      <w:highlight w:val="none"/>
                      <w:u w:val="none" w:color="auto"/>
                      <w:lang w:eastAsia="zh-CN"/>
                    </w:rPr>
                    <w:t>本项目不属于</w:t>
                  </w:r>
                  <w:r>
                    <w:rPr>
                      <w:rFonts w:hint="eastAsia"/>
                      <w:color w:val="auto"/>
                      <w:szCs w:val="21"/>
                      <w:highlight w:val="none"/>
                      <w:u w:val="none" w:color="auto"/>
                    </w:rPr>
                    <w:t>机场、铁路、公路、水利、围堰等公益性基础设施</w:t>
                  </w:r>
                  <w:r>
                    <w:rPr>
                      <w:rFonts w:hint="eastAsia"/>
                      <w:color w:val="auto"/>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none" w:color="auto"/>
                    </w:rPr>
                    <w:t>第六条禁止违反风景名胜区规划，在风景名胜区内设立各类开发区和在核心景区内建设宾馆、招待所、培训中心、疗养院及与风景名胜资源保护无关的其他建筑物；已经建设的，应当按照风景名胜区规划，逐步迁出。</w:t>
                  </w:r>
                </w:p>
              </w:tc>
              <w:tc>
                <w:tcPr>
                  <w:tcW w:w="1228" w:type="pct"/>
                  <w:noWrap w:val="0"/>
                  <w:vAlign w:val="center"/>
                </w:tcPr>
                <w:p>
                  <w:pPr>
                    <w:jc w:val="center"/>
                    <w:rPr>
                      <w:rFonts w:hint="eastAsia"/>
                      <w:color w:val="auto"/>
                      <w:szCs w:val="21"/>
                      <w:u w:val="none" w:color="auto"/>
                    </w:rPr>
                  </w:pPr>
                  <w:r>
                    <w:rPr>
                      <w:rFonts w:hint="eastAsia"/>
                      <w:color w:val="auto"/>
                      <w:u w:val="none" w:color="auto"/>
                    </w:rPr>
                    <w:t>本项目选址不在风景名胜区内。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color w:val="auto"/>
                      <w:szCs w:val="21"/>
                      <w:u w:val="none" w:color="auto"/>
                    </w:rPr>
                  </w:pPr>
                  <w:r>
                    <w:rPr>
                      <w:rFonts w:hint="eastAsia"/>
                      <w:color w:val="auto"/>
                      <w:szCs w:val="21"/>
                      <w:u w:val="none" w:color="auto"/>
                    </w:rPr>
                    <w:t>第七条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他废弃物；禁止设置油库；禁止使用含磷洗涤用品。</w:t>
                  </w:r>
                </w:p>
              </w:tc>
              <w:tc>
                <w:tcPr>
                  <w:tcW w:w="1228" w:type="pct"/>
                  <w:noWrap w:val="0"/>
                  <w:vAlign w:val="center"/>
                </w:tcPr>
                <w:p>
                  <w:pPr>
                    <w:jc w:val="center"/>
                    <w:rPr>
                      <w:color w:val="auto"/>
                      <w:szCs w:val="21"/>
                      <w:u w:val="none" w:color="auto"/>
                    </w:rPr>
                  </w:pPr>
                  <w:r>
                    <w:rPr>
                      <w:rFonts w:hint="eastAsia"/>
                      <w:color w:val="auto"/>
                      <w:u w:val="none" w:color="auto"/>
                    </w:rPr>
                    <w:t>本项目不涉及饮用水源保护区。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none" w:color="auto"/>
                    </w:rPr>
                    <w:t>第八条饮用水水源二级保护区内禁止新建、改建、扩建向水体排放污染物的投资建设项目。原有排污口依法拆除或关闭。禁止设立装卸垃圾、粪便、油类和有毒物品的码头。</w:t>
                  </w:r>
                </w:p>
              </w:tc>
              <w:tc>
                <w:tcPr>
                  <w:tcW w:w="1228" w:type="pct"/>
                  <w:noWrap w:val="0"/>
                  <w:vAlign w:val="center"/>
                </w:tcPr>
                <w:p>
                  <w:pPr>
                    <w:jc w:val="center"/>
                    <w:rPr>
                      <w:color w:val="auto"/>
                      <w:szCs w:val="21"/>
                      <w:u w:val="none" w:color="auto"/>
                    </w:rPr>
                  </w:pPr>
                  <w:r>
                    <w:rPr>
                      <w:rFonts w:hint="eastAsia"/>
                      <w:color w:val="auto"/>
                      <w:u w:val="none" w:color="auto"/>
                    </w:rPr>
                    <w:t>本项目不涉及饮用水源保护区。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single" w:color="auto"/>
                    </w:rPr>
                  </w:pPr>
                  <w:r>
                    <w:rPr>
                      <w:rFonts w:hint="eastAsia"/>
                      <w:color w:val="auto"/>
                      <w:szCs w:val="21"/>
                      <w:u w:val="single" w:color="auto"/>
                    </w:rPr>
                    <w:t>第九条禁止在水产种质资源保护区的岸线和河段范围内新建排污口、实施非法围垦河道和围湖造田造地等投资建设项目。</w:t>
                  </w:r>
                </w:p>
              </w:tc>
              <w:tc>
                <w:tcPr>
                  <w:tcW w:w="1228" w:type="pct"/>
                  <w:noWrap w:val="0"/>
                  <w:vAlign w:val="center"/>
                </w:tcPr>
                <w:p>
                  <w:pPr>
                    <w:jc w:val="center"/>
                    <w:rPr>
                      <w:rFonts w:hint="eastAsia" w:eastAsia="宋体"/>
                      <w:color w:val="auto"/>
                      <w:szCs w:val="21"/>
                      <w:u w:val="single" w:color="auto"/>
                      <w:lang w:eastAsia="zh-CN"/>
                    </w:rPr>
                  </w:pPr>
                  <w:r>
                    <w:rPr>
                      <w:rFonts w:hint="eastAsia" w:eastAsia="宋体"/>
                      <w:color w:val="auto"/>
                      <w:sz w:val="21"/>
                      <w:szCs w:val="21"/>
                      <w:u w:val="single" w:color="auto"/>
                      <w:lang w:eastAsia="zh-CN"/>
                    </w:rPr>
                    <w:t>本项目不新建排放口，依托现有排放口</w:t>
                  </w:r>
                  <w:r>
                    <w:rPr>
                      <w:rFonts w:hint="eastAsia"/>
                      <w:color w:val="auto"/>
                      <w:sz w:val="21"/>
                      <w:szCs w:val="21"/>
                      <w:u w:val="single" w:color="auto"/>
                      <w:lang w:eastAsia="zh-CN"/>
                    </w:rPr>
                    <w:t>，排湘阴县第三污水处理厂</w:t>
                  </w:r>
                  <w:r>
                    <w:rPr>
                      <w:rFonts w:hint="eastAsia" w:eastAsia="宋体"/>
                      <w:color w:val="auto"/>
                      <w:sz w:val="21"/>
                      <w:szCs w:val="21"/>
                      <w:u w:val="single" w:color="auto"/>
                      <w:lang w:eastAsia="zh-CN"/>
                    </w:rPr>
                    <w:t>；</w:t>
                  </w:r>
                  <w:r>
                    <w:rPr>
                      <w:rFonts w:hint="eastAsia" w:eastAsia="宋体"/>
                      <w:color w:val="auto"/>
                      <w:szCs w:val="21"/>
                      <w:u w:val="single" w:color="auto"/>
                      <w:lang w:eastAsia="zh-CN"/>
                    </w:rPr>
                    <w:t>不涉及</w:t>
                  </w:r>
                  <w:r>
                    <w:rPr>
                      <w:rFonts w:hint="eastAsia"/>
                      <w:color w:val="auto"/>
                      <w:szCs w:val="21"/>
                      <w:u w:val="single" w:color="auto"/>
                    </w:rPr>
                    <w:t>水产种质资源保护区的岸线和河段范围</w:t>
                  </w:r>
                  <w:r>
                    <w:rPr>
                      <w:rFonts w:hint="eastAsia"/>
                      <w:color w:val="auto"/>
                      <w:szCs w:val="21"/>
                      <w:u w:val="single" w:color="auto"/>
                      <w:lang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color w:val="auto"/>
                      <w:szCs w:val="21"/>
                      <w:u w:val="none" w:color="auto"/>
                    </w:rPr>
                  </w:pPr>
                  <w:r>
                    <w:rPr>
                      <w:rFonts w:hint="eastAsia"/>
                      <w:color w:val="auto"/>
                      <w:szCs w:val="21"/>
                      <w:u w:val="none" w:color="auto"/>
                    </w:rPr>
                    <w:t>第十条除《中华人民共和国防洪法》规定的紧急防汛期采取的紧急措施外，禁止在国家湿地公园岸线和河段范围内挖砂、采矿，以及以下不符合主体功能定位的行为和活动：（一）开（围）垦、填埋或者排干湿地……</w:t>
                  </w:r>
                </w:p>
              </w:tc>
              <w:tc>
                <w:tcPr>
                  <w:tcW w:w="1228" w:type="pct"/>
                  <w:noWrap w:val="0"/>
                  <w:vAlign w:val="center"/>
                </w:tcPr>
                <w:p>
                  <w:pPr>
                    <w:jc w:val="center"/>
                    <w:rPr>
                      <w:rFonts w:hint="eastAsia"/>
                      <w:color w:val="auto"/>
                      <w:szCs w:val="21"/>
                      <w:u w:val="none" w:color="auto"/>
                    </w:rPr>
                  </w:pPr>
                  <w:r>
                    <w:rPr>
                      <w:rFonts w:hint="eastAsia"/>
                      <w:color w:val="auto"/>
                      <w:u w:val="none" w:color="auto"/>
                    </w:rPr>
                    <w:t>本项目选址不在国家湿地公园范围内。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none" w:color="auto"/>
                    </w:rPr>
                    <w:t>第十一条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网围、填埋湿地等侵占河湖水域或者违法利用、占用河湖岸线的行为。</w:t>
                  </w:r>
                </w:p>
              </w:tc>
              <w:tc>
                <w:tcPr>
                  <w:tcW w:w="1228" w:type="pct"/>
                  <w:noWrap w:val="0"/>
                  <w:vAlign w:val="center"/>
                </w:tcPr>
                <w:p>
                  <w:pPr>
                    <w:jc w:val="center"/>
                    <w:rPr>
                      <w:rFonts w:hint="eastAsia"/>
                      <w:color w:val="auto"/>
                      <w:szCs w:val="21"/>
                      <w:u w:val="none" w:color="auto"/>
                    </w:rPr>
                  </w:pPr>
                  <w:r>
                    <w:rPr>
                      <w:rFonts w:hint="eastAsia"/>
                      <w:color w:val="auto"/>
                      <w:szCs w:val="24"/>
                      <w:u w:val="none" w:color="auto"/>
                      <w:lang w:eastAsia="zh-CN"/>
                    </w:rPr>
                    <w:t>本项目选址不在长江岸线保护区和保留区。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none" w:color="auto"/>
                    </w:rPr>
                    <w:t>第十二条禁止在《全国重要江河湖泊水功能区划》划定的河段及湖泊保护区、保留区内投资建设不利于水资源及自然生态保护的项目。</w:t>
                  </w:r>
                </w:p>
              </w:tc>
              <w:tc>
                <w:tcPr>
                  <w:tcW w:w="1228" w:type="pct"/>
                  <w:noWrap w:val="0"/>
                  <w:vAlign w:val="center"/>
                </w:tcPr>
                <w:p>
                  <w:pPr>
                    <w:jc w:val="center"/>
                    <w:rPr>
                      <w:rFonts w:hint="eastAsia"/>
                      <w:color w:val="auto"/>
                      <w:szCs w:val="21"/>
                      <w:u w:val="none" w:color="auto"/>
                    </w:rPr>
                  </w:pPr>
                  <w:r>
                    <w:rPr>
                      <w:rFonts w:hint="eastAsia"/>
                      <w:color w:val="auto"/>
                      <w:szCs w:val="24"/>
                      <w:u w:val="none" w:color="auto"/>
                      <w:lang w:eastAsia="zh-CN"/>
                    </w:rPr>
                    <w:t>本项目选址不在</w:t>
                  </w:r>
                  <w:r>
                    <w:rPr>
                      <w:rFonts w:hint="eastAsia"/>
                      <w:color w:val="auto"/>
                      <w:szCs w:val="21"/>
                      <w:u w:val="none" w:color="auto"/>
                    </w:rPr>
                    <w:t>湖泊保护区、保留区内</w:t>
                  </w:r>
                  <w:r>
                    <w:rPr>
                      <w:rFonts w:hint="eastAsia"/>
                      <w:color w:val="auto"/>
                      <w:szCs w:val="24"/>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single" w:color="auto"/>
                    </w:rPr>
                  </w:pPr>
                  <w:r>
                    <w:rPr>
                      <w:rFonts w:hint="eastAsia"/>
                      <w:color w:val="auto"/>
                      <w:szCs w:val="21"/>
                      <w:u w:val="single" w:color="auto"/>
                    </w:rPr>
                    <w:t>第十三条禁止未经许可在长江干支流及湖泊新设、改设或扩大排污口。</w:t>
                  </w:r>
                </w:p>
              </w:tc>
              <w:tc>
                <w:tcPr>
                  <w:tcW w:w="1228" w:type="pct"/>
                  <w:noWrap w:val="0"/>
                  <w:vAlign w:val="center"/>
                </w:tcPr>
                <w:p>
                  <w:pPr>
                    <w:jc w:val="center"/>
                    <w:rPr>
                      <w:rFonts w:hint="eastAsia"/>
                      <w:color w:val="auto"/>
                      <w:szCs w:val="21"/>
                      <w:u w:val="single" w:color="auto"/>
                    </w:rPr>
                  </w:pPr>
                  <w:r>
                    <w:rPr>
                      <w:rFonts w:hint="eastAsia" w:eastAsia="宋体"/>
                      <w:color w:val="auto"/>
                      <w:sz w:val="21"/>
                      <w:szCs w:val="21"/>
                      <w:u w:val="single" w:color="auto"/>
                      <w:lang w:eastAsia="zh-CN"/>
                    </w:rPr>
                    <w:t>本项目不新建排放口，依托现有排放口</w:t>
                  </w:r>
                  <w:r>
                    <w:rPr>
                      <w:rFonts w:hint="eastAsia"/>
                      <w:color w:val="auto"/>
                      <w:sz w:val="21"/>
                      <w:szCs w:val="21"/>
                      <w:u w:val="single" w:color="auto"/>
                      <w:lang w:eastAsia="zh-CN"/>
                    </w:rPr>
                    <w:t>，排湘阴县第三污水处理厂</w:t>
                  </w:r>
                  <w:r>
                    <w:rPr>
                      <w:rFonts w:hint="eastAsia"/>
                      <w:color w:val="auto"/>
                      <w:szCs w:val="21"/>
                      <w:u w:val="single" w:color="auto"/>
                      <w:lang w:eastAsia="zh-CN"/>
                    </w:rPr>
                    <w:t>；</w:t>
                  </w:r>
                  <w:r>
                    <w:rPr>
                      <w:rFonts w:hint="eastAsia" w:eastAsia="宋体"/>
                      <w:color w:val="auto"/>
                      <w:szCs w:val="21"/>
                      <w:u w:val="single" w:color="auto"/>
                      <w:lang w:eastAsia="zh-CN"/>
                    </w:rPr>
                    <w:t>不涉及</w:t>
                  </w:r>
                  <w:r>
                    <w:rPr>
                      <w:rFonts w:hint="eastAsia"/>
                      <w:color w:val="auto"/>
                      <w:u w:val="single" w:color="auto"/>
                      <w:lang w:eastAsia="zh-CN"/>
                    </w:rPr>
                    <w:t>长江干流及湖泊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none" w:color="auto"/>
                    </w:rPr>
                    <w:t>第十四条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1228" w:type="pct"/>
                  <w:noWrap w:val="0"/>
                  <w:vAlign w:val="center"/>
                </w:tcPr>
                <w:p>
                  <w:pPr>
                    <w:jc w:val="center"/>
                    <w:rPr>
                      <w:rFonts w:hint="eastAsia"/>
                      <w:color w:val="auto"/>
                      <w:szCs w:val="21"/>
                      <w:u w:val="none" w:color="auto"/>
                    </w:rPr>
                  </w:pPr>
                  <w:r>
                    <w:rPr>
                      <w:rFonts w:hint="eastAsia"/>
                      <w:color w:val="auto"/>
                      <w:u w:val="none" w:color="auto"/>
                      <w:lang w:eastAsia="zh-CN"/>
                    </w:rPr>
                    <w:t>本项目不涉及生产性捕捞。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single" w:color="auto"/>
                    </w:rPr>
                  </w:pPr>
                  <w:r>
                    <w:rPr>
                      <w:rFonts w:hint="eastAsia"/>
                      <w:color w:val="auto"/>
                      <w:szCs w:val="21"/>
                      <w:u w:val="single" w:color="auto"/>
                    </w:rPr>
                    <w:t>第十五条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228" w:type="pct"/>
                  <w:noWrap w:val="0"/>
                  <w:vAlign w:val="center"/>
                </w:tcPr>
                <w:p>
                  <w:pPr>
                    <w:jc w:val="center"/>
                    <w:rPr>
                      <w:rFonts w:hint="eastAsia"/>
                      <w:color w:val="auto"/>
                      <w:szCs w:val="21"/>
                      <w:u w:val="single" w:color="auto"/>
                    </w:rPr>
                  </w:pPr>
                  <w:r>
                    <w:rPr>
                      <w:rFonts w:hint="default" w:ascii="Times New Roman" w:hAnsi="Times New Roman" w:cs="Times New Roman"/>
                      <w:color w:val="auto"/>
                      <w:sz w:val="21"/>
                      <w:szCs w:val="21"/>
                      <w:u w:val="single" w:color="auto"/>
                      <w:lang w:val="en-US" w:eastAsia="zh-CN"/>
                    </w:rPr>
                    <w:t>项目边界距离</w:t>
                  </w:r>
                  <w:r>
                    <w:rPr>
                      <w:rFonts w:hint="eastAsia" w:ascii="Times New Roman" w:hAnsi="Times New Roman" w:cs="Times New Roman"/>
                      <w:color w:val="auto"/>
                      <w:sz w:val="21"/>
                      <w:szCs w:val="21"/>
                      <w:u w:val="single" w:color="auto"/>
                      <w:lang w:val="en-US" w:eastAsia="zh-CN"/>
                    </w:rPr>
                    <w:t>干流岸线</w:t>
                  </w:r>
                  <w:r>
                    <w:rPr>
                      <w:rFonts w:hint="default" w:ascii="Times New Roman" w:hAnsi="Times New Roman" w:cs="Times New Roman"/>
                      <w:color w:val="auto"/>
                      <w:sz w:val="21"/>
                      <w:szCs w:val="21"/>
                      <w:u w:val="single" w:color="auto"/>
                      <w:lang w:val="en-US" w:eastAsia="zh-CN"/>
                    </w:rPr>
                    <w:t>约</w:t>
                  </w:r>
                  <w:r>
                    <w:rPr>
                      <w:rFonts w:hint="eastAsia" w:ascii="Times New Roman" w:hAnsi="Times New Roman" w:cs="Times New Roman"/>
                      <w:color w:val="auto"/>
                      <w:sz w:val="21"/>
                      <w:szCs w:val="21"/>
                      <w:u w:val="single" w:color="auto"/>
                      <w:lang w:val="en-US" w:eastAsia="zh-CN"/>
                    </w:rPr>
                    <w:t>12</w:t>
                  </w:r>
                  <w:r>
                    <w:rPr>
                      <w:rFonts w:hint="default" w:ascii="Times New Roman" w:hAnsi="Times New Roman" w:cs="Times New Roman"/>
                      <w:color w:val="auto"/>
                      <w:sz w:val="21"/>
                      <w:szCs w:val="21"/>
                      <w:u w:val="single" w:color="auto"/>
                      <w:lang w:val="en-US" w:eastAsia="zh-CN"/>
                    </w:rPr>
                    <w:t>km。</w:t>
                  </w:r>
                  <w:r>
                    <w:rPr>
                      <w:rFonts w:hint="default" w:ascii="Times New Roman" w:hAnsi="Times New Roman" w:cs="Times New Roman"/>
                      <w:color w:val="auto"/>
                      <w:sz w:val="21"/>
                      <w:szCs w:val="21"/>
                      <w:u w:val="single" w:color="auto"/>
                    </w:rPr>
                    <w:t>不涉及尾矿库、冶炼渣库和磷石膏库建设。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single" w:color="auto"/>
                    </w:rPr>
                  </w:pPr>
                  <w:r>
                    <w:rPr>
                      <w:rFonts w:hint="eastAsia"/>
                      <w:color w:val="auto"/>
                      <w:szCs w:val="21"/>
                      <w:u w:val="single" w:color="auto"/>
                    </w:rPr>
                    <w:t>第十六条禁止在合规园区外新建、扩建钢铁、石化、化工、焦化、建材、有色、制浆造纸等高污染项目。高污染项目严格按照生态环境部《环境保护综合名录（2021年版）》有关要求执行。</w:t>
                  </w:r>
                </w:p>
              </w:tc>
              <w:tc>
                <w:tcPr>
                  <w:tcW w:w="1228" w:type="pct"/>
                  <w:vMerge w:val="restart"/>
                  <w:noWrap w:val="0"/>
                  <w:vAlign w:val="center"/>
                </w:tcPr>
                <w:p>
                  <w:pPr>
                    <w:jc w:val="center"/>
                    <w:rPr>
                      <w:rFonts w:hint="eastAsia" w:eastAsia="宋体"/>
                      <w:color w:val="auto"/>
                      <w:szCs w:val="21"/>
                      <w:u w:val="single" w:color="auto"/>
                      <w:lang w:eastAsia="zh-CN"/>
                    </w:rPr>
                  </w:pPr>
                  <w:r>
                    <w:rPr>
                      <w:rFonts w:hint="eastAsia"/>
                      <w:color w:val="auto"/>
                      <w:szCs w:val="21"/>
                      <w:u w:val="single" w:color="auto"/>
                      <w:lang w:eastAsia="zh-CN"/>
                    </w:rPr>
                    <w:t>项目位于合规工业园内，</w:t>
                  </w:r>
                  <w:r>
                    <w:rPr>
                      <w:rFonts w:hint="default" w:ascii="Times New Roman" w:hAnsi="Times New Roman" w:cs="Times New Roman"/>
                      <w:color w:val="auto"/>
                      <w:sz w:val="21"/>
                      <w:szCs w:val="21"/>
                      <w:u w:val="single" w:color="auto"/>
                    </w:rPr>
                    <w:t>不属于《环境保护综合名录（20</w:t>
                  </w:r>
                  <w:r>
                    <w:rPr>
                      <w:rFonts w:hint="default" w:ascii="Times New Roman" w:hAnsi="Times New Roman" w:cs="Times New Roman"/>
                      <w:color w:val="auto"/>
                      <w:sz w:val="21"/>
                      <w:szCs w:val="21"/>
                      <w:u w:val="single" w:color="auto"/>
                      <w:lang w:val="en-US" w:eastAsia="zh-CN"/>
                    </w:rPr>
                    <w:t>21</w:t>
                  </w:r>
                  <w:r>
                    <w:rPr>
                      <w:rFonts w:hint="default" w:ascii="Times New Roman" w:hAnsi="Times New Roman" w:cs="Times New Roman"/>
                      <w:color w:val="auto"/>
                      <w:sz w:val="21"/>
                      <w:szCs w:val="21"/>
                      <w:u w:val="single" w:color="auto"/>
                    </w:rPr>
                    <w:t>年版）》中的“高污染、高环境风险产品名录”产品</w:t>
                  </w:r>
                  <w:r>
                    <w:rPr>
                      <w:rFonts w:hint="eastAsia" w:ascii="Times New Roman" w:cs="Times New Roman"/>
                      <w:color w:val="auto"/>
                      <w:sz w:val="21"/>
                      <w:szCs w:val="21"/>
                      <w:u w:val="singl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single" w:color="auto"/>
                    </w:rPr>
                    <w:t>第十七条禁止新建、扩建不符合国家石化、现代煤化工等产业布局规划的项目。未通过认定的化工园区，不得新建、</w:t>
                  </w:r>
                  <w:r>
                    <w:rPr>
                      <w:rFonts w:hint="eastAsia"/>
                      <w:color w:val="auto"/>
                      <w:szCs w:val="21"/>
                      <w:u w:val="single" w:color="auto"/>
                      <w:lang w:eastAsia="zh-CN"/>
                    </w:rPr>
                    <w:t>改造</w:t>
                  </w:r>
                  <w:r>
                    <w:rPr>
                      <w:rFonts w:hint="eastAsia"/>
                      <w:color w:val="auto"/>
                      <w:szCs w:val="21"/>
                      <w:u w:val="single" w:color="auto"/>
                    </w:rPr>
                    <w:t>化工项目（安全、环保、节能和智能化改造项目除外）。</w:t>
                  </w:r>
                </w:p>
              </w:tc>
              <w:tc>
                <w:tcPr>
                  <w:tcW w:w="1228" w:type="pct"/>
                  <w:vMerge w:val="continue"/>
                  <w:noWrap w:val="0"/>
                  <w:vAlign w:val="center"/>
                </w:tcPr>
                <w:p>
                  <w:pPr>
                    <w:jc w:val="center"/>
                    <w:rPr>
                      <w:rFonts w:hint="eastAsia"/>
                      <w:color w:val="auto"/>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1" w:type="pct"/>
                  <w:noWrap w:val="0"/>
                  <w:vAlign w:val="center"/>
                </w:tcPr>
                <w:p>
                  <w:pPr>
                    <w:jc w:val="left"/>
                    <w:rPr>
                      <w:rFonts w:hint="eastAsia"/>
                      <w:color w:val="auto"/>
                      <w:szCs w:val="21"/>
                      <w:u w:val="none" w:color="auto"/>
                    </w:rPr>
                  </w:pPr>
                  <w:r>
                    <w:rPr>
                      <w:rFonts w:hint="eastAsia"/>
                      <w:color w:val="auto"/>
                      <w:szCs w:val="21"/>
                      <w:u w:val="none" w:color="auto"/>
                    </w:rPr>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228" w:type="pct"/>
                  <w:noWrap w:val="0"/>
                  <w:vAlign w:val="center"/>
                </w:tcPr>
                <w:p>
                  <w:pPr>
                    <w:jc w:val="center"/>
                    <w:rPr>
                      <w:rFonts w:hint="eastAsia"/>
                      <w:color w:val="auto"/>
                      <w:szCs w:val="21"/>
                      <w:u w:val="none" w:color="auto"/>
                    </w:rPr>
                  </w:pPr>
                  <w:r>
                    <w:rPr>
                      <w:rFonts w:hint="eastAsia"/>
                      <w:color w:val="auto"/>
                      <w:szCs w:val="21"/>
                      <w:u w:val="none" w:color="auto"/>
                    </w:rPr>
                    <w:t>本项目不属于禁止的落后产能项目，不属于严重过剩产能行业，不属于两高项目。</w:t>
                  </w:r>
                </w:p>
              </w:tc>
            </w:tr>
          </w:tbl>
          <w:p>
            <w:pPr>
              <w:keepNext w:val="0"/>
              <w:keepLines w:val="0"/>
              <w:pageBreakBefore w:val="0"/>
              <w:kinsoku/>
              <w:wordWrap/>
              <w:overflowPunct/>
              <w:topLinePunct w:val="0"/>
              <w:autoSpaceDE/>
              <w:autoSpaceDN/>
              <w:bidi w:val="0"/>
              <w:spacing w:line="360" w:lineRule="auto"/>
              <w:ind w:firstLine="480" w:firstLineChars="200"/>
              <w:textAlignment w:val="auto"/>
              <w:rPr>
                <w:rFonts w:hint="eastAsia" w:eastAsia="宋体"/>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综上，本项目与《关于印发&lt;湖南省长江经济带发展负面清单实施细则（试行，2022年版）&gt;的通知》（第70号，2022年6月30日）的相关要求相符。</w:t>
            </w:r>
          </w:p>
          <w:p>
            <w:pPr>
              <w:pStyle w:val="27"/>
              <w:spacing w:before="0" w:after="0"/>
              <w:ind w:firstLine="0" w:firstLineChars="0"/>
              <w:rPr>
                <w:rFonts w:hint="eastAsia" w:ascii="Times New Roman" w:hAnsi="Times New Roman"/>
                <w:b/>
                <w:bCs/>
                <w:color w:val="auto"/>
                <w:sz w:val="24"/>
                <w:szCs w:val="24"/>
                <w:highlight w:val="none"/>
                <w:u w:val="none" w:color="auto"/>
                <w:lang w:val="en-US" w:eastAsia="zh-CN"/>
              </w:rPr>
            </w:pPr>
            <w:r>
              <w:rPr>
                <w:rFonts w:hint="eastAsia" w:ascii="Times New Roman" w:hAnsi="Times New Roman"/>
                <w:b/>
                <w:bCs/>
                <w:color w:val="auto"/>
                <w:sz w:val="24"/>
                <w:szCs w:val="24"/>
                <w:highlight w:val="none"/>
                <w:u w:val="none" w:color="auto"/>
                <w:lang w:val="en-US" w:eastAsia="zh-CN"/>
              </w:rPr>
              <w:t>5、与《湖南省湘江保护条例》（2023年修订）符合性分析</w:t>
            </w:r>
          </w:p>
          <w:p>
            <w:pPr>
              <w:spacing w:line="360" w:lineRule="auto"/>
              <w:ind w:firstLine="480" w:firstLineChars="200"/>
              <w:rPr>
                <w:rFonts w:hAnsi="宋体"/>
                <w:color w:val="auto"/>
                <w:sz w:val="24"/>
                <w:szCs w:val="24"/>
                <w:highlight w:val="none"/>
                <w:u w:val="none" w:color="auto"/>
              </w:rPr>
            </w:pPr>
            <w:r>
              <w:rPr>
                <w:rFonts w:hint="eastAsia"/>
                <w:color w:val="auto"/>
                <w:sz w:val="24"/>
                <w:szCs w:val="24"/>
                <w:highlight w:val="none"/>
                <w:u w:val="none" w:color="auto"/>
              </w:rPr>
              <w:t>本项</w:t>
            </w:r>
            <w:r>
              <w:rPr>
                <w:rFonts w:hint="eastAsia" w:ascii="Times New Roman" w:hAnsi="Times New Roman" w:eastAsia="宋体" w:cs="Times New Roman"/>
                <w:color w:val="auto"/>
                <w:sz w:val="24"/>
                <w:szCs w:val="24"/>
                <w:highlight w:val="none"/>
                <w:u w:val="none" w:color="auto"/>
              </w:rPr>
              <w:t>目与</w:t>
            </w:r>
            <w:r>
              <w:rPr>
                <w:rFonts w:hint="eastAsia" w:ascii="Times New Roman" w:hAnsi="Times New Roman" w:eastAsia="宋体" w:cs="Times New Roman"/>
                <w:color w:val="auto"/>
                <w:sz w:val="24"/>
                <w:szCs w:val="24"/>
                <w:highlight w:val="none"/>
                <w:u w:val="none" w:color="auto"/>
                <w:lang w:val="en-US" w:eastAsia="zh-CN"/>
              </w:rPr>
              <w:t>《湖南省湘江保护条例》（2023年修订）</w:t>
            </w:r>
            <w:r>
              <w:rPr>
                <w:rFonts w:hint="eastAsia" w:ascii="Times New Roman" w:hAnsi="Times New Roman" w:eastAsia="宋体" w:cs="Times New Roman"/>
                <w:color w:val="auto"/>
                <w:sz w:val="24"/>
                <w:szCs w:val="24"/>
                <w:highlight w:val="none"/>
                <w:u w:val="none" w:color="auto"/>
              </w:rPr>
              <w:t>相符</w:t>
            </w:r>
            <w:r>
              <w:rPr>
                <w:rFonts w:hint="eastAsia"/>
                <w:color w:val="auto"/>
                <w:sz w:val="24"/>
                <w:szCs w:val="24"/>
                <w:highlight w:val="none"/>
                <w:u w:val="none" w:color="auto"/>
              </w:rPr>
              <w:t>性分析见表1-</w:t>
            </w:r>
            <w:r>
              <w:rPr>
                <w:rFonts w:hint="eastAsia"/>
                <w:color w:val="auto"/>
                <w:sz w:val="24"/>
                <w:szCs w:val="24"/>
                <w:highlight w:val="none"/>
                <w:u w:val="none" w:color="auto"/>
                <w:lang w:val="en-US" w:eastAsia="zh-CN"/>
              </w:rPr>
              <w:t>5</w:t>
            </w:r>
            <w:r>
              <w:rPr>
                <w:rFonts w:hint="eastAsia"/>
                <w:color w:val="auto"/>
                <w:sz w:val="24"/>
                <w:szCs w:val="24"/>
                <w:highlight w:val="none"/>
                <w:u w:val="none" w:color="auto"/>
              </w:rPr>
              <w:t>。</w:t>
            </w:r>
          </w:p>
          <w:p>
            <w:pPr>
              <w:spacing w:line="240" w:lineRule="auto"/>
              <w:jc w:val="center"/>
              <w:rPr>
                <w:rFonts w:hint="eastAsia" w:ascii="黑体" w:hAnsi="黑体" w:eastAsia="黑体" w:cs="黑体"/>
                <w:color w:val="auto"/>
                <w:szCs w:val="21"/>
                <w:highlight w:val="none"/>
                <w:u w:val="none" w:color="auto"/>
              </w:rPr>
            </w:pPr>
            <w:r>
              <w:rPr>
                <w:rFonts w:hint="eastAsia"/>
                <w:b/>
                <w:bCs/>
                <w:color w:val="auto"/>
                <w:kern w:val="0"/>
                <w:sz w:val="24"/>
                <w:szCs w:val="24"/>
                <w:highlight w:val="none"/>
                <w:u w:val="none" w:color="auto"/>
              </w:rPr>
              <w:t>表1-</w:t>
            </w:r>
            <w:r>
              <w:rPr>
                <w:rFonts w:hint="eastAsia"/>
                <w:b/>
                <w:bCs/>
                <w:color w:val="auto"/>
                <w:kern w:val="0"/>
                <w:sz w:val="24"/>
                <w:szCs w:val="24"/>
                <w:highlight w:val="none"/>
                <w:u w:val="none" w:color="auto"/>
                <w:lang w:val="en-US" w:eastAsia="zh-CN"/>
              </w:rPr>
              <w:t>8</w:t>
            </w:r>
            <w:r>
              <w:rPr>
                <w:rFonts w:hint="eastAsia"/>
                <w:b/>
                <w:bCs/>
                <w:color w:val="auto"/>
                <w:kern w:val="0"/>
                <w:sz w:val="24"/>
                <w:szCs w:val="24"/>
                <w:highlight w:val="none"/>
                <w:u w:val="none" w:color="auto"/>
              </w:rPr>
              <w:t>与</w:t>
            </w:r>
            <w:r>
              <w:rPr>
                <w:rFonts w:hint="eastAsia"/>
                <w:b/>
                <w:bCs/>
                <w:color w:val="auto"/>
                <w:kern w:val="0"/>
                <w:sz w:val="24"/>
                <w:szCs w:val="24"/>
                <w:highlight w:val="none"/>
                <w:u w:val="none" w:color="auto"/>
                <w:lang w:val="en-US" w:eastAsia="zh-CN"/>
              </w:rPr>
              <w:t>《湖南省湘江保护条例》（2023年修订）</w:t>
            </w:r>
            <w:r>
              <w:rPr>
                <w:rFonts w:hint="eastAsia"/>
                <w:b/>
                <w:bCs/>
                <w:color w:val="auto"/>
                <w:kern w:val="0"/>
                <w:sz w:val="24"/>
                <w:szCs w:val="24"/>
                <w:highlight w:val="none"/>
                <w:u w:val="none" w:color="auto"/>
              </w:rPr>
              <w:t>相符性分析表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7"/>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4" w:type="pct"/>
                  <w:noWrap w:val="0"/>
                  <w:vAlign w:val="center"/>
                </w:tcPr>
                <w:p>
                  <w:pPr>
                    <w:jc w:val="center"/>
                    <w:rPr>
                      <w:b/>
                      <w:bCs/>
                      <w:color w:val="auto"/>
                      <w:szCs w:val="21"/>
                      <w:highlight w:val="none"/>
                      <w:u w:val="none" w:color="auto"/>
                    </w:rPr>
                  </w:pPr>
                  <w:r>
                    <w:rPr>
                      <w:rFonts w:hint="eastAsia"/>
                      <w:b/>
                      <w:bCs/>
                      <w:color w:val="auto"/>
                      <w:szCs w:val="21"/>
                      <w:highlight w:val="none"/>
                      <w:u w:val="none" w:color="auto"/>
                    </w:rPr>
                    <w:t>内容</w:t>
                  </w:r>
                </w:p>
              </w:tc>
              <w:tc>
                <w:tcPr>
                  <w:tcW w:w="1345" w:type="pct"/>
                  <w:noWrap w:val="0"/>
                  <w:vAlign w:val="center"/>
                </w:tcPr>
                <w:p>
                  <w:pPr>
                    <w:jc w:val="center"/>
                    <w:rPr>
                      <w:b/>
                      <w:bCs/>
                      <w:color w:val="auto"/>
                      <w:szCs w:val="21"/>
                      <w:highlight w:val="none"/>
                      <w:u w:val="none" w:color="auto"/>
                    </w:rPr>
                  </w:pPr>
                  <w:r>
                    <w:rPr>
                      <w:rFonts w:hint="eastAsia"/>
                      <w:b/>
                      <w:bCs/>
                      <w:color w:val="auto"/>
                      <w:szCs w:val="21"/>
                      <w:highlight w:val="none"/>
                      <w:u w:val="none" w:color="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4" w:type="pct"/>
                  <w:noWrap w:val="0"/>
                  <w:vAlign w:val="center"/>
                </w:tcPr>
                <w:p>
                  <w:pPr>
                    <w:jc w:val="left"/>
                    <w:rPr>
                      <w:rFonts w:hint="eastAsia"/>
                      <w:color w:val="auto"/>
                      <w:spacing w:val="0"/>
                      <w:szCs w:val="21"/>
                      <w:highlight w:val="none"/>
                      <w:u w:val="none" w:color="auto"/>
                    </w:rPr>
                  </w:pPr>
                  <w:r>
                    <w:rPr>
                      <w:rFonts w:hint="eastAsia"/>
                      <w:color w:val="auto"/>
                      <w:spacing w:val="0"/>
                      <w:szCs w:val="21"/>
                      <w:highlight w:val="none"/>
                      <w:u w:val="none" w:color="auto"/>
                    </w:rPr>
                    <w:t>第二十五条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w:t>
                  </w:r>
                </w:p>
                <w:p>
                  <w:pPr>
                    <w:ind w:firstLine="0" w:firstLineChars="0"/>
                    <w:jc w:val="left"/>
                    <w:rPr>
                      <w:rFonts w:hint="eastAsia"/>
                      <w:color w:val="auto"/>
                      <w:spacing w:val="0"/>
                      <w:szCs w:val="21"/>
                      <w:highlight w:val="none"/>
                      <w:u w:val="none" w:color="auto"/>
                    </w:rPr>
                  </w:pPr>
                  <w:r>
                    <w:rPr>
                      <w:rFonts w:hint="eastAsia"/>
                      <w:color w:val="auto"/>
                      <w:spacing w:val="0"/>
                      <w:szCs w:val="21"/>
                      <w:highlight w:val="none"/>
                      <w:u w:val="none" w:color="auto"/>
                    </w:rPr>
                    <w:t>禁止在湘江流域饮用水水源一级保护区内从事网箱养殖、旅游、游泳、垂钓或者其他可能污染饮用水水体的活动。</w:t>
                  </w:r>
                </w:p>
              </w:tc>
              <w:tc>
                <w:tcPr>
                  <w:tcW w:w="1345" w:type="pct"/>
                  <w:noWrap w:val="0"/>
                  <w:vAlign w:val="center"/>
                </w:tcPr>
                <w:p>
                  <w:pPr>
                    <w:jc w:val="left"/>
                    <w:rPr>
                      <w:rFonts w:hint="eastAsia"/>
                      <w:color w:val="auto"/>
                      <w:szCs w:val="21"/>
                      <w:highlight w:val="none"/>
                      <w:u w:val="none" w:color="auto"/>
                    </w:rPr>
                  </w:pPr>
                  <w:r>
                    <w:rPr>
                      <w:rFonts w:hint="eastAsia"/>
                      <w:color w:val="auto"/>
                      <w:szCs w:val="21"/>
                      <w:highlight w:val="none"/>
                      <w:u w:val="none" w:color="auto"/>
                    </w:rPr>
                    <w:t>本项目不涉及饮用水源保护区。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4" w:type="pct"/>
                  <w:noWrap w:val="0"/>
                  <w:vAlign w:val="center"/>
                </w:tcPr>
                <w:p>
                  <w:pPr>
                    <w:ind w:firstLine="0" w:firstLineChars="0"/>
                    <w:jc w:val="left"/>
                    <w:rPr>
                      <w:rFonts w:hint="eastAsia"/>
                      <w:color w:val="auto"/>
                      <w:spacing w:val="0"/>
                      <w:szCs w:val="21"/>
                      <w:highlight w:val="none"/>
                      <w:u w:val="none" w:color="auto"/>
                    </w:rPr>
                  </w:pPr>
                  <w:r>
                    <w:rPr>
                      <w:rFonts w:hint="eastAsia"/>
                      <w:color w:val="auto"/>
                      <w:spacing w:val="0"/>
                      <w:szCs w:val="21"/>
                      <w:highlight w:val="none"/>
                      <w:u w:val="none" w:color="auto"/>
                    </w:rPr>
                    <w:t>第二十六条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tc>
              <w:tc>
                <w:tcPr>
                  <w:tcW w:w="1345" w:type="pct"/>
                  <w:noWrap w:val="0"/>
                  <w:vAlign w:val="center"/>
                </w:tcPr>
                <w:p>
                  <w:pPr>
                    <w:jc w:val="left"/>
                    <w:rPr>
                      <w:rFonts w:hint="eastAsia"/>
                      <w:color w:val="auto"/>
                      <w:szCs w:val="21"/>
                      <w:highlight w:val="none"/>
                      <w:u w:val="none" w:color="auto"/>
                    </w:rPr>
                  </w:pPr>
                  <w:r>
                    <w:rPr>
                      <w:rFonts w:hint="eastAsia"/>
                      <w:color w:val="auto"/>
                      <w:szCs w:val="21"/>
                      <w:highlight w:val="none"/>
                      <w:u w:val="none" w:color="auto"/>
                    </w:rPr>
                    <w:t>本项目不涉及饮用水源保护区。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4" w:type="pct"/>
                  <w:noWrap w:val="0"/>
                  <w:vAlign w:val="center"/>
                </w:tcPr>
                <w:p>
                  <w:pPr>
                    <w:ind w:firstLine="0" w:firstLineChars="0"/>
                    <w:jc w:val="left"/>
                    <w:rPr>
                      <w:rFonts w:hint="eastAsia"/>
                      <w:color w:val="auto"/>
                      <w:spacing w:val="0"/>
                      <w:szCs w:val="21"/>
                      <w:highlight w:val="none"/>
                      <w:u w:val="single" w:color="auto"/>
                    </w:rPr>
                  </w:pPr>
                  <w:r>
                    <w:rPr>
                      <w:rFonts w:hint="eastAsia"/>
                      <w:color w:val="auto"/>
                      <w:spacing w:val="0"/>
                      <w:szCs w:val="21"/>
                      <w:highlight w:val="none"/>
                      <w:u w:val="single" w:color="auto"/>
                    </w:rPr>
                    <w:t>第三十三条禁止向水体排放、倾倒工业废渣、城镇垃圾和其他废弃物。禁止将含有汞、镉、砷、铬、铅、氰化物、黄磷等的可溶性剧毒废渣向水体排放、倾倒。</w:t>
                  </w:r>
                </w:p>
              </w:tc>
              <w:tc>
                <w:tcPr>
                  <w:tcW w:w="1345" w:type="pct"/>
                  <w:noWrap w:val="0"/>
                  <w:vAlign w:val="center"/>
                </w:tcPr>
                <w:p>
                  <w:pPr>
                    <w:jc w:val="left"/>
                    <w:rPr>
                      <w:rFonts w:hint="eastAsia" w:eastAsia="宋体"/>
                      <w:color w:val="auto"/>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本项目不</w:t>
                  </w:r>
                  <w:r>
                    <w:rPr>
                      <w:rFonts w:hint="eastAsia" w:ascii="Times New Roman" w:cs="Times New Roman"/>
                      <w:color w:val="auto"/>
                      <w:sz w:val="21"/>
                      <w:szCs w:val="21"/>
                      <w:highlight w:val="none"/>
                      <w:u w:val="single" w:color="auto"/>
                      <w:lang w:val="en-US" w:eastAsia="zh-CN"/>
                    </w:rPr>
                    <w:t>新建</w:t>
                  </w:r>
                  <w:r>
                    <w:rPr>
                      <w:rFonts w:hint="default" w:ascii="Times New Roman" w:hAnsi="Times New Roman" w:cs="Times New Roman"/>
                      <w:color w:val="auto"/>
                      <w:sz w:val="21"/>
                      <w:szCs w:val="21"/>
                      <w:highlight w:val="none"/>
                      <w:u w:val="single" w:color="auto"/>
                      <w:lang w:val="en-US" w:eastAsia="zh-CN"/>
                    </w:rPr>
                    <w:t>排水口</w:t>
                  </w:r>
                  <w:r>
                    <w:rPr>
                      <w:rFonts w:hint="eastAsia" w:eastAsia="宋体"/>
                      <w:color w:val="auto"/>
                      <w:sz w:val="21"/>
                      <w:szCs w:val="21"/>
                      <w:highlight w:val="none"/>
                      <w:u w:val="single" w:color="auto"/>
                      <w:lang w:eastAsia="zh-CN"/>
                    </w:rPr>
                    <w:t>，依托现有排放口，</w:t>
                  </w:r>
                  <w:r>
                    <w:rPr>
                      <w:rFonts w:hint="eastAsia"/>
                      <w:color w:val="auto"/>
                      <w:sz w:val="21"/>
                      <w:szCs w:val="21"/>
                      <w:u w:val="single" w:color="auto"/>
                      <w:lang w:eastAsia="zh-CN"/>
                    </w:rPr>
                    <w:t>排湘阴县第三污水处理厂，本项目</w:t>
                  </w:r>
                  <w:r>
                    <w:rPr>
                      <w:rFonts w:hint="eastAsia" w:eastAsia="宋体"/>
                      <w:color w:val="auto"/>
                      <w:sz w:val="21"/>
                      <w:szCs w:val="21"/>
                      <w:highlight w:val="none"/>
                      <w:u w:val="single" w:color="auto"/>
                      <w:lang w:eastAsia="zh-CN"/>
                    </w:rPr>
                    <w:t>不涉及重金属废水。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4" w:type="pct"/>
                  <w:noWrap w:val="0"/>
                  <w:vAlign w:val="center"/>
                </w:tcPr>
                <w:p>
                  <w:pPr>
                    <w:ind w:firstLine="0" w:firstLineChars="0"/>
                    <w:jc w:val="left"/>
                    <w:rPr>
                      <w:rFonts w:hint="eastAsia"/>
                      <w:color w:val="auto"/>
                      <w:spacing w:val="0"/>
                      <w:szCs w:val="21"/>
                      <w:highlight w:val="none"/>
                      <w:u w:val="none" w:color="auto"/>
                    </w:rPr>
                  </w:pPr>
                  <w:r>
                    <w:rPr>
                      <w:rFonts w:hint="eastAsia"/>
                      <w:color w:val="auto"/>
                      <w:spacing w:val="0"/>
                      <w:szCs w:val="21"/>
                      <w:highlight w:val="none"/>
                      <w:u w:val="none" w:color="auto"/>
                    </w:rPr>
                    <w:t>第三十九条排污单位应当按照国家有关规定和监测规范，对所排放的水污染物自行监测，保存原始监测记录，并对监测数据的真实性和准确性负责。</w:t>
                  </w:r>
                </w:p>
                <w:p>
                  <w:pPr>
                    <w:ind w:firstLine="0" w:firstLineChars="0"/>
                    <w:jc w:val="left"/>
                    <w:rPr>
                      <w:rFonts w:hint="eastAsia"/>
                      <w:color w:val="auto"/>
                      <w:spacing w:val="0"/>
                      <w:szCs w:val="21"/>
                      <w:highlight w:val="none"/>
                      <w:u w:val="none" w:color="auto"/>
                    </w:rPr>
                  </w:pPr>
                  <w:r>
                    <w:rPr>
                      <w:rFonts w:hint="eastAsia"/>
                      <w:color w:val="auto"/>
                      <w:spacing w:val="0"/>
                      <w:szCs w:val="21"/>
                      <w:highlight w:val="none"/>
                      <w:u w:val="none" w:color="auto"/>
                    </w:rPr>
                    <w:t>重点排污单位应当安装水污染物排放自动监测设备，与所在地设区的市、县（市、区）人民政府生态环境主管部门的监控设备联网，保证监测设备正常运行，保存原始监测记录。</w:t>
                  </w:r>
                </w:p>
              </w:tc>
              <w:tc>
                <w:tcPr>
                  <w:tcW w:w="1345" w:type="pct"/>
                  <w:noWrap w:val="0"/>
                  <w:vAlign w:val="center"/>
                </w:tcPr>
                <w:p>
                  <w:pPr>
                    <w:jc w:val="left"/>
                    <w:rPr>
                      <w:rFonts w:hint="eastAsia" w:eastAsia="宋体"/>
                      <w:color w:val="auto"/>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本项目不</w:t>
                  </w:r>
                  <w:r>
                    <w:rPr>
                      <w:rFonts w:hint="eastAsia" w:ascii="Times New Roman" w:cs="Times New Roman"/>
                      <w:color w:val="auto"/>
                      <w:sz w:val="21"/>
                      <w:szCs w:val="21"/>
                      <w:highlight w:val="none"/>
                      <w:u w:val="none" w:color="auto"/>
                      <w:lang w:val="en-US" w:eastAsia="zh-CN"/>
                    </w:rPr>
                    <w:t>新建</w:t>
                  </w:r>
                  <w:r>
                    <w:rPr>
                      <w:rFonts w:hint="default" w:ascii="Times New Roman" w:hAnsi="Times New Roman" w:cs="Times New Roman"/>
                      <w:color w:val="auto"/>
                      <w:sz w:val="21"/>
                      <w:szCs w:val="21"/>
                      <w:highlight w:val="none"/>
                      <w:u w:val="none" w:color="auto"/>
                      <w:lang w:val="en-US" w:eastAsia="zh-CN"/>
                    </w:rPr>
                    <w:t>排水口</w:t>
                  </w:r>
                  <w:r>
                    <w:rPr>
                      <w:rFonts w:hint="eastAsia" w:eastAsia="宋体"/>
                      <w:color w:val="auto"/>
                      <w:sz w:val="21"/>
                      <w:szCs w:val="21"/>
                      <w:highlight w:val="none"/>
                      <w:u w:val="none" w:color="auto"/>
                      <w:lang w:eastAsia="zh-CN"/>
                    </w:rPr>
                    <w:t>，依托现有排放口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4" w:type="pct"/>
                  <w:noWrap w:val="0"/>
                  <w:vAlign w:val="center"/>
                </w:tcPr>
                <w:p>
                  <w:pPr>
                    <w:ind w:firstLine="0" w:firstLineChars="0"/>
                    <w:jc w:val="left"/>
                    <w:rPr>
                      <w:rFonts w:hint="eastAsia" w:eastAsia="宋体"/>
                      <w:color w:val="auto"/>
                      <w:spacing w:val="0"/>
                      <w:szCs w:val="21"/>
                      <w:highlight w:val="none"/>
                      <w:u w:val="single" w:color="auto"/>
                      <w:lang w:eastAsia="zh-CN"/>
                    </w:rPr>
                  </w:pPr>
                  <w:r>
                    <w:rPr>
                      <w:rFonts w:hint="eastAsia"/>
                      <w:color w:val="auto"/>
                      <w:spacing w:val="0"/>
                      <w:szCs w:val="21"/>
                      <w:highlight w:val="none"/>
                      <w:u w:val="single" w:color="auto"/>
                    </w:rPr>
                    <w:t>第四十九条禁止在湘江干流岸线一公里范围内新建、扩建化工园区和化工项目</w:t>
                  </w:r>
                  <w:r>
                    <w:rPr>
                      <w:rFonts w:hint="eastAsia"/>
                      <w:color w:val="auto"/>
                      <w:spacing w:val="0"/>
                      <w:szCs w:val="21"/>
                      <w:highlight w:val="none"/>
                      <w:u w:val="single" w:color="auto"/>
                      <w:lang w:eastAsia="zh-CN"/>
                    </w:rPr>
                    <w:t>。</w:t>
                  </w:r>
                </w:p>
                <w:p>
                  <w:pPr>
                    <w:ind w:firstLine="0" w:firstLineChars="0"/>
                    <w:jc w:val="left"/>
                    <w:rPr>
                      <w:rFonts w:hint="eastAsia"/>
                      <w:color w:val="auto"/>
                      <w:spacing w:val="0"/>
                      <w:szCs w:val="21"/>
                      <w:highlight w:val="none"/>
                      <w:u w:val="single" w:color="auto"/>
                    </w:rPr>
                  </w:pPr>
                  <w:r>
                    <w:rPr>
                      <w:rFonts w:hint="eastAsia"/>
                      <w:color w:val="auto"/>
                      <w:spacing w:val="0"/>
                      <w:szCs w:val="21"/>
                      <w:highlight w:val="none"/>
                      <w:u w:val="single" w:color="auto"/>
                    </w:rPr>
                    <w:t>禁止在湘江干流岸线一公里范围内新建、改建、扩建尾矿库；但是以提升安全、生态环境保护水平为目的的改建除外。</w:t>
                  </w:r>
                </w:p>
              </w:tc>
              <w:tc>
                <w:tcPr>
                  <w:tcW w:w="1345" w:type="pct"/>
                  <w:noWrap w:val="0"/>
                  <w:vAlign w:val="center"/>
                </w:tcPr>
                <w:p>
                  <w:pPr>
                    <w:jc w:val="left"/>
                    <w:rPr>
                      <w:rFonts w:hint="eastAsia" w:eastAsia="宋体"/>
                      <w:color w:val="auto"/>
                      <w:szCs w:val="21"/>
                      <w:highlight w:val="none"/>
                      <w:u w:val="single" w:color="auto"/>
                      <w:lang w:val="en-US" w:eastAsia="zh-CN"/>
                    </w:rPr>
                  </w:pPr>
                  <w:r>
                    <w:rPr>
                      <w:rFonts w:hint="default" w:ascii="Times New Roman" w:hAnsi="Times New Roman" w:cs="Times New Roman"/>
                      <w:color w:val="auto"/>
                      <w:sz w:val="21"/>
                      <w:szCs w:val="21"/>
                      <w:u w:val="single" w:color="auto"/>
                      <w:lang w:val="en-US" w:eastAsia="zh-CN"/>
                    </w:rPr>
                    <w:t>项目边界距离</w:t>
                  </w:r>
                  <w:r>
                    <w:rPr>
                      <w:rFonts w:hint="eastAsia"/>
                      <w:color w:val="auto"/>
                      <w:spacing w:val="0"/>
                      <w:szCs w:val="21"/>
                      <w:highlight w:val="none"/>
                      <w:u w:val="single" w:color="auto"/>
                    </w:rPr>
                    <w:t>湘江干流岸线</w:t>
                  </w:r>
                  <w:r>
                    <w:rPr>
                      <w:rFonts w:hint="eastAsia"/>
                      <w:color w:val="auto"/>
                      <w:spacing w:val="0"/>
                      <w:szCs w:val="21"/>
                      <w:highlight w:val="none"/>
                      <w:u w:val="single" w:color="auto"/>
                      <w:lang w:eastAsia="zh-CN"/>
                    </w:rPr>
                    <w:t>约</w:t>
                  </w:r>
                  <w:r>
                    <w:rPr>
                      <w:rFonts w:hint="eastAsia" w:ascii="Times New Roman" w:hAnsi="Times New Roman" w:cs="Times New Roman"/>
                      <w:color w:val="auto"/>
                      <w:sz w:val="21"/>
                      <w:szCs w:val="21"/>
                      <w:u w:val="single" w:color="auto"/>
                      <w:lang w:val="en-US" w:eastAsia="zh-CN"/>
                    </w:rPr>
                    <w:t>12</w:t>
                  </w:r>
                  <w:r>
                    <w:rPr>
                      <w:rFonts w:hint="default" w:ascii="Times New Roman" w:hAnsi="Times New Roman" w:cs="Times New Roman"/>
                      <w:color w:val="auto"/>
                      <w:sz w:val="21"/>
                      <w:szCs w:val="21"/>
                      <w:u w:val="single" w:color="auto"/>
                      <w:lang w:val="en-US" w:eastAsia="zh-CN"/>
                    </w:rPr>
                    <w:t>km。</w:t>
                  </w:r>
                  <w:r>
                    <w:rPr>
                      <w:rFonts w:hint="default" w:ascii="Times New Roman" w:hAnsi="Times New Roman" w:cs="Times New Roman"/>
                      <w:color w:val="auto"/>
                      <w:sz w:val="21"/>
                      <w:szCs w:val="21"/>
                      <w:u w:val="single" w:color="auto"/>
                    </w:rPr>
                    <w:t>不涉及尾矿库、冶炼渣库和磷石膏库建设。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4" w:type="pct"/>
                  <w:noWrap w:val="0"/>
                  <w:vAlign w:val="center"/>
                </w:tcPr>
                <w:p>
                  <w:pPr>
                    <w:ind w:firstLine="0" w:firstLineChars="0"/>
                    <w:jc w:val="left"/>
                    <w:rPr>
                      <w:rFonts w:hint="eastAsia"/>
                      <w:color w:val="auto"/>
                      <w:spacing w:val="0"/>
                      <w:szCs w:val="21"/>
                      <w:highlight w:val="none"/>
                      <w:u w:val="single" w:color="auto"/>
                    </w:rPr>
                  </w:pPr>
                  <w:r>
                    <w:rPr>
                      <w:rFonts w:hint="eastAsia"/>
                      <w:color w:val="auto"/>
                      <w:spacing w:val="0"/>
                      <w:szCs w:val="21"/>
                      <w:highlight w:val="none"/>
                      <w:u w:val="single" w:color="auto"/>
                    </w:rPr>
                    <w:t>第五十条湘江流域县级以上人民政府应当按照统筹规划、防治结合、综合治理的原则，加强化工、有色金属、造纸、制革、采矿等行业污染治理，确保湘江流域污染源得到全面治理和控制。</w:t>
                  </w:r>
                </w:p>
              </w:tc>
              <w:tc>
                <w:tcPr>
                  <w:tcW w:w="1345" w:type="pct"/>
                  <w:noWrap w:val="0"/>
                  <w:vAlign w:val="center"/>
                </w:tcPr>
                <w:p>
                  <w:pPr>
                    <w:jc w:val="left"/>
                    <w:rPr>
                      <w:rFonts w:hint="eastAsia"/>
                      <w:color w:val="auto"/>
                      <w:szCs w:val="21"/>
                      <w:highlight w:val="none"/>
                      <w:u w:val="single" w:color="auto"/>
                    </w:rPr>
                  </w:pPr>
                  <w:r>
                    <w:rPr>
                      <w:rFonts w:hint="eastAsia"/>
                      <w:color w:val="auto"/>
                      <w:sz w:val="21"/>
                      <w:szCs w:val="21"/>
                      <w:u w:val="single" w:color="auto"/>
                      <w:lang w:eastAsia="zh-CN"/>
                    </w:rPr>
                    <w:t>本项目废水经污水处理系统处理后排湘阴县第三污水处理厂。</w:t>
                  </w:r>
                </w:p>
              </w:tc>
            </w:tr>
          </w:tbl>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综上，本项目与《湖南省湘江保护条例》（2023年修订）的相关要求相符。</w:t>
            </w:r>
          </w:p>
          <w:p>
            <w:pPr>
              <w:spacing w:line="360" w:lineRule="auto"/>
              <w:ind w:firstLine="0" w:firstLineChars="0"/>
              <w:jc w:val="left"/>
              <w:rPr>
                <w:rFonts w:hint="eastAsia"/>
                <w:b/>
                <w:color w:val="auto"/>
                <w:sz w:val="24"/>
                <w:szCs w:val="24"/>
                <w:u w:val="single" w:color="auto"/>
                <w:lang w:val="en-US" w:eastAsia="zh-CN"/>
              </w:rPr>
            </w:pPr>
            <w:r>
              <w:rPr>
                <w:rFonts w:hint="eastAsia"/>
                <w:b/>
                <w:color w:val="auto"/>
                <w:sz w:val="24"/>
                <w:szCs w:val="24"/>
                <w:u w:val="single" w:color="auto"/>
                <w:lang w:val="en-US" w:eastAsia="zh-CN"/>
              </w:rPr>
              <w:t>6、与湖南省洞庭湖保护条例</w:t>
            </w:r>
            <w:r>
              <w:rPr>
                <w:rFonts w:hint="eastAsia" w:ascii="Times New Roman" w:hAnsi="Times New Roman"/>
                <w:b/>
                <w:bCs/>
                <w:color w:val="auto"/>
                <w:sz w:val="24"/>
                <w:szCs w:val="24"/>
                <w:highlight w:val="none"/>
                <w:u w:val="single" w:color="auto"/>
                <w:lang w:val="en-US" w:eastAsia="zh-CN"/>
              </w:rPr>
              <w:t>符合性分析</w:t>
            </w:r>
          </w:p>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根据《湖南省洞庭湖保护条例》，其涉及本项目的主要内容如下：</w:t>
            </w:r>
          </w:p>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“第十八条湖区产业结构和布局应当与湖区生态系统和资源环境承载能力相适应。</w:t>
            </w:r>
          </w:p>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禁止在湖区布局对生态系统有严重影响的产业。禁止重污染企业和项目向湖区转移。”</w:t>
            </w:r>
          </w:p>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“第二十三条湖区市、县(市、区)人民政府生态环境主管部门应当建立洞庭湖工业污染源信息库。</w:t>
            </w:r>
          </w:p>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湖区市、县(市、区)人民政府应当加强对工业污染源的监管</w:t>
            </w:r>
            <w:r>
              <w:rPr>
                <w:rFonts w:hint="eastAsia" w:cs="Times New Roman"/>
                <w:color w:val="auto"/>
                <w:sz w:val="24"/>
                <w:szCs w:val="24"/>
                <w:highlight w:val="none"/>
                <w:u w:val="single" w:color="auto"/>
                <w:lang w:val="en-US" w:eastAsia="zh-CN"/>
              </w:rPr>
              <w:t>，</w:t>
            </w:r>
            <w:r>
              <w:rPr>
                <w:rFonts w:hint="eastAsia" w:ascii="Times New Roman" w:hAnsi="Times New Roman" w:eastAsia="宋体" w:cs="Times New Roman"/>
                <w:color w:val="auto"/>
                <w:sz w:val="24"/>
                <w:szCs w:val="24"/>
                <w:highlight w:val="none"/>
                <w:u w:val="single" w:color="auto"/>
                <w:lang w:val="en-US" w:eastAsia="zh-CN"/>
              </w:rPr>
              <w:t>严格控制重点行业氮磷排放总量。”</w:t>
            </w:r>
          </w:p>
          <w:p>
            <w:pPr>
              <w:pStyle w:val="62"/>
              <w:bidi w:val="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本项目选址位于湘阴高新技术产业开发区金龙片区，属于合规园区，不新建排水口，依托现有排放口，依托现有废水处理设施处理达标后排</w:t>
            </w:r>
            <w:r>
              <w:rPr>
                <w:rFonts w:hint="eastAsia" w:cs="Times New Roman"/>
                <w:color w:val="auto"/>
                <w:sz w:val="24"/>
                <w:szCs w:val="24"/>
                <w:highlight w:val="none"/>
                <w:u w:val="single" w:color="auto"/>
                <w:lang w:val="en-US" w:eastAsia="zh-CN"/>
              </w:rPr>
              <w:t>湘阴县第三污水处理厂</w:t>
            </w:r>
            <w:r>
              <w:rPr>
                <w:rFonts w:hint="eastAsia" w:ascii="Times New Roman" w:hAnsi="Times New Roman" w:eastAsia="宋体" w:cs="Times New Roman"/>
                <w:color w:val="auto"/>
                <w:sz w:val="24"/>
                <w:szCs w:val="24"/>
                <w:highlight w:val="none"/>
                <w:u w:val="single" w:color="auto"/>
                <w:lang w:val="en-US" w:eastAsia="zh-CN"/>
              </w:rPr>
              <w:t>，符合《湖南省洞庭湖保护条例》相关要求。</w:t>
            </w:r>
          </w:p>
          <w:p>
            <w:pPr>
              <w:spacing w:line="360" w:lineRule="auto"/>
              <w:ind w:firstLine="0" w:firstLineChars="0"/>
              <w:jc w:val="left"/>
              <w:rPr>
                <w:b/>
                <w:bCs/>
                <w:color w:val="auto"/>
                <w:sz w:val="24"/>
                <w:szCs w:val="24"/>
                <w:u w:val="none"/>
              </w:rPr>
            </w:pPr>
            <w:r>
              <w:rPr>
                <w:rFonts w:hint="eastAsia"/>
                <w:b/>
                <w:color w:val="auto"/>
                <w:sz w:val="24"/>
                <w:szCs w:val="24"/>
                <w:u w:val="none"/>
                <w:lang w:val="en-US" w:eastAsia="zh-CN"/>
              </w:rPr>
              <w:t>7、</w:t>
            </w:r>
            <w:r>
              <w:rPr>
                <w:rFonts w:hint="eastAsia"/>
                <w:b/>
                <w:color w:val="auto"/>
                <w:sz w:val="24"/>
                <w:szCs w:val="24"/>
                <w:u w:val="none"/>
              </w:rPr>
              <w:t>与</w:t>
            </w:r>
            <w:r>
              <w:rPr>
                <w:b/>
                <w:bCs/>
                <w:color w:val="auto"/>
                <w:sz w:val="24"/>
                <w:szCs w:val="24"/>
                <w:u w:val="none"/>
              </w:rPr>
              <w:t>《挥发性有机物（</w:t>
            </w:r>
            <w:r>
              <w:rPr>
                <w:b/>
                <w:color w:val="auto"/>
                <w:sz w:val="24"/>
                <w:szCs w:val="24"/>
                <w:u w:val="none"/>
              </w:rPr>
              <w:t>VOCs</w:t>
            </w:r>
            <w:r>
              <w:rPr>
                <w:b/>
                <w:bCs/>
                <w:color w:val="auto"/>
                <w:sz w:val="24"/>
                <w:szCs w:val="24"/>
                <w:u w:val="none"/>
              </w:rPr>
              <w:t>）污染防治技术政策》符合性分析</w:t>
            </w:r>
            <w:r>
              <w:rPr>
                <w:rFonts w:hint="eastAsia" w:ascii="Times New Roman" w:hAnsi="Times New Roman" w:eastAsia="宋体" w:cs="Times New Roman"/>
                <w:b/>
                <w:bCs/>
                <w:color w:val="auto"/>
                <w:sz w:val="24"/>
                <w:szCs w:val="24"/>
                <w:u w:val="none"/>
                <w:lang w:eastAsia="zh-CN"/>
              </w:rPr>
              <w:t>（</w:t>
            </w:r>
            <w:r>
              <w:rPr>
                <w:rFonts w:hint="eastAsia" w:ascii="Times New Roman" w:hAnsi="Times New Roman" w:eastAsia="宋体" w:cs="Times New Roman"/>
                <w:b/>
                <w:bCs/>
                <w:i w:val="0"/>
                <w:iCs w:val="0"/>
                <w:caps w:val="0"/>
                <w:color w:val="auto"/>
                <w:spacing w:val="0"/>
                <w:sz w:val="24"/>
                <w:szCs w:val="24"/>
                <w:u w:val="none"/>
                <w:shd w:val="clear" w:color="auto" w:fill="auto"/>
              </w:rPr>
              <w:t>国家环保部公告2013年第31号</w:t>
            </w:r>
            <w:r>
              <w:rPr>
                <w:rFonts w:hint="eastAsia" w:ascii="Times New Roman" w:hAnsi="Times New Roman" w:eastAsia="宋体" w:cs="Times New Roman"/>
                <w:b/>
                <w:bCs/>
                <w:color w:val="auto"/>
                <w:sz w:val="24"/>
                <w:szCs w:val="24"/>
                <w:u w:val="none"/>
                <w:lang w:eastAsia="zh-CN"/>
              </w:rPr>
              <w:t>）相符性分析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zCs w:val="21"/>
                <w:u w:val="none"/>
                <w:lang w:val="en-US" w:eastAsia="zh-CN"/>
              </w:rPr>
            </w:pPr>
            <w:r>
              <w:rPr>
                <w:rFonts w:hint="eastAsia"/>
                <w:b/>
                <w:bCs/>
                <w:color w:val="auto"/>
                <w:sz w:val="24"/>
                <w:szCs w:val="24"/>
                <w:u w:val="none"/>
                <w:lang w:val="en-US" w:eastAsia="zh-CN"/>
              </w:rPr>
              <w:t>表1-9</w:t>
            </w:r>
            <w:r>
              <w:rPr>
                <w:rFonts w:hint="eastAsia"/>
                <w:b/>
                <w:color w:val="auto"/>
                <w:sz w:val="24"/>
                <w:szCs w:val="24"/>
                <w:u w:val="none"/>
              </w:rPr>
              <w:t>与</w:t>
            </w:r>
            <w:r>
              <w:rPr>
                <w:b/>
                <w:bCs/>
                <w:color w:val="auto"/>
                <w:sz w:val="24"/>
                <w:szCs w:val="24"/>
                <w:u w:val="none"/>
              </w:rPr>
              <w:t>《挥发性有机物（</w:t>
            </w:r>
            <w:r>
              <w:rPr>
                <w:b/>
                <w:color w:val="auto"/>
                <w:sz w:val="24"/>
                <w:szCs w:val="24"/>
                <w:u w:val="none"/>
              </w:rPr>
              <w:t>VOCs</w:t>
            </w:r>
            <w:r>
              <w:rPr>
                <w:b/>
                <w:bCs/>
                <w:color w:val="auto"/>
                <w:sz w:val="24"/>
                <w:szCs w:val="24"/>
                <w:u w:val="none"/>
              </w:rPr>
              <w:t>）污染防治技术政策》符合性分析</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2"/>
              <w:gridCol w:w="2123"/>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3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b/>
                      <w:bCs/>
                      <w:color w:val="auto"/>
                      <w:szCs w:val="21"/>
                      <w:u w:val="none"/>
                    </w:rPr>
                  </w:pPr>
                  <w:r>
                    <w:rPr>
                      <w:rFonts w:hint="eastAsia"/>
                      <w:b/>
                      <w:bCs/>
                      <w:color w:val="auto"/>
                      <w:szCs w:val="21"/>
                      <w:u w:val="none"/>
                    </w:rPr>
                    <w:t>相关政策要求</w:t>
                  </w:r>
                </w:p>
              </w:tc>
              <w:tc>
                <w:tcPr>
                  <w:tcW w:w="2123"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b/>
                      <w:bCs/>
                      <w:color w:val="auto"/>
                      <w:szCs w:val="21"/>
                      <w:u w:val="none"/>
                    </w:rPr>
                  </w:pPr>
                  <w:r>
                    <w:rPr>
                      <w:rFonts w:hint="eastAsia"/>
                      <w:b/>
                      <w:bCs/>
                      <w:color w:val="auto"/>
                      <w:szCs w:val="21"/>
                      <w:u w:val="none"/>
                    </w:rPr>
                    <w:t>本项目情况</w:t>
                  </w:r>
                </w:p>
              </w:tc>
              <w:tc>
                <w:tcPr>
                  <w:tcW w:w="100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b/>
                      <w:bCs/>
                      <w:color w:val="auto"/>
                      <w:szCs w:val="21"/>
                      <w:u w:val="none"/>
                    </w:rPr>
                  </w:pPr>
                  <w:r>
                    <w:rPr>
                      <w:rFonts w:hint="eastAsia"/>
                      <w:b/>
                      <w:bCs/>
                      <w:color w:val="auto"/>
                      <w:szCs w:val="21"/>
                      <w:u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32" w:type="dxa"/>
                  <w:tcBorders>
                    <w:top w:val="single" w:color="auto" w:sz="4" w:space="0"/>
                    <w:left w:val="single" w:color="auto" w:sz="4" w:space="0"/>
                    <w:bottom w:val="single" w:color="auto" w:sz="4" w:space="0"/>
                    <w:right w:val="single" w:color="auto" w:sz="4" w:space="0"/>
                  </w:tcBorders>
                  <w:noWrap w:val="0"/>
                  <w:vAlign w:val="center"/>
                </w:tcPr>
                <w:p>
                  <w:pPr>
                    <w:pStyle w:val="117"/>
                    <w:rPr>
                      <w:rFonts w:ascii="Times New Roman" w:eastAsia="宋体" w:cs="Times New Roman"/>
                      <w:b/>
                      <w:color w:val="auto"/>
                      <w:kern w:val="2"/>
                      <w:sz w:val="21"/>
                      <w:szCs w:val="21"/>
                      <w:u w:val="none"/>
                      <w:lang w:eastAsia="zh-CN"/>
                    </w:rPr>
                  </w:pPr>
                  <w:r>
                    <w:rPr>
                      <w:rFonts w:hint="eastAsia" w:ascii="Times New Roman" w:eastAsia="宋体" w:cs="Times New Roman"/>
                      <w:b/>
                      <w:color w:val="auto"/>
                      <w:kern w:val="2"/>
                      <w:sz w:val="21"/>
                      <w:szCs w:val="21"/>
                      <w:u w:val="none"/>
                      <w:lang w:eastAsia="zh-CN"/>
                    </w:rPr>
                    <w:t>源头控制：</w:t>
                  </w:r>
                </w:p>
                <w:p>
                  <w:pPr>
                    <w:pStyle w:val="117"/>
                    <w:ind w:firstLine="0" w:firstLineChars="0"/>
                    <w:rPr>
                      <w:rFonts w:ascii="Times New Roman" w:eastAsia="宋体" w:cs="Times New Roman"/>
                      <w:color w:val="auto"/>
                      <w:kern w:val="2"/>
                      <w:sz w:val="21"/>
                      <w:szCs w:val="21"/>
                      <w:u w:val="none"/>
                      <w:lang w:eastAsia="zh-CN"/>
                    </w:rPr>
                  </w:pPr>
                  <w:r>
                    <w:rPr>
                      <w:rFonts w:hint="eastAsia" w:ascii="Times New Roman" w:eastAsia="宋体" w:cs="Times New Roman"/>
                      <w:color w:val="auto"/>
                      <w:kern w:val="2"/>
                      <w:sz w:val="21"/>
                      <w:szCs w:val="21"/>
                      <w:u w:val="none"/>
                      <w:lang w:eastAsia="zh-CN"/>
                    </w:rPr>
                    <w:t>（九）涂料、油墨、胶粘剂、农药等以VOCs为原料的生产行业的VOCs污染防治技术措施包括：</w:t>
                  </w:r>
                </w:p>
                <w:p>
                  <w:pPr>
                    <w:pStyle w:val="117"/>
                    <w:ind w:firstLine="0" w:firstLineChars="0"/>
                    <w:rPr>
                      <w:rFonts w:ascii="Times New Roman" w:eastAsia="宋体" w:cs="Times New Roman"/>
                      <w:color w:val="auto"/>
                      <w:kern w:val="2"/>
                      <w:sz w:val="21"/>
                      <w:szCs w:val="21"/>
                      <w:u w:val="none"/>
                      <w:lang w:eastAsia="zh-CN"/>
                    </w:rPr>
                  </w:pPr>
                  <w:r>
                    <w:rPr>
                      <w:rFonts w:hint="eastAsia" w:ascii="Times New Roman" w:eastAsia="宋体" w:cs="Times New Roman"/>
                      <w:color w:val="auto"/>
                      <w:kern w:val="2"/>
                      <w:sz w:val="21"/>
                      <w:szCs w:val="21"/>
                      <w:u w:val="none"/>
                      <w:lang w:eastAsia="zh-CN"/>
                    </w:rPr>
                    <w:t>1.鼓励符合环境标志产品技术要求的水基型、无有机溶剂型、低有机溶剂型的涂料、油墨和胶粘剂等的生产和销售；</w:t>
                  </w:r>
                </w:p>
                <w:p>
                  <w:pPr>
                    <w:pStyle w:val="117"/>
                    <w:ind w:firstLine="0" w:firstLineChars="0"/>
                    <w:rPr>
                      <w:rFonts w:ascii="Calibri" w:hAnsi="Calibri" w:eastAsia="宋体"/>
                      <w:color w:val="auto"/>
                      <w:szCs w:val="22"/>
                      <w:u w:val="none"/>
                    </w:rPr>
                  </w:pPr>
                  <w:r>
                    <w:rPr>
                      <w:rFonts w:hint="eastAsia" w:ascii="Times New Roman" w:eastAsia="宋体" w:cs="Times New Roman"/>
                      <w:color w:val="auto"/>
                      <w:kern w:val="2"/>
                      <w:sz w:val="21"/>
                      <w:szCs w:val="21"/>
                      <w:u w:val="none"/>
                      <w:lang w:eastAsia="zh-CN"/>
                    </w:rPr>
                    <w:t>2.鼓励采用密闭一体化生产技术，并对生产过程中产生的废气分类收集后处理</w:t>
                  </w:r>
                </w:p>
              </w:tc>
              <w:tc>
                <w:tcPr>
                  <w:tcW w:w="2123"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2"/>
                      <w:u w:val="none"/>
                    </w:rPr>
                  </w:pPr>
                  <w:r>
                    <w:rPr>
                      <w:rFonts w:hint="eastAsia"/>
                      <w:color w:val="auto"/>
                      <w:szCs w:val="22"/>
                      <w:u w:val="none"/>
                      <w:lang w:val="en-US" w:eastAsia="zh-CN"/>
                    </w:rPr>
                    <w:t>本项目VOCs产生源为聚苯乙烯颗粒注塑产生</w:t>
                  </w:r>
                  <w:r>
                    <w:rPr>
                      <w:rFonts w:hint="eastAsia"/>
                      <w:color w:val="auto"/>
                      <w:szCs w:val="22"/>
                      <w:u w:val="none"/>
                    </w:rPr>
                    <w:t>；项目</w:t>
                  </w:r>
                  <w:r>
                    <w:rPr>
                      <w:rFonts w:hint="eastAsia"/>
                      <w:color w:val="auto"/>
                      <w:szCs w:val="22"/>
                      <w:u w:val="none"/>
                      <w:lang w:val="en-US" w:eastAsia="zh-CN"/>
                    </w:rPr>
                    <w:t>VOCs产生工序均为封闭设备</w:t>
                  </w:r>
                  <w:r>
                    <w:rPr>
                      <w:rFonts w:hint="eastAsia"/>
                      <w:color w:val="auto"/>
                      <w:szCs w:val="22"/>
                      <w:u w:val="none"/>
                    </w:rPr>
                    <w:t>，</w:t>
                  </w:r>
                  <w:r>
                    <w:rPr>
                      <w:color w:val="auto"/>
                      <w:szCs w:val="22"/>
                      <w:u w:val="none"/>
                    </w:rPr>
                    <w:t>产生的有机废气</w:t>
                  </w:r>
                  <w:r>
                    <w:rPr>
                      <w:rFonts w:hint="eastAsia"/>
                      <w:color w:val="auto"/>
                      <w:szCs w:val="22"/>
                      <w:u w:val="none"/>
                    </w:rPr>
                    <w:t>经“</w:t>
                  </w:r>
                  <w:r>
                    <w:rPr>
                      <w:rFonts w:hint="eastAsia"/>
                      <w:color w:val="auto"/>
                      <w:szCs w:val="22"/>
                      <w:u w:val="none"/>
                      <w:lang w:eastAsia="zh-CN"/>
                    </w:rPr>
                    <w:t>两级活性炭吸附</w:t>
                  </w:r>
                  <w:r>
                    <w:rPr>
                      <w:rFonts w:hint="eastAsia"/>
                      <w:color w:val="auto"/>
                      <w:szCs w:val="22"/>
                      <w:u w:val="none"/>
                    </w:rPr>
                    <w:t>”处理</w:t>
                  </w:r>
                  <w:r>
                    <w:rPr>
                      <w:rFonts w:hint="eastAsia"/>
                      <w:color w:val="auto"/>
                      <w:szCs w:val="22"/>
                      <w:u w:val="none"/>
                      <w:lang w:val="en-US" w:eastAsia="zh-CN"/>
                    </w:rPr>
                    <w:t>达标</w:t>
                  </w:r>
                  <w:r>
                    <w:rPr>
                      <w:rFonts w:hint="eastAsia"/>
                      <w:color w:val="auto"/>
                      <w:szCs w:val="22"/>
                      <w:u w:val="none"/>
                    </w:rPr>
                    <w:t>后经</w:t>
                  </w:r>
                  <w:r>
                    <w:rPr>
                      <w:rFonts w:hint="eastAsia"/>
                      <w:color w:val="auto"/>
                      <w:szCs w:val="22"/>
                      <w:u w:val="none"/>
                      <w:lang w:val="en-US" w:eastAsia="zh-CN"/>
                    </w:rPr>
                    <w:t>15</w:t>
                  </w:r>
                  <w:r>
                    <w:rPr>
                      <w:rFonts w:hint="eastAsia"/>
                      <w:color w:val="auto"/>
                      <w:szCs w:val="22"/>
                      <w:u w:val="none"/>
                    </w:rPr>
                    <w:t>m</w:t>
                  </w:r>
                  <w:r>
                    <w:rPr>
                      <w:rFonts w:hint="eastAsia"/>
                      <w:color w:val="auto"/>
                      <w:szCs w:val="22"/>
                      <w:u w:val="none"/>
                      <w:lang w:val="en-US" w:eastAsia="zh-CN"/>
                    </w:rPr>
                    <w:t>高</w:t>
                  </w:r>
                  <w:r>
                    <w:rPr>
                      <w:rFonts w:hint="eastAsia"/>
                      <w:color w:val="auto"/>
                      <w:szCs w:val="22"/>
                      <w:u w:val="none"/>
                    </w:rPr>
                    <w:t>排气筒排放</w:t>
                  </w:r>
                </w:p>
              </w:tc>
              <w:tc>
                <w:tcPr>
                  <w:tcW w:w="100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bCs/>
                      <w:color w:val="auto"/>
                      <w:szCs w:val="21"/>
                      <w:u w:val="none"/>
                    </w:rPr>
                  </w:pPr>
                  <w:r>
                    <w:rPr>
                      <w:rFonts w:hint="eastAsia"/>
                      <w:bCs/>
                      <w:color w:val="auto"/>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32" w:type="dxa"/>
                  <w:tcBorders>
                    <w:top w:val="single" w:color="auto" w:sz="4" w:space="0"/>
                    <w:left w:val="single" w:color="auto" w:sz="4" w:space="0"/>
                    <w:bottom w:val="single" w:color="auto" w:sz="4" w:space="0"/>
                    <w:right w:val="single" w:color="auto" w:sz="4" w:space="0"/>
                  </w:tcBorders>
                  <w:noWrap w:val="0"/>
                  <w:vAlign w:val="center"/>
                </w:tcPr>
                <w:p>
                  <w:pPr>
                    <w:rPr>
                      <w:b/>
                      <w:color w:val="auto"/>
                      <w:u w:val="none"/>
                    </w:rPr>
                  </w:pPr>
                  <w:r>
                    <w:rPr>
                      <w:rFonts w:hint="eastAsia"/>
                      <w:b/>
                      <w:color w:val="auto"/>
                      <w:u w:val="none"/>
                    </w:rPr>
                    <w:t>末端治理与综合利用：</w:t>
                  </w:r>
                </w:p>
                <w:p>
                  <w:pPr>
                    <w:jc w:val="left"/>
                    <w:rPr>
                      <w:color w:val="auto"/>
                      <w:u w:val="none"/>
                    </w:rPr>
                  </w:pPr>
                  <w:r>
                    <w:rPr>
                      <w:rFonts w:hint="eastAsia"/>
                      <w:color w:val="auto"/>
                      <w:u w:val="none"/>
                    </w:rPr>
                    <w:t>（十二）在工业生产过程中鼓励VOCs的回收利用，并优先鼓励在生产系统内回用（十三）对于含高浓度VOCs的废气，宜优先采用冷凝回收、吸附回收技术进行回收利用，并辅助以其他治理技术实现达标排放</w:t>
                  </w:r>
                </w:p>
                <w:p>
                  <w:pPr>
                    <w:jc w:val="left"/>
                    <w:rPr>
                      <w:color w:val="auto"/>
                      <w:u w:val="none"/>
                    </w:rPr>
                  </w:pPr>
                  <w:r>
                    <w:rPr>
                      <w:rFonts w:hint="eastAsia"/>
                      <w:color w:val="auto"/>
                      <w:u w:val="none"/>
                    </w:rPr>
                    <w:t>（十四）对于含中等浓度VOCs的废气，可采用吸附技术回收有机溶剂，或采用催化燃烧和热力焚烧技术净化后达标排放。当采用催化燃烧和热力焚烧技术进行净化时，应进行余热回收利用</w:t>
                  </w:r>
                </w:p>
                <w:p>
                  <w:pPr>
                    <w:jc w:val="left"/>
                    <w:rPr>
                      <w:color w:val="auto"/>
                      <w:u w:val="none"/>
                    </w:rPr>
                  </w:pPr>
                  <w:r>
                    <w:rPr>
                      <w:rFonts w:hint="eastAsia"/>
                      <w:color w:val="auto"/>
                      <w:u w:val="none"/>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jc w:val="left"/>
                    <w:rPr>
                      <w:color w:val="auto"/>
                      <w:u w:val="none"/>
                    </w:rPr>
                  </w:pPr>
                  <w:r>
                    <w:rPr>
                      <w:rFonts w:hint="eastAsia"/>
                      <w:color w:val="auto"/>
                      <w:u w:val="none"/>
                    </w:rPr>
                    <w:t>（十六）含有有机卤素成分VOCs的废气，宜采用非焚烧技术处理</w:t>
                  </w:r>
                </w:p>
                <w:p>
                  <w:pPr>
                    <w:jc w:val="left"/>
                    <w:rPr>
                      <w:color w:val="auto"/>
                      <w:u w:val="none"/>
                    </w:rPr>
                  </w:pPr>
                  <w:r>
                    <w:rPr>
                      <w:rFonts w:hint="eastAsia"/>
                      <w:color w:val="auto"/>
                      <w:u w:val="none"/>
                    </w:rPr>
                    <w:t>（十七）恶臭气体污染源可采用生物技术、等离子体技术、吸附技术、吸收技术、紫外光高级氧化技术或组合技术等进行净化。净化后的恶臭气体除满足达标排放的要求外，还应采取高空排放等措施，避免产生扰民问题</w:t>
                  </w:r>
                </w:p>
                <w:p>
                  <w:pPr>
                    <w:jc w:val="left"/>
                    <w:rPr>
                      <w:color w:val="auto"/>
                      <w:u w:val="none"/>
                    </w:rPr>
                  </w:pPr>
                  <w:r>
                    <w:rPr>
                      <w:rFonts w:hint="eastAsia"/>
                      <w:color w:val="auto"/>
                      <w:u w:val="none"/>
                    </w:rPr>
                    <w:t>（十八）在餐饮服务业推广使用具有油雾回收功能的油烟抽排装置，并根据规模、场地和气候条件等采用高效油烟与VOCs净化装置净化后达标排放</w:t>
                  </w:r>
                </w:p>
                <w:p>
                  <w:pPr>
                    <w:jc w:val="left"/>
                    <w:rPr>
                      <w:color w:val="auto"/>
                      <w:u w:val="none"/>
                    </w:rPr>
                  </w:pPr>
                  <w:r>
                    <w:rPr>
                      <w:rFonts w:hint="eastAsia"/>
                      <w:color w:val="auto"/>
                      <w:u w:val="none"/>
                    </w:rPr>
                    <w:t>（十九）严格控制VOCs理过程中产生的二次污染，对于催化燃烧和热力焚烧过程中产生的含硫、氮、氯等无机废气，以及吸附、吸收、冷凝、生物等治理过程中所产生的含有机物废水，应处理后达标排放</w:t>
                  </w:r>
                </w:p>
                <w:p>
                  <w:pPr>
                    <w:jc w:val="left"/>
                    <w:rPr>
                      <w:color w:val="auto"/>
                      <w:u w:val="none"/>
                    </w:rPr>
                  </w:pPr>
                  <w:r>
                    <w:rPr>
                      <w:rFonts w:hint="eastAsia"/>
                      <w:color w:val="auto"/>
                      <w:u w:val="none"/>
                    </w:rPr>
                    <w:t>（二十）对于不能再生的过滤材料、吸附剂及催化剂等净化材料，应按照国家固体</w:t>
                  </w:r>
                </w:p>
              </w:tc>
              <w:tc>
                <w:tcPr>
                  <w:tcW w:w="2123"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u w:val="none"/>
                    </w:rPr>
                  </w:pPr>
                  <w:r>
                    <w:rPr>
                      <w:rFonts w:hint="eastAsia"/>
                      <w:color w:val="auto"/>
                      <w:szCs w:val="22"/>
                      <w:u w:val="none"/>
                      <w:lang w:eastAsia="zh-CN"/>
                    </w:rPr>
                    <w:t>本项目有机废气不宜回收</w:t>
                  </w:r>
                  <w:r>
                    <w:rPr>
                      <w:rFonts w:hint="eastAsia"/>
                      <w:color w:val="auto"/>
                      <w:szCs w:val="22"/>
                      <w:u w:val="none"/>
                    </w:rPr>
                    <w:t>，</w:t>
                  </w:r>
                  <w:r>
                    <w:rPr>
                      <w:color w:val="auto"/>
                      <w:szCs w:val="22"/>
                      <w:u w:val="none"/>
                    </w:rPr>
                    <w:t>产生的有机废气</w:t>
                  </w:r>
                  <w:r>
                    <w:rPr>
                      <w:rFonts w:hint="eastAsia"/>
                      <w:color w:val="auto"/>
                      <w:szCs w:val="22"/>
                      <w:u w:val="none"/>
                      <w:lang w:eastAsia="zh-CN"/>
                    </w:rPr>
                    <w:t>、恶臭气体采用吸附技术，注塑废气</w:t>
                  </w:r>
                  <w:r>
                    <w:rPr>
                      <w:rFonts w:hint="eastAsia"/>
                      <w:color w:val="auto"/>
                      <w:szCs w:val="22"/>
                      <w:u w:val="none"/>
                    </w:rPr>
                    <w:t>经“</w:t>
                  </w:r>
                  <w:r>
                    <w:rPr>
                      <w:rFonts w:hint="eastAsia"/>
                      <w:color w:val="auto"/>
                      <w:szCs w:val="22"/>
                      <w:u w:val="none"/>
                      <w:lang w:eastAsia="zh-CN"/>
                    </w:rPr>
                    <w:t>两级活性炭吸附</w:t>
                  </w:r>
                  <w:r>
                    <w:rPr>
                      <w:rFonts w:hint="eastAsia"/>
                      <w:color w:val="auto"/>
                      <w:szCs w:val="22"/>
                      <w:u w:val="none"/>
                    </w:rPr>
                    <w:t>”处理</w:t>
                  </w:r>
                  <w:r>
                    <w:rPr>
                      <w:rFonts w:hint="eastAsia"/>
                      <w:color w:val="auto"/>
                      <w:szCs w:val="22"/>
                      <w:u w:val="none"/>
                      <w:lang w:val="en-US" w:eastAsia="zh-CN"/>
                    </w:rPr>
                    <w:t>达标</w:t>
                  </w:r>
                  <w:r>
                    <w:rPr>
                      <w:rFonts w:hint="eastAsia"/>
                      <w:color w:val="auto"/>
                      <w:szCs w:val="22"/>
                      <w:u w:val="none"/>
                    </w:rPr>
                    <w:t>后经</w:t>
                  </w:r>
                  <w:r>
                    <w:rPr>
                      <w:rFonts w:hint="eastAsia"/>
                      <w:color w:val="auto"/>
                      <w:szCs w:val="22"/>
                      <w:u w:val="none"/>
                      <w:lang w:val="en-US" w:eastAsia="zh-CN"/>
                    </w:rPr>
                    <w:t>15</w:t>
                  </w:r>
                  <w:r>
                    <w:rPr>
                      <w:rFonts w:hint="eastAsia"/>
                      <w:color w:val="auto"/>
                      <w:szCs w:val="22"/>
                      <w:u w:val="none"/>
                    </w:rPr>
                    <w:t>m</w:t>
                  </w:r>
                  <w:r>
                    <w:rPr>
                      <w:rFonts w:hint="eastAsia"/>
                      <w:color w:val="auto"/>
                      <w:szCs w:val="22"/>
                      <w:u w:val="none"/>
                      <w:lang w:val="en-US" w:eastAsia="zh-CN"/>
                    </w:rPr>
                    <w:t>高</w:t>
                  </w:r>
                  <w:r>
                    <w:rPr>
                      <w:rFonts w:hint="eastAsia"/>
                      <w:color w:val="auto"/>
                      <w:szCs w:val="22"/>
                      <w:u w:val="none"/>
                    </w:rPr>
                    <w:t>排气筒排放</w:t>
                  </w:r>
                </w:p>
              </w:tc>
              <w:tc>
                <w:tcPr>
                  <w:tcW w:w="1009"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u w:val="none"/>
                    </w:rPr>
                  </w:pPr>
                  <w:r>
                    <w:rPr>
                      <w:rFonts w:hint="eastAsia"/>
                      <w:color w:val="auto"/>
                      <w:u w:val="none"/>
                    </w:rPr>
                    <w:t>符合</w:t>
                  </w:r>
                </w:p>
              </w:tc>
            </w:tr>
          </w:tbl>
          <w:p>
            <w:pPr>
              <w:spacing w:line="360" w:lineRule="auto"/>
              <w:ind w:firstLine="0" w:firstLineChars="0"/>
              <w:jc w:val="left"/>
              <w:rPr>
                <w:rFonts w:hint="eastAsia"/>
                <w:b/>
                <w:bCs/>
                <w:color w:val="auto"/>
                <w:sz w:val="24"/>
                <w:szCs w:val="24"/>
                <w:u w:val="none"/>
                <w:lang w:val="en-US" w:eastAsia="zh-CN"/>
              </w:rPr>
            </w:pPr>
            <w:r>
              <w:rPr>
                <w:rFonts w:hint="eastAsia"/>
                <w:b/>
                <w:color w:val="auto"/>
                <w:sz w:val="24"/>
                <w:szCs w:val="24"/>
                <w:u w:val="none"/>
                <w:lang w:val="en-US" w:eastAsia="zh-CN"/>
              </w:rPr>
              <w:t>8、</w:t>
            </w:r>
            <w:r>
              <w:rPr>
                <w:rFonts w:hint="eastAsia"/>
                <w:b/>
                <w:color w:val="auto"/>
                <w:sz w:val="24"/>
                <w:szCs w:val="24"/>
                <w:u w:val="none"/>
              </w:rPr>
              <w:t>与</w:t>
            </w:r>
            <w:r>
              <w:rPr>
                <w:rFonts w:hint="eastAsia"/>
                <w:b/>
                <w:bCs/>
                <w:color w:val="auto"/>
                <w:sz w:val="24"/>
                <w:szCs w:val="24"/>
                <w:u w:val="none"/>
              </w:rPr>
              <w:t>《挥发性有机物无组织排放控制标准》(GB37822-2019)的符合性分析</w:t>
            </w:r>
          </w:p>
          <w:p>
            <w:pPr>
              <w:spacing w:line="240" w:lineRule="auto"/>
              <w:ind w:firstLine="482" w:firstLineChars="200"/>
              <w:jc w:val="center"/>
              <w:rPr>
                <w:rFonts w:hint="default" w:eastAsia="宋体"/>
                <w:b/>
                <w:bCs/>
                <w:color w:val="auto"/>
                <w:szCs w:val="21"/>
                <w:u w:val="none"/>
                <w:lang w:val="en-US" w:eastAsia="zh-CN"/>
              </w:rPr>
            </w:pPr>
            <w:r>
              <w:rPr>
                <w:rFonts w:hint="eastAsia"/>
                <w:b/>
                <w:bCs/>
                <w:color w:val="auto"/>
                <w:sz w:val="24"/>
                <w:szCs w:val="24"/>
                <w:u w:val="none"/>
                <w:lang w:val="en-US" w:eastAsia="zh-CN"/>
              </w:rPr>
              <w:t>表1-10</w:t>
            </w:r>
            <w:r>
              <w:rPr>
                <w:rFonts w:hint="eastAsia"/>
                <w:b/>
                <w:color w:val="auto"/>
                <w:sz w:val="24"/>
                <w:szCs w:val="24"/>
                <w:u w:val="none"/>
              </w:rPr>
              <w:t>与</w:t>
            </w:r>
            <w:r>
              <w:rPr>
                <w:rFonts w:hint="eastAsia"/>
                <w:b/>
                <w:bCs/>
                <w:color w:val="auto"/>
                <w:sz w:val="24"/>
                <w:szCs w:val="24"/>
                <w:u w:val="none"/>
              </w:rPr>
              <w:t>《挥发性有机物无组织排放控制标准》的符合性分析</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5281"/>
              <w:gridCol w:w="1562"/>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noWrap w:val="0"/>
                  <w:vAlign w:val="center"/>
                </w:tcPr>
                <w:p>
                  <w:pPr>
                    <w:jc w:val="center"/>
                    <w:rPr>
                      <w:b/>
                      <w:color w:val="auto"/>
                      <w:u w:val="none"/>
                    </w:rPr>
                  </w:pPr>
                  <w:r>
                    <w:rPr>
                      <w:b/>
                      <w:color w:val="auto"/>
                      <w:u w:val="none"/>
                    </w:rPr>
                    <w:t>基本原则</w:t>
                  </w:r>
                </w:p>
              </w:tc>
              <w:tc>
                <w:tcPr>
                  <w:tcW w:w="5146" w:type="dxa"/>
                  <w:noWrap w:val="0"/>
                  <w:vAlign w:val="center"/>
                </w:tcPr>
                <w:p>
                  <w:pPr>
                    <w:jc w:val="center"/>
                    <w:rPr>
                      <w:b/>
                      <w:color w:val="auto"/>
                      <w:u w:val="none"/>
                    </w:rPr>
                  </w:pPr>
                  <w:r>
                    <w:rPr>
                      <w:b/>
                      <w:color w:val="auto"/>
                      <w:u w:val="none"/>
                    </w:rPr>
                    <w:t>（GB37822-2019）具体规定</w:t>
                  </w:r>
                </w:p>
              </w:tc>
              <w:tc>
                <w:tcPr>
                  <w:tcW w:w="1522" w:type="dxa"/>
                  <w:noWrap w:val="0"/>
                  <w:vAlign w:val="center"/>
                </w:tcPr>
                <w:p>
                  <w:pPr>
                    <w:jc w:val="center"/>
                    <w:rPr>
                      <w:b/>
                      <w:color w:val="auto"/>
                      <w:u w:val="none"/>
                    </w:rPr>
                  </w:pPr>
                  <w:r>
                    <w:rPr>
                      <w:b/>
                      <w:color w:val="auto"/>
                      <w:u w:val="none"/>
                    </w:rPr>
                    <w:t>本项目情况</w:t>
                  </w:r>
                </w:p>
              </w:tc>
              <w:tc>
                <w:tcPr>
                  <w:tcW w:w="956" w:type="dxa"/>
                  <w:noWrap w:val="0"/>
                  <w:vAlign w:val="center"/>
                </w:tcPr>
                <w:p>
                  <w:pPr>
                    <w:jc w:val="center"/>
                    <w:rPr>
                      <w:b/>
                      <w:color w:val="auto"/>
                      <w:u w:val="none"/>
                    </w:rPr>
                  </w:pPr>
                  <w:r>
                    <w:rPr>
                      <w:rFonts w:hint="eastAsia"/>
                      <w:b/>
                      <w:bCs/>
                      <w:color w:val="auto"/>
                      <w:szCs w:val="21"/>
                      <w:u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noWrap w:val="0"/>
                  <w:vAlign w:val="center"/>
                </w:tcPr>
                <w:p>
                  <w:pPr>
                    <w:jc w:val="center"/>
                    <w:rPr>
                      <w:color w:val="auto"/>
                      <w:u w:val="none"/>
                    </w:rPr>
                  </w:pPr>
                  <w:r>
                    <w:rPr>
                      <w:color w:val="auto"/>
                      <w:u w:val="none"/>
                    </w:rPr>
                    <w:t>VOCs物料储存无组织排放控制要求</w:t>
                  </w:r>
                </w:p>
              </w:tc>
              <w:tc>
                <w:tcPr>
                  <w:tcW w:w="5146" w:type="dxa"/>
                  <w:noWrap w:val="0"/>
                  <w:vAlign w:val="center"/>
                </w:tcPr>
                <w:p>
                  <w:pPr>
                    <w:jc w:val="both"/>
                    <w:rPr>
                      <w:color w:val="auto"/>
                      <w:u w:val="none"/>
                    </w:rPr>
                  </w:pPr>
                  <w:r>
                    <w:rPr>
                      <w:color w:val="auto"/>
                      <w:u w:val="none"/>
                    </w:rPr>
                    <w:t>1、VOCs物料应储存于密闭的容器、包装袋、储罐、储库、料仓中</w:t>
                  </w:r>
                </w:p>
                <w:p>
                  <w:pPr>
                    <w:jc w:val="both"/>
                    <w:rPr>
                      <w:color w:val="auto"/>
                      <w:u w:val="none"/>
                    </w:rPr>
                  </w:pPr>
                  <w:r>
                    <w:rPr>
                      <w:color w:val="auto"/>
                      <w:u w:val="none"/>
                    </w:rPr>
                    <w:t>2、盛装VOCs物料的容器或包装袋应存放于室内，或存放于设置有雨棚、遮阳和防渗设施的专用场地。盛装VOCs物料的容器或包装袋在非取用状态时应加盖、封口，保持密闭。</w:t>
                  </w:r>
                </w:p>
              </w:tc>
              <w:tc>
                <w:tcPr>
                  <w:tcW w:w="1522" w:type="dxa"/>
                  <w:noWrap w:val="0"/>
                  <w:vAlign w:val="center"/>
                </w:tcPr>
                <w:p>
                  <w:pPr>
                    <w:jc w:val="center"/>
                    <w:rPr>
                      <w:color w:val="auto"/>
                      <w:u w:val="none"/>
                    </w:rPr>
                  </w:pPr>
                  <w:r>
                    <w:rPr>
                      <w:rFonts w:hint="eastAsia"/>
                      <w:color w:val="auto"/>
                      <w:szCs w:val="22"/>
                      <w:u w:val="none"/>
                      <w:lang w:val="en-US" w:eastAsia="zh-CN"/>
                    </w:rPr>
                    <w:t>本</w:t>
                  </w:r>
                  <w:r>
                    <w:rPr>
                      <w:rFonts w:hint="eastAsia"/>
                      <w:b w:val="0"/>
                      <w:bCs w:val="0"/>
                      <w:color w:val="auto"/>
                      <w:szCs w:val="22"/>
                      <w:u w:val="none"/>
                      <w:lang w:val="en-US" w:eastAsia="zh-CN"/>
                    </w:rPr>
                    <w:t>项目VOCs产生源为</w:t>
                  </w:r>
                  <w:r>
                    <w:rPr>
                      <w:rFonts w:hint="eastAsia"/>
                      <w:color w:val="auto"/>
                      <w:szCs w:val="22"/>
                      <w:u w:val="none"/>
                      <w:lang w:val="en-US" w:eastAsia="zh-CN"/>
                    </w:rPr>
                    <w:t>聚苯乙烯颗粒</w:t>
                  </w:r>
                  <w:r>
                    <w:rPr>
                      <w:rFonts w:hint="eastAsia"/>
                      <w:b w:val="0"/>
                      <w:bCs w:val="0"/>
                      <w:color w:val="auto"/>
                      <w:szCs w:val="22"/>
                      <w:u w:val="none"/>
                      <w:lang w:val="en-US" w:eastAsia="zh-CN"/>
                    </w:rPr>
                    <w:t>注塑产生，物料存放过程中无VOCs产</w:t>
                  </w:r>
                  <w:r>
                    <w:rPr>
                      <w:rFonts w:hint="eastAsia"/>
                      <w:color w:val="auto"/>
                      <w:szCs w:val="22"/>
                      <w:u w:val="none"/>
                      <w:lang w:val="en-US" w:eastAsia="zh-CN"/>
                    </w:rPr>
                    <w:t>生</w:t>
                  </w:r>
                </w:p>
              </w:tc>
              <w:tc>
                <w:tcPr>
                  <w:tcW w:w="956" w:type="dxa"/>
                  <w:noWrap w:val="0"/>
                  <w:vAlign w:val="center"/>
                </w:tcPr>
                <w:p>
                  <w:pPr>
                    <w:jc w:val="center"/>
                    <w:rPr>
                      <w:color w:val="auto"/>
                      <w:u w:val="none"/>
                    </w:rPr>
                  </w:pPr>
                  <w:r>
                    <w:rPr>
                      <w:color w:val="auto"/>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noWrap w:val="0"/>
                  <w:vAlign w:val="center"/>
                </w:tcPr>
                <w:p>
                  <w:pPr>
                    <w:jc w:val="center"/>
                    <w:rPr>
                      <w:color w:val="auto"/>
                      <w:u w:val="none"/>
                    </w:rPr>
                  </w:pPr>
                  <w:r>
                    <w:rPr>
                      <w:color w:val="auto"/>
                      <w:u w:val="none"/>
                    </w:rPr>
                    <w:t>VOCs物料转移和输送无组织排放控制要求</w:t>
                  </w:r>
                </w:p>
              </w:tc>
              <w:tc>
                <w:tcPr>
                  <w:tcW w:w="5146" w:type="dxa"/>
                  <w:noWrap w:val="0"/>
                  <w:vAlign w:val="center"/>
                </w:tcPr>
                <w:p>
                  <w:pPr>
                    <w:jc w:val="both"/>
                    <w:rPr>
                      <w:color w:val="auto"/>
                      <w:u w:val="none"/>
                    </w:rPr>
                  </w:pPr>
                  <w:r>
                    <w:rPr>
                      <w:color w:val="auto"/>
                      <w:u w:val="none"/>
                    </w:rPr>
                    <w:t>1、液态VOCs物料应采用密闭管道输送。采用非管道输送方式转移液态VOCs物料时，应采用密闭容器、罐车。</w:t>
                  </w:r>
                </w:p>
                <w:p>
                  <w:pPr>
                    <w:jc w:val="both"/>
                    <w:rPr>
                      <w:color w:val="auto"/>
                      <w:u w:val="none"/>
                    </w:rPr>
                  </w:pPr>
                  <w:r>
                    <w:rPr>
                      <w:color w:val="auto"/>
                      <w:u w:val="none"/>
                    </w:rPr>
                    <w:t>2、粉状、粒状VOCs物料应采用气力输送设备、管状带式输送机、螺旋输送机等密闭输送方式，或者采用密闭的包装袋、容器或罐车进行物料转移。</w:t>
                  </w:r>
                </w:p>
              </w:tc>
              <w:tc>
                <w:tcPr>
                  <w:tcW w:w="1522" w:type="dxa"/>
                  <w:noWrap w:val="0"/>
                  <w:vAlign w:val="center"/>
                </w:tcPr>
                <w:p>
                  <w:pPr>
                    <w:jc w:val="center"/>
                    <w:rPr>
                      <w:rFonts w:hint="default"/>
                      <w:color w:val="auto"/>
                      <w:u w:val="none"/>
                      <w:lang w:val="en-US"/>
                    </w:rPr>
                  </w:pPr>
                  <w:r>
                    <w:rPr>
                      <w:rFonts w:hint="eastAsia"/>
                      <w:color w:val="auto"/>
                      <w:szCs w:val="22"/>
                      <w:u w:val="none"/>
                      <w:lang w:val="en-US" w:eastAsia="zh-CN"/>
                    </w:rPr>
                    <w:t>本项目聚苯乙烯颗粒转移、输送过程中无VOCs产生</w:t>
                  </w:r>
                </w:p>
              </w:tc>
              <w:tc>
                <w:tcPr>
                  <w:tcW w:w="956" w:type="dxa"/>
                  <w:noWrap w:val="0"/>
                  <w:vAlign w:val="center"/>
                </w:tcPr>
                <w:p>
                  <w:pPr>
                    <w:jc w:val="center"/>
                    <w:rPr>
                      <w:color w:val="auto"/>
                      <w:u w:val="none"/>
                    </w:rPr>
                  </w:pPr>
                  <w:r>
                    <w:rPr>
                      <w:color w:val="auto"/>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noWrap w:val="0"/>
                  <w:vAlign w:val="center"/>
                </w:tcPr>
                <w:p>
                  <w:pPr>
                    <w:jc w:val="center"/>
                    <w:rPr>
                      <w:color w:val="auto"/>
                      <w:u w:val="none"/>
                    </w:rPr>
                  </w:pPr>
                  <w:r>
                    <w:rPr>
                      <w:color w:val="auto"/>
                      <w:u w:val="none"/>
                    </w:rPr>
                    <w:t>工艺过程VOCs无组织排放控制要求</w:t>
                  </w:r>
                </w:p>
              </w:tc>
              <w:tc>
                <w:tcPr>
                  <w:tcW w:w="5146" w:type="dxa"/>
                  <w:noWrap w:val="0"/>
                  <w:vAlign w:val="center"/>
                </w:tcPr>
                <w:p>
                  <w:pPr>
                    <w:jc w:val="both"/>
                    <w:rPr>
                      <w:color w:val="auto"/>
                      <w:u w:val="none"/>
                    </w:rPr>
                  </w:pPr>
                  <w:r>
                    <w:rPr>
                      <w:color w:val="auto"/>
                      <w:u w:val="none"/>
                    </w:rPr>
                    <w:t>1、VOCs质量占比大于等于10%的含VOCs产品，其使用过程应采用密闭设备或在密闭空间内操作，废气应排至VOCs废气收集处理系统；无法密闭的，应采取局部气体收集措施，废气应排至VOCs废气收集处理系统。</w:t>
                  </w:r>
                </w:p>
                <w:p>
                  <w:pPr>
                    <w:jc w:val="both"/>
                    <w:rPr>
                      <w:color w:val="auto"/>
                      <w:u w:val="none"/>
                    </w:rPr>
                  </w:pPr>
                  <w:r>
                    <w:rPr>
                      <w:color w:val="auto"/>
                      <w:u w:val="none"/>
                    </w:rPr>
                    <w:t>2、其他要求：</w:t>
                  </w:r>
                  <w:r>
                    <w:rPr>
                      <w:rFonts w:hint="eastAsia" w:ascii="宋体" w:hAnsi="宋体" w:cs="宋体"/>
                      <w:color w:val="auto"/>
                      <w:u w:val="none"/>
                    </w:rPr>
                    <w:t>①</w:t>
                  </w:r>
                  <w:r>
                    <w:rPr>
                      <w:color w:val="auto"/>
                      <w:u w:val="none"/>
                    </w:rPr>
                    <w:t>企业应建立台账，记录含VOCs原辅材料和含VOCs产品的名称、使用量、回收量、废弃量、去向以及VOCs含量等信息。台账保存期限不少于3年；</w:t>
                  </w:r>
                  <w:r>
                    <w:rPr>
                      <w:rFonts w:hint="eastAsia" w:ascii="宋体" w:hAnsi="宋体" w:cs="宋体"/>
                      <w:color w:val="auto"/>
                      <w:u w:val="none"/>
                    </w:rPr>
                    <w:t>②</w:t>
                  </w:r>
                  <w:r>
                    <w:rPr>
                      <w:color w:val="auto"/>
                      <w:u w:val="none"/>
                    </w:rPr>
                    <w:t>通风生产设备、操作工位、车间厂房等应在符合安全生产、职业卫生相关规定的前提下，</w:t>
                  </w:r>
                  <w:r>
                    <w:rPr>
                      <w:rFonts w:hint="eastAsia"/>
                      <w:color w:val="auto"/>
                      <w:u w:val="none"/>
                    </w:rPr>
                    <w:t>根据</w:t>
                  </w:r>
                  <w:r>
                    <w:rPr>
                      <w:color w:val="auto"/>
                      <w:u w:val="none"/>
                    </w:rPr>
                    <w:t>行业作业规程与标准</w:t>
                  </w:r>
                  <w:r>
                    <w:rPr>
                      <w:color w:val="auto"/>
                      <w:u w:val="none"/>
                    </w:rPr>
                    <w:cr/>
                  </w:r>
                  <w:r>
                    <w:rPr>
                      <w:color w:val="auto"/>
                      <w:u w:val="none"/>
                    </w:rPr>
                    <w:t>工业建筑及洁净厂房通风设计规范等的要求，采用合理的通风量。</w:t>
                  </w:r>
                  <w:r>
                    <w:rPr>
                      <w:rFonts w:hint="eastAsia" w:ascii="宋体" w:hAnsi="宋体" w:cs="宋体"/>
                      <w:color w:val="auto"/>
                      <w:u w:val="none"/>
                    </w:rPr>
                    <w:t>③</w:t>
                  </w:r>
                  <w:r>
                    <w:rPr>
                      <w:color w:val="auto"/>
                      <w:u w:val="none"/>
                    </w:rPr>
                    <w:t>载有VOCs物料的</w:t>
                  </w:r>
                  <w:r>
                    <w:rPr>
                      <w:rFonts w:hint="eastAsia"/>
                      <w:color w:val="auto"/>
                      <w:u w:val="none"/>
                    </w:rPr>
                    <w:t>设</w:t>
                  </w:r>
                  <w:r>
                    <w:rPr>
                      <w:color w:val="auto"/>
                      <w:u w:val="none"/>
                    </w:rPr>
                    <w:t>备及其管道在开停工(车)、检维修和清洗时，应在退料阶段将残存物料退净，并用密闭容器盛装，退料过程废气应排至VOCs废气收集处理</w:t>
                  </w:r>
                  <w:r>
                    <w:rPr>
                      <w:rFonts w:hint="eastAsia"/>
                      <w:color w:val="auto"/>
                      <w:u w:val="none"/>
                    </w:rPr>
                    <w:t>系统</w:t>
                  </w:r>
                  <w:r>
                    <w:rPr>
                      <w:color w:val="auto"/>
                      <w:u w:val="none"/>
                    </w:rPr>
                    <w:t>；清洗及吹扫过程排气应排至VOCs废气收集处理系统。工艺</w:t>
                  </w:r>
                  <w:r>
                    <w:rPr>
                      <w:rFonts w:hint="eastAsia"/>
                      <w:color w:val="auto"/>
                      <w:u w:val="none"/>
                    </w:rPr>
                    <w:t>过</w:t>
                  </w:r>
                  <w:r>
                    <w:rPr>
                      <w:color w:val="auto"/>
                      <w:u w:val="none"/>
                    </w:rPr>
                    <w:t>程产生的含VOCs废料(渣、液)应按照第5章第6章的要求进行储存、转移和输送。盛装过VOCs物料的废包装容器应加盖密闭。</w:t>
                  </w:r>
                </w:p>
              </w:tc>
              <w:tc>
                <w:tcPr>
                  <w:tcW w:w="1522" w:type="dxa"/>
                  <w:noWrap w:val="0"/>
                  <w:vAlign w:val="center"/>
                </w:tcPr>
                <w:p>
                  <w:pPr>
                    <w:jc w:val="center"/>
                    <w:rPr>
                      <w:color w:val="auto"/>
                      <w:u w:val="none"/>
                    </w:rPr>
                  </w:pPr>
                  <w:r>
                    <w:rPr>
                      <w:rFonts w:hint="eastAsia"/>
                      <w:color w:val="auto"/>
                      <w:szCs w:val="22"/>
                      <w:u w:val="none"/>
                    </w:rPr>
                    <w:t>项目</w:t>
                  </w:r>
                  <w:r>
                    <w:rPr>
                      <w:rFonts w:hint="eastAsia"/>
                      <w:color w:val="auto"/>
                      <w:szCs w:val="22"/>
                      <w:u w:val="none"/>
                      <w:lang w:val="en-US" w:eastAsia="zh-CN"/>
                    </w:rPr>
                    <w:t>VOCs产生工序均为封闭设备</w:t>
                  </w:r>
                  <w:r>
                    <w:rPr>
                      <w:rFonts w:hint="eastAsia"/>
                      <w:color w:val="auto"/>
                      <w:szCs w:val="22"/>
                      <w:u w:val="none"/>
                    </w:rPr>
                    <w:t>，</w:t>
                  </w:r>
                  <w:r>
                    <w:rPr>
                      <w:color w:val="auto"/>
                      <w:szCs w:val="22"/>
                      <w:u w:val="none"/>
                    </w:rPr>
                    <w:t>产生的有机废气</w:t>
                  </w:r>
                  <w:r>
                    <w:rPr>
                      <w:rFonts w:hint="eastAsia"/>
                      <w:color w:val="auto"/>
                      <w:szCs w:val="22"/>
                      <w:u w:val="none"/>
                    </w:rPr>
                    <w:t>经“</w:t>
                  </w:r>
                  <w:r>
                    <w:rPr>
                      <w:rFonts w:hint="eastAsia"/>
                      <w:color w:val="auto"/>
                      <w:szCs w:val="22"/>
                      <w:u w:val="none"/>
                      <w:lang w:eastAsia="zh-CN"/>
                    </w:rPr>
                    <w:t>两级活性炭吸附</w:t>
                  </w:r>
                  <w:r>
                    <w:rPr>
                      <w:rFonts w:hint="eastAsia"/>
                      <w:color w:val="auto"/>
                      <w:szCs w:val="22"/>
                      <w:u w:val="none"/>
                    </w:rPr>
                    <w:t>”处理</w:t>
                  </w:r>
                  <w:r>
                    <w:rPr>
                      <w:rFonts w:hint="eastAsia"/>
                      <w:color w:val="auto"/>
                      <w:szCs w:val="22"/>
                      <w:u w:val="none"/>
                      <w:lang w:val="en-US" w:eastAsia="zh-CN"/>
                    </w:rPr>
                    <w:t>达标</w:t>
                  </w:r>
                  <w:r>
                    <w:rPr>
                      <w:rFonts w:hint="eastAsia"/>
                      <w:color w:val="auto"/>
                      <w:szCs w:val="22"/>
                      <w:u w:val="none"/>
                    </w:rPr>
                    <w:t>后经</w:t>
                  </w:r>
                  <w:r>
                    <w:rPr>
                      <w:rFonts w:hint="eastAsia"/>
                      <w:color w:val="auto"/>
                      <w:szCs w:val="22"/>
                      <w:u w:val="none"/>
                      <w:lang w:val="en-US" w:eastAsia="zh-CN"/>
                    </w:rPr>
                    <w:t>15</w:t>
                  </w:r>
                  <w:r>
                    <w:rPr>
                      <w:rFonts w:hint="eastAsia"/>
                      <w:color w:val="auto"/>
                      <w:szCs w:val="22"/>
                      <w:u w:val="none"/>
                    </w:rPr>
                    <w:t>m</w:t>
                  </w:r>
                  <w:r>
                    <w:rPr>
                      <w:rFonts w:hint="eastAsia"/>
                      <w:color w:val="auto"/>
                      <w:szCs w:val="22"/>
                      <w:u w:val="none"/>
                      <w:lang w:val="en-US" w:eastAsia="zh-CN"/>
                    </w:rPr>
                    <w:t>高</w:t>
                  </w:r>
                  <w:r>
                    <w:rPr>
                      <w:rFonts w:hint="eastAsia"/>
                      <w:color w:val="auto"/>
                      <w:szCs w:val="22"/>
                      <w:u w:val="none"/>
                    </w:rPr>
                    <w:t>排气筒排放</w:t>
                  </w:r>
                </w:p>
              </w:tc>
              <w:tc>
                <w:tcPr>
                  <w:tcW w:w="956" w:type="dxa"/>
                  <w:noWrap w:val="0"/>
                  <w:vAlign w:val="center"/>
                </w:tcPr>
                <w:p>
                  <w:pPr>
                    <w:jc w:val="center"/>
                    <w:rPr>
                      <w:color w:val="auto"/>
                      <w:u w:val="none"/>
                    </w:rPr>
                  </w:pPr>
                  <w:r>
                    <w:rPr>
                      <w:color w:val="auto"/>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noWrap w:val="0"/>
                  <w:vAlign w:val="center"/>
                </w:tcPr>
                <w:p>
                  <w:pPr>
                    <w:jc w:val="center"/>
                    <w:rPr>
                      <w:color w:val="auto"/>
                      <w:u w:val="none"/>
                    </w:rPr>
                  </w:pPr>
                  <w:r>
                    <w:rPr>
                      <w:color w:val="auto"/>
                      <w:u w:val="none"/>
                    </w:rPr>
                    <w:t>VOCs无组织排放废气收集处理系统要求</w:t>
                  </w:r>
                </w:p>
              </w:tc>
              <w:tc>
                <w:tcPr>
                  <w:tcW w:w="5146" w:type="dxa"/>
                  <w:noWrap w:val="0"/>
                  <w:vAlign w:val="center"/>
                </w:tcPr>
                <w:p>
                  <w:pPr>
                    <w:jc w:val="both"/>
                    <w:rPr>
                      <w:color w:val="auto"/>
                      <w:u w:val="none"/>
                    </w:rPr>
                  </w:pPr>
                  <w:r>
                    <w:rPr>
                      <w:color w:val="auto"/>
                      <w:u w:val="none"/>
                    </w:rPr>
                    <w:t>1、VOCs废气收集处理系统应与生产工艺设备同步运行。VOCs废气收集处理发生故障或检修时，对应的生产工艺设备应停止运行，待检修完毕后同步投入使用；生产工艺设备不能停止运行或不能及时停止运行的，应设置废气应急处理设施或采取其他替代措施。</w:t>
                  </w:r>
                </w:p>
                <w:p>
                  <w:pPr>
                    <w:jc w:val="both"/>
                    <w:rPr>
                      <w:color w:val="auto"/>
                      <w:u w:val="none"/>
                    </w:rPr>
                  </w:pPr>
                  <w:r>
                    <w:rPr>
                      <w:color w:val="auto"/>
                      <w:u w:val="none"/>
                    </w:rPr>
                    <w:t>2、企业应考虑生产工艺、操作方式、废气性质、处理方法等因素，对VOCs废气进行分类收集。废气收集系统排风罩(集气罩)的设置应符合GB/T16758的规定。采用外部排风罩的，应GB/T16758、AQ/T4274-2016规定的方法测量控制风速，测量点应选取在距排风罩开口面最远处的VOCs无组织排放位置，控制风速不应低于0.3m/s（行业相关规范有具体规定的，按相关规定执行）。</w:t>
                  </w:r>
                </w:p>
                <w:p>
                  <w:pPr>
                    <w:jc w:val="both"/>
                    <w:rPr>
                      <w:color w:val="auto"/>
                      <w:u w:val="none"/>
                    </w:rPr>
                  </w:pPr>
                  <w:r>
                    <w:rPr>
                      <w:color w:val="auto"/>
                      <w:u w:val="none"/>
                    </w:rPr>
                    <w:t>废气收集系统的输送管道应密闭。</w:t>
                  </w:r>
                </w:p>
                <w:p>
                  <w:pPr>
                    <w:jc w:val="both"/>
                    <w:rPr>
                      <w:color w:val="auto"/>
                      <w:u w:val="none"/>
                    </w:rPr>
                  </w:pPr>
                  <w:r>
                    <w:rPr>
                      <w:color w:val="auto"/>
                      <w:u w:val="none"/>
                    </w:rPr>
                    <w:t>3、VOCs废气收集处理系统污染物排放应符合GB16297或相关行业排放标准的规定。收集的废中NMHC初始排放速率≥3kg/h时，应配置VOCs处理设施，处理效率不应低于80%；对于重点地区，</w:t>
                  </w:r>
                  <w:r>
                    <w:rPr>
                      <w:color w:val="auto"/>
                      <w:u w:val="none"/>
                    </w:rPr>
                    <w:cr/>
                  </w:r>
                  <w:r>
                    <w:rPr>
                      <w:color w:val="auto"/>
                      <w:u w:val="none"/>
                    </w:rPr>
                    <w:t>集的废气中NMHC初始排放速率≥2kg/h时，应配置VOCs处理设施，处理效率不应低于80%；采用的原辅材料符合国家有关低VOC</w:t>
                  </w:r>
                  <w:r>
                    <w:rPr>
                      <w:color w:val="auto"/>
                      <w:u w:val="none"/>
                    </w:rPr>
                    <w:cr/>
                  </w:r>
                  <w:r>
                    <w:rPr>
                      <w:color w:val="auto"/>
                      <w:u w:val="none"/>
                    </w:rPr>
                    <w:t>含量产品规定的除外。排</w:t>
                  </w:r>
                  <w:r>
                    <w:rPr>
                      <w:color w:val="auto"/>
                      <w:u w:val="none"/>
                    </w:rPr>
                    <w:cr/>
                  </w:r>
                  <w:r>
                    <w:rPr>
                      <w:color w:val="auto"/>
                      <w:u w:val="none"/>
                    </w:rPr>
                    <w:t>简高度</w:t>
                  </w:r>
                  <w:r>
                    <w:rPr>
                      <w:color w:val="auto"/>
                      <w:u w:val="none"/>
                    </w:rPr>
                    <w:cr/>
                  </w:r>
                  <w:r>
                    <w:rPr>
                      <w:color w:val="auto"/>
                      <w:u w:val="none"/>
                    </w:rPr>
                    <w:t>低于15m（因安全考虑或有特殊工艺要求的除外），具体高度以及与周围建筑物的相对高度关系应根据环境影响评价文件确定。</w:t>
                  </w:r>
                </w:p>
              </w:tc>
              <w:tc>
                <w:tcPr>
                  <w:tcW w:w="1522" w:type="dxa"/>
                  <w:noWrap w:val="0"/>
                  <w:vAlign w:val="center"/>
                </w:tcPr>
                <w:p>
                  <w:pPr>
                    <w:jc w:val="center"/>
                    <w:rPr>
                      <w:color w:val="auto"/>
                      <w:u w:val="none"/>
                    </w:rPr>
                  </w:pPr>
                  <w:r>
                    <w:rPr>
                      <w:color w:val="auto"/>
                      <w:u w:val="none"/>
                    </w:rPr>
                    <w:t>1、VOCs废气收集处理系统与生产工艺设备同步运行。VOCs废气收集处理系统发生故障或检修时，对应的生产工艺设备应停止运行，待检修完毕后同步投入使用。</w:t>
                  </w:r>
                </w:p>
                <w:p>
                  <w:pPr>
                    <w:jc w:val="center"/>
                    <w:rPr>
                      <w:rFonts w:hint="eastAsia" w:eastAsia="宋体"/>
                      <w:color w:val="auto"/>
                      <w:u w:val="none"/>
                      <w:lang w:eastAsia="zh-CN"/>
                    </w:rPr>
                  </w:pPr>
                  <w:r>
                    <w:rPr>
                      <w:color w:val="auto"/>
                      <w:u w:val="none"/>
                    </w:rPr>
                    <w:t>2、</w:t>
                  </w:r>
                  <w:r>
                    <w:rPr>
                      <w:rFonts w:hint="eastAsia"/>
                      <w:color w:val="auto"/>
                      <w:szCs w:val="22"/>
                      <w:u w:val="none"/>
                      <w:lang w:val="en-US" w:eastAsia="zh-CN"/>
                    </w:rPr>
                    <w:t>本项目VOCs产生源为聚苯乙烯颗粒注塑产生，</w:t>
                  </w:r>
                  <w:r>
                    <w:rPr>
                      <w:rFonts w:hint="eastAsia"/>
                      <w:color w:val="auto"/>
                      <w:szCs w:val="22"/>
                      <w:u w:val="none"/>
                    </w:rPr>
                    <w:t>项目</w:t>
                  </w:r>
                  <w:r>
                    <w:rPr>
                      <w:rFonts w:hint="eastAsia"/>
                      <w:color w:val="auto"/>
                      <w:szCs w:val="22"/>
                      <w:u w:val="none"/>
                      <w:lang w:val="en-US" w:eastAsia="zh-CN"/>
                    </w:rPr>
                    <w:t>VOCs产生工序均为封闭设备</w:t>
                  </w:r>
                  <w:r>
                    <w:rPr>
                      <w:rFonts w:hint="eastAsia"/>
                      <w:color w:val="auto"/>
                      <w:szCs w:val="22"/>
                      <w:u w:val="none"/>
                    </w:rPr>
                    <w:t>，</w:t>
                  </w:r>
                  <w:r>
                    <w:rPr>
                      <w:color w:val="auto"/>
                      <w:szCs w:val="22"/>
                      <w:u w:val="none"/>
                    </w:rPr>
                    <w:t>产生的有机废气</w:t>
                  </w:r>
                  <w:r>
                    <w:rPr>
                      <w:rFonts w:hint="eastAsia"/>
                      <w:color w:val="auto"/>
                      <w:szCs w:val="22"/>
                      <w:u w:val="none"/>
                    </w:rPr>
                    <w:t>经“</w:t>
                  </w:r>
                  <w:r>
                    <w:rPr>
                      <w:rFonts w:hint="eastAsia"/>
                      <w:color w:val="auto"/>
                      <w:szCs w:val="22"/>
                      <w:u w:val="none"/>
                      <w:lang w:eastAsia="zh-CN"/>
                    </w:rPr>
                    <w:t>两级活性炭吸附</w:t>
                  </w:r>
                  <w:r>
                    <w:rPr>
                      <w:rFonts w:hint="eastAsia"/>
                      <w:color w:val="auto"/>
                      <w:szCs w:val="22"/>
                      <w:u w:val="none"/>
                    </w:rPr>
                    <w:t>”处理</w:t>
                  </w:r>
                  <w:r>
                    <w:rPr>
                      <w:rFonts w:hint="eastAsia"/>
                      <w:color w:val="auto"/>
                      <w:szCs w:val="22"/>
                      <w:u w:val="none"/>
                      <w:lang w:val="en-US" w:eastAsia="zh-CN"/>
                    </w:rPr>
                    <w:t>达标</w:t>
                  </w:r>
                  <w:r>
                    <w:rPr>
                      <w:rFonts w:hint="eastAsia"/>
                      <w:color w:val="auto"/>
                      <w:szCs w:val="22"/>
                      <w:u w:val="none"/>
                    </w:rPr>
                    <w:t>后经</w:t>
                  </w:r>
                  <w:r>
                    <w:rPr>
                      <w:rFonts w:hint="eastAsia"/>
                      <w:color w:val="auto"/>
                      <w:szCs w:val="22"/>
                      <w:u w:val="none"/>
                      <w:lang w:val="en-US" w:eastAsia="zh-CN"/>
                    </w:rPr>
                    <w:t>15</w:t>
                  </w:r>
                  <w:r>
                    <w:rPr>
                      <w:rFonts w:hint="eastAsia"/>
                      <w:color w:val="auto"/>
                      <w:szCs w:val="22"/>
                      <w:u w:val="none"/>
                    </w:rPr>
                    <w:t>m</w:t>
                  </w:r>
                  <w:r>
                    <w:rPr>
                      <w:rFonts w:hint="eastAsia"/>
                      <w:color w:val="auto"/>
                      <w:szCs w:val="22"/>
                      <w:u w:val="none"/>
                      <w:lang w:val="en-US" w:eastAsia="zh-CN"/>
                    </w:rPr>
                    <w:t>高</w:t>
                  </w:r>
                  <w:r>
                    <w:rPr>
                      <w:rFonts w:hint="eastAsia"/>
                      <w:color w:val="auto"/>
                      <w:szCs w:val="22"/>
                      <w:u w:val="none"/>
                    </w:rPr>
                    <w:t>排气筒排放</w:t>
                  </w:r>
                  <w:r>
                    <w:rPr>
                      <w:rFonts w:hint="eastAsia"/>
                      <w:color w:val="auto"/>
                      <w:szCs w:val="22"/>
                      <w:u w:val="none"/>
                      <w:lang w:eastAsia="zh-CN"/>
                    </w:rPr>
                    <w:t>。</w:t>
                  </w:r>
                </w:p>
              </w:tc>
              <w:tc>
                <w:tcPr>
                  <w:tcW w:w="956" w:type="dxa"/>
                  <w:noWrap w:val="0"/>
                  <w:vAlign w:val="center"/>
                </w:tcPr>
                <w:p>
                  <w:pPr>
                    <w:jc w:val="center"/>
                    <w:rPr>
                      <w:color w:val="auto"/>
                      <w:u w:val="none"/>
                    </w:rPr>
                  </w:pPr>
                  <w:r>
                    <w:rPr>
                      <w:color w:val="auto"/>
                      <w:u w:val="none"/>
                    </w:rPr>
                    <w:t>符合</w:t>
                  </w:r>
                </w:p>
              </w:tc>
            </w:tr>
          </w:tbl>
          <w:p>
            <w:pPr>
              <w:pStyle w:val="62"/>
              <w:bidi w:val="0"/>
              <w:rPr>
                <w:rFonts w:hint="default" w:ascii="Times New Roman" w:hAnsi="Times New Roman" w:eastAsia="宋体" w:cs="Times New Roman"/>
                <w:color w:val="auto"/>
                <w:sz w:val="24"/>
                <w:szCs w:val="24"/>
                <w:u w:val="none" w:color="auto"/>
                <w:lang w:val="en-US" w:eastAsia="zh-CN"/>
              </w:rPr>
            </w:pPr>
          </w:p>
        </w:tc>
      </w:tr>
    </w:tbl>
    <w:p>
      <w:pPr>
        <w:keepNext w:val="0"/>
        <w:keepLines w:val="0"/>
        <w:pageBreakBefore w:val="0"/>
        <w:widowControl w:val="0"/>
        <w:kinsoku/>
        <w:wordWrap/>
        <w:overflowPunct/>
        <w:topLinePunct w:val="0"/>
        <w:autoSpaceDE/>
        <w:autoSpaceDN/>
        <w:bidi w:val="0"/>
        <w:adjustRightInd/>
        <w:snapToGrid/>
        <w:jc w:val="center"/>
        <w:textAlignment w:val="auto"/>
        <w:outlineLvl w:val="9"/>
        <w:rPr>
          <w:rStyle w:val="31"/>
          <w:rFonts w:hint="eastAsia" w:ascii="黑体" w:hAnsi="黑体" w:eastAsia="黑体" w:cs="黑体"/>
          <w:color w:val="auto"/>
          <w:sz w:val="30"/>
          <w:szCs w:val="30"/>
          <w:highlight w:val="none"/>
          <w:u w:val="none"/>
          <w:lang w:val="en-US" w:eastAsia="zh-CN"/>
        </w:rPr>
        <w:sectPr>
          <w:footerReference r:id="rId5" w:type="default"/>
          <w:pgSz w:w="11906" w:h="16838"/>
          <w:pgMar w:top="1440" w:right="1080" w:bottom="1440" w:left="1080" w:header="851" w:footer="992" w:gutter="0"/>
          <w:pgNumType w:fmt="decimal" w:start="1"/>
          <w:cols w:space="425" w:num="1"/>
          <w:docGrid w:type="lines" w:linePitch="312" w:charSpace="0"/>
        </w:sectPr>
      </w:pPr>
    </w:p>
    <w:p>
      <w:pPr>
        <w:pStyle w:val="61"/>
        <w:bidi w:val="0"/>
        <w:rPr>
          <w:rFonts w:hint="eastAsia"/>
          <w:color w:val="auto"/>
          <w:highlight w:val="none"/>
          <w:u w:val="none"/>
          <w:vertAlign w:val="baseline"/>
          <w:lang w:val="en-US" w:eastAsia="zh-CN"/>
        </w:rPr>
      </w:pPr>
      <w:bookmarkStart w:id="56" w:name="_Toc14136"/>
      <w:r>
        <w:rPr>
          <w:rFonts w:hint="eastAsia"/>
          <w:color w:val="auto"/>
          <w:highlight w:val="none"/>
          <w:u w:val="none"/>
          <w:lang w:val="en-US" w:eastAsia="zh-CN"/>
        </w:rPr>
        <w:t>二、建设项目工程分析</w:t>
      </w:r>
      <w:bookmarkEnd w:id="56"/>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27" w:hRule="atLeast"/>
        </w:trPr>
        <w:tc>
          <w:tcPr>
            <w:tcW w:w="423" w:type="dxa"/>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olor w:val="auto"/>
                <w:highlight w:val="none"/>
                <w:u w:val="none"/>
                <w:vertAlign w:val="baseline"/>
                <w:lang w:val="en-US" w:eastAsia="zh-CN"/>
              </w:rPr>
            </w:pPr>
            <w:r>
              <w:rPr>
                <w:rFonts w:hint="eastAsia"/>
                <w:b/>
                <w:bCs/>
                <w:color w:val="auto"/>
                <w:highlight w:val="none"/>
                <w:u w:val="none"/>
                <w:lang w:val="en-US" w:eastAsia="zh-CN"/>
              </w:rPr>
              <w:t>建设内容</w:t>
            </w:r>
          </w:p>
        </w:tc>
        <w:tc>
          <w:tcPr>
            <w:tcW w:w="9539" w:type="dxa"/>
          </w:tcPr>
          <w:p>
            <w:pPr>
              <w:pStyle w:val="56"/>
              <w:bidi w:val="0"/>
              <w:rPr>
                <w:rFonts w:hint="default"/>
                <w:color w:val="auto"/>
                <w:sz w:val="24"/>
                <w:szCs w:val="24"/>
                <w:highlight w:val="none"/>
                <w:u w:val="none"/>
                <w:lang w:val="en-US" w:eastAsia="zh-CN"/>
              </w:rPr>
            </w:pPr>
            <w:r>
              <w:rPr>
                <w:rFonts w:hint="eastAsia"/>
                <w:color w:val="auto"/>
                <w:sz w:val="24"/>
                <w:szCs w:val="24"/>
                <w:highlight w:val="none"/>
                <w:u w:val="none"/>
                <w:lang w:val="en-US" w:eastAsia="zh-CN"/>
              </w:rPr>
              <w:t>2.1项目由来</w:t>
            </w:r>
          </w:p>
          <w:p>
            <w:pPr>
              <w:pStyle w:val="62"/>
              <w:bidi w:val="0"/>
              <w:rPr>
                <w:rFonts w:hint="eastAsia" w:hAnsi="宋体"/>
                <w:color w:val="auto"/>
                <w:sz w:val="24"/>
                <w:szCs w:val="24"/>
                <w:highlight w:val="none"/>
                <w:u w:val="single"/>
                <w:lang w:eastAsia="zh-CN"/>
              </w:rPr>
            </w:pPr>
            <w:r>
              <w:rPr>
                <w:rFonts w:hint="eastAsia"/>
                <w:color w:val="auto"/>
                <w:sz w:val="24"/>
                <w:szCs w:val="24"/>
                <w:u w:val="none"/>
                <w:lang w:eastAsia="zh-CN"/>
              </w:rPr>
              <w:t>湖南西姆西科技有限公司成立于</w:t>
            </w:r>
            <w:r>
              <w:rPr>
                <w:rFonts w:hint="eastAsia"/>
                <w:color w:val="auto"/>
                <w:sz w:val="24"/>
                <w:szCs w:val="24"/>
                <w:u w:val="none"/>
                <w:lang w:val="en-US" w:eastAsia="zh-CN"/>
              </w:rPr>
              <w:t>2011年12月，位于</w:t>
            </w:r>
            <w:r>
              <w:rPr>
                <w:rFonts w:hint="default"/>
                <w:color w:val="auto"/>
                <w:sz w:val="24"/>
                <w:szCs w:val="24"/>
                <w:highlight w:val="none"/>
                <w:u w:val="none"/>
                <w:lang w:val="en-US" w:eastAsia="zh-CN"/>
              </w:rPr>
              <w:t>湘阴</w:t>
            </w:r>
            <w:r>
              <w:rPr>
                <w:rFonts w:hint="eastAsia"/>
                <w:color w:val="auto"/>
                <w:sz w:val="24"/>
                <w:szCs w:val="24"/>
                <w:highlight w:val="none"/>
                <w:u w:val="none"/>
                <w:lang w:val="en-US" w:eastAsia="zh-CN"/>
              </w:rPr>
              <w:t>县金龙工业园，</w:t>
            </w:r>
            <w:r>
              <w:rPr>
                <w:rFonts w:hint="eastAsia" w:ascii="Times New Roman" w:hAnsi="Times New Roman" w:eastAsia="宋体" w:cs="Times New Roman"/>
                <w:b w:val="0"/>
                <w:color w:val="auto"/>
                <w:sz w:val="24"/>
                <w:szCs w:val="24"/>
                <w:highlight w:val="none"/>
                <w:lang w:eastAsia="zh-CN" w:bidi="ar"/>
              </w:rPr>
              <w:t>主要经营业务为西姆西牌系列二氧化碳气体保护焊丝、不锈钢焊丝、埋弧焊丝、有色金属焊材以及各类焊接辅助材料的研发、制造和销售。公司</w:t>
            </w:r>
            <w:r>
              <w:rPr>
                <w:rFonts w:hint="eastAsia" w:cs="Times New Roman"/>
                <w:b w:val="0"/>
                <w:color w:val="auto"/>
                <w:sz w:val="24"/>
                <w:szCs w:val="24"/>
                <w:highlight w:val="none"/>
                <w:lang w:val="en-US" w:eastAsia="zh-CN" w:bidi="ar"/>
              </w:rPr>
              <w:t>厂区</w:t>
            </w:r>
            <w:r>
              <w:rPr>
                <w:rFonts w:hint="eastAsia" w:ascii="Times New Roman" w:hAnsi="Times New Roman" w:eastAsia="宋体" w:cs="Times New Roman"/>
                <w:b w:val="0"/>
                <w:color w:val="auto"/>
                <w:sz w:val="24"/>
                <w:szCs w:val="24"/>
                <w:highlight w:val="none"/>
                <w:lang w:val="en-US" w:eastAsia="zh-CN" w:bidi="ar"/>
              </w:rPr>
              <w:t>总占地</w:t>
            </w:r>
            <w:r>
              <w:rPr>
                <w:rFonts w:hint="eastAsia"/>
                <w:color w:val="auto"/>
                <w:sz w:val="24"/>
                <w:szCs w:val="24"/>
                <w:highlight w:val="none"/>
                <w:lang w:val="en-US" w:eastAsia="zh-CN"/>
              </w:rPr>
              <w:t>63815.84</w:t>
            </w:r>
            <w:r>
              <w:rPr>
                <w:rFonts w:hint="eastAsia" w:ascii="Times New Roman" w:hAnsi="Times New Roman" w:eastAsia="宋体" w:cs="Times New Roman"/>
                <w:b w:val="0"/>
                <w:color w:val="auto"/>
                <w:sz w:val="24"/>
                <w:szCs w:val="24"/>
                <w:highlight w:val="none"/>
                <w:lang w:val="en-US" w:eastAsia="zh-CN" w:bidi="ar"/>
              </w:rPr>
              <w:t>平方米，</w:t>
            </w:r>
            <w:r>
              <w:rPr>
                <w:rFonts w:hint="eastAsia" w:cs="Times New Roman"/>
                <w:b w:val="0"/>
                <w:color w:val="auto"/>
                <w:sz w:val="24"/>
                <w:szCs w:val="24"/>
                <w:highlight w:val="none"/>
                <w:lang w:val="en-US" w:eastAsia="zh-CN" w:bidi="ar"/>
              </w:rPr>
              <w:t>职工152人。企业厂区目前建设有1#生产厂房、2#生产厂房（层绕车间）及锅炉房、办公楼、仓库、危废暂存间等辅助设施。现</w:t>
            </w:r>
            <w:r>
              <w:rPr>
                <w:rFonts w:hint="eastAsia" w:ascii="Times New Roman" w:hAnsi="Times New Roman" w:eastAsia="宋体" w:cs="Times New Roman"/>
                <w:b w:val="0"/>
                <w:color w:val="auto"/>
                <w:sz w:val="24"/>
                <w:szCs w:val="24"/>
                <w:highlight w:val="none"/>
                <w:lang w:val="en-US" w:eastAsia="zh-CN" w:bidi="ar"/>
              </w:rPr>
              <w:t>年产</w:t>
            </w:r>
            <w:r>
              <w:rPr>
                <w:rFonts w:hAnsi="宋体"/>
                <w:color w:val="auto"/>
                <w:sz w:val="24"/>
                <w:szCs w:val="24"/>
                <w:highlight w:val="none"/>
              </w:rPr>
              <w:t>气保焊丝</w:t>
            </w:r>
            <w:r>
              <w:rPr>
                <w:color w:val="auto"/>
                <w:sz w:val="24"/>
                <w:szCs w:val="24"/>
                <w:highlight w:val="none"/>
              </w:rPr>
              <w:t>8</w:t>
            </w:r>
            <w:r>
              <w:rPr>
                <w:rFonts w:hAnsi="宋体"/>
                <w:color w:val="auto"/>
                <w:sz w:val="24"/>
                <w:szCs w:val="24"/>
                <w:highlight w:val="none"/>
              </w:rPr>
              <w:t>万吨、</w:t>
            </w:r>
            <w:r>
              <w:rPr>
                <w:rFonts w:hAnsi="宋体"/>
                <w:color w:val="auto"/>
                <w:sz w:val="24"/>
                <w:szCs w:val="24"/>
                <w:highlight w:val="none"/>
                <w:lang w:val="zh-CN"/>
              </w:rPr>
              <w:t>高强钢焊丝</w:t>
            </w:r>
            <w:r>
              <w:rPr>
                <w:color w:val="auto"/>
                <w:sz w:val="24"/>
                <w:szCs w:val="24"/>
                <w:highlight w:val="none"/>
                <w:lang w:val="zh-CN"/>
              </w:rPr>
              <w:t>0.1</w:t>
            </w:r>
            <w:r>
              <w:rPr>
                <w:rFonts w:hAnsi="宋体"/>
                <w:color w:val="auto"/>
                <w:sz w:val="24"/>
                <w:szCs w:val="24"/>
                <w:highlight w:val="none"/>
                <w:lang w:val="zh-CN"/>
              </w:rPr>
              <w:t>万吨、埋弧焊丝</w:t>
            </w:r>
            <w:r>
              <w:rPr>
                <w:color w:val="auto"/>
                <w:sz w:val="24"/>
                <w:szCs w:val="24"/>
                <w:highlight w:val="none"/>
                <w:lang w:val="zh-CN"/>
              </w:rPr>
              <w:t>0.6</w:t>
            </w:r>
            <w:r>
              <w:rPr>
                <w:rFonts w:hAnsi="宋体"/>
                <w:color w:val="auto"/>
                <w:sz w:val="24"/>
                <w:szCs w:val="24"/>
                <w:highlight w:val="none"/>
                <w:lang w:val="zh-CN"/>
              </w:rPr>
              <w:t>万吨、不锈钢焊丝</w:t>
            </w:r>
            <w:r>
              <w:rPr>
                <w:color w:val="auto"/>
                <w:sz w:val="24"/>
                <w:szCs w:val="24"/>
                <w:highlight w:val="none"/>
                <w:lang w:val="zh-CN"/>
              </w:rPr>
              <w:t>0.1</w:t>
            </w:r>
            <w:r>
              <w:rPr>
                <w:rFonts w:hAnsi="宋体"/>
                <w:color w:val="auto"/>
                <w:sz w:val="24"/>
                <w:szCs w:val="24"/>
                <w:highlight w:val="none"/>
                <w:lang w:val="zh-CN"/>
              </w:rPr>
              <w:t>万吨、铝焊丝</w:t>
            </w:r>
            <w:r>
              <w:rPr>
                <w:color w:val="auto"/>
                <w:sz w:val="24"/>
                <w:szCs w:val="24"/>
                <w:highlight w:val="none"/>
                <w:lang w:val="zh-CN"/>
              </w:rPr>
              <w:t>0.1</w:t>
            </w:r>
            <w:r>
              <w:rPr>
                <w:rFonts w:hAnsi="宋体"/>
                <w:color w:val="auto"/>
                <w:sz w:val="24"/>
                <w:szCs w:val="24"/>
                <w:highlight w:val="none"/>
                <w:lang w:val="zh-CN"/>
              </w:rPr>
              <w:t>万吨</w:t>
            </w:r>
            <w:r>
              <w:rPr>
                <w:rFonts w:hint="eastAsia" w:hAnsi="宋体"/>
                <w:color w:val="auto"/>
                <w:sz w:val="24"/>
                <w:szCs w:val="24"/>
                <w:highlight w:val="none"/>
                <w:lang w:val="zh-CN"/>
              </w:rPr>
              <w:t>、</w:t>
            </w:r>
            <w:r>
              <w:rPr>
                <w:rFonts w:hAnsi="宋体"/>
                <w:color w:val="auto"/>
                <w:sz w:val="24"/>
                <w:szCs w:val="24"/>
                <w:lang w:val="zh-CN"/>
              </w:rPr>
              <w:t>药芯焊</w:t>
            </w:r>
            <w:r>
              <w:rPr>
                <w:rFonts w:hAnsi="宋体"/>
                <w:color w:val="auto"/>
                <w:sz w:val="24"/>
                <w:szCs w:val="24"/>
                <w:highlight w:val="none"/>
                <w:lang w:val="zh-CN"/>
              </w:rPr>
              <w:t>丝</w:t>
            </w:r>
            <w:r>
              <w:rPr>
                <w:color w:val="auto"/>
                <w:sz w:val="24"/>
                <w:szCs w:val="24"/>
                <w:highlight w:val="none"/>
                <w:lang w:val="zh-CN"/>
              </w:rPr>
              <w:t>1</w:t>
            </w:r>
            <w:r>
              <w:rPr>
                <w:rFonts w:hAnsi="宋体"/>
                <w:color w:val="auto"/>
                <w:sz w:val="24"/>
                <w:szCs w:val="24"/>
                <w:highlight w:val="none"/>
                <w:lang w:val="zh-CN"/>
              </w:rPr>
              <w:t>万吨</w:t>
            </w:r>
            <w:r>
              <w:rPr>
                <w:rFonts w:hint="eastAsia" w:hAnsi="宋体"/>
                <w:color w:val="auto"/>
                <w:sz w:val="24"/>
                <w:szCs w:val="24"/>
                <w:highlight w:val="none"/>
                <w:lang w:val="zh-CN"/>
              </w:rPr>
              <w:t>（未建设）</w:t>
            </w:r>
            <w:r>
              <w:rPr>
                <w:rFonts w:hAnsi="宋体"/>
                <w:color w:val="auto"/>
                <w:sz w:val="24"/>
                <w:szCs w:val="24"/>
                <w:highlight w:val="none"/>
                <w:lang w:val="zh-CN"/>
              </w:rPr>
              <w:t>、特种电焊条</w:t>
            </w:r>
            <w:r>
              <w:rPr>
                <w:color w:val="auto"/>
                <w:sz w:val="24"/>
                <w:szCs w:val="24"/>
                <w:highlight w:val="none"/>
                <w:lang w:val="zh-CN"/>
              </w:rPr>
              <w:t>0.1</w:t>
            </w:r>
            <w:r>
              <w:rPr>
                <w:rFonts w:hAnsi="宋体"/>
                <w:color w:val="auto"/>
                <w:sz w:val="24"/>
                <w:szCs w:val="24"/>
                <w:highlight w:val="none"/>
                <w:lang w:val="zh-CN"/>
              </w:rPr>
              <w:t>万</w:t>
            </w:r>
            <w:r>
              <w:rPr>
                <w:rFonts w:hAnsi="宋体"/>
                <w:color w:val="auto"/>
                <w:sz w:val="24"/>
                <w:szCs w:val="24"/>
                <w:highlight w:val="none"/>
              </w:rPr>
              <w:t>吨</w:t>
            </w:r>
            <w:r>
              <w:rPr>
                <w:rFonts w:hint="eastAsia" w:hAnsi="宋体"/>
                <w:color w:val="auto"/>
                <w:sz w:val="24"/>
                <w:szCs w:val="24"/>
                <w:highlight w:val="none"/>
                <w:lang w:eastAsia="zh-CN"/>
              </w:rPr>
              <w:t>（未建设）</w:t>
            </w:r>
            <w:r>
              <w:rPr>
                <w:rFonts w:hint="eastAsia" w:cs="Times New Roman"/>
                <w:b w:val="0"/>
                <w:color w:val="auto"/>
                <w:sz w:val="24"/>
                <w:szCs w:val="24"/>
                <w:highlight w:val="none"/>
                <w:lang w:val="en-US" w:eastAsia="zh-CN" w:bidi="ar"/>
              </w:rPr>
              <w:t>，合计焊材年产量为10万吨。</w:t>
            </w:r>
            <w:r>
              <w:rPr>
                <w:rFonts w:hint="eastAsia" w:ascii="Times New Roman" w:hAnsi="Times New Roman" w:eastAsia="宋体" w:cs="Times New Roman"/>
                <w:b w:val="0"/>
                <w:color w:val="auto"/>
                <w:sz w:val="24"/>
                <w:szCs w:val="24"/>
                <w:highlight w:val="none"/>
                <w:lang w:eastAsia="zh-CN" w:bidi="ar"/>
              </w:rPr>
              <w:t>原岳阳市环境环保局于</w:t>
            </w:r>
            <w:r>
              <w:rPr>
                <w:rFonts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11</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12</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16</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b w:val="0"/>
                <w:color w:val="auto"/>
                <w:sz w:val="24"/>
                <w:szCs w:val="24"/>
                <w:highlight w:val="none"/>
                <w:lang w:eastAsia="zh-CN" w:bidi="ar"/>
              </w:rPr>
              <w:t>以“</w:t>
            </w:r>
            <w:r>
              <w:rPr>
                <w:rFonts w:hint="eastAsia" w:ascii="Times New Roman" w:eastAsia="宋体"/>
                <w:color w:val="auto"/>
                <w:sz w:val="24"/>
                <w:szCs w:val="24"/>
                <w:highlight w:val="none"/>
                <w:lang w:eastAsia="zh-CN"/>
              </w:rPr>
              <w:t>岳</w:t>
            </w:r>
            <w:r>
              <w:rPr>
                <w:rFonts w:ascii="Times New Roman"/>
                <w:color w:val="auto"/>
                <w:sz w:val="24"/>
                <w:szCs w:val="24"/>
                <w:highlight w:val="none"/>
              </w:rPr>
              <w:t>环评</w:t>
            </w:r>
            <w:r>
              <w:rPr>
                <w:rFonts w:hint="eastAsia" w:ascii="Times New Roman"/>
                <w:color w:val="auto"/>
                <w:sz w:val="24"/>
                <w:szCs w:val="24"/>
                <w:highlight w:val="none"/>
                <w:lang w:eastAsia="zh-CN"/>
              </w:rPr>
              <w:t>批</w:t>
            </w:r>
            <w:r>
              <w:rPr>
                <w:rFonts w:hint="eastAsia" w:ascii="宋体" w:hAnsi="宋体" w:eastAsia="宋体" w:cs="宋体"/>
                <w:color w:val="auto"/>
                <w:sz w:val="24"/>
                <w:szCs w:val="24"/>
                <w:highlight w:val="none"/>
              </w:rPr>
              <w:t>〔</w:t>
            </w:r>
            <w:r>
              <w:rPr>
                <w:rFonts w:ascii="Times New Roman"/>
                <w:color w:val="auto"/>
                <w:sz w:val="24"/>
                <w:szCs w:val="24"/>
                <w:highlight w:val="none"/>
              </w:rPr>
              <w:t>20</w:t>
            </w:r>
            <w:r>
              <w:rPr>
                <w:rFonts w:hint="eastAsia" w:ascii="Times New Roman"/>
                <w:color w:val="auto"/>
                <w:sz w:val="24"/>
                <w:szCs w:val="24"/>
                <w:highlight w:val="none"/>
                <w:lang w:val="en-US" w:eastAsia="zh-CN"/>
              </w:rPr>
              <w:t>11</w:t>
            </w:r>
            <w:r>
              <w:rPr>
                <w:rFonts w:hint="eastAsia" w:ascii="宋体" w:hAnsi="宋体" w:eastAsia="宋体" w:cs="宋体"/>
                <w:color w:val="auto"/>
                <w:sz w:val="24"/>
                <w:szCs w:val="24"/>
                <w:highlight w:val="none"/>
              </w:rPr>
              <w:t>〕</w:t>
            </w:r>
            <w:r>
              <w:rPr>
                <w:rFonts w:hint="eastAsia" w:ascii="Times New Roman"/>
                <w:color w:val="auto"/>
                <w:sz w:val="24"/>
                <w:szCs w:val="24"/>
                <w:highlight w:val="none"/>
              </w:rPr>
              <w:t>1</w:t>
            </w:r>
            <w:r>
              <w:rPr>
                <w:rFonts w:hint="eastAsia" w:ascii="Times New Roman"/>
                <w:color w:val="auto"/>
                <w:sz w:val="24"/>
                <w:szCs w:val="24"/>
                <w:highlight w:val="none"/>
                <w:lang w:val="en-US" w:eastAsia="zh-CN"/>
              </w:rPr>
              <w:t>01</w:t>
            </w:r>
            <w:r>
              <w:rPr>
                <w:rFonts w:ascii="Times New Roman"/>
                <w:color w:val="auto"/>
                <w:sz w:val="24"/>
                <w:szCs w:val="24"/>
                <w:highlight w:val="none"/>
              </w:rPr>
              <w:t>号</w:t>
            </w:r>
            <w:r>
              <w:rPr>
                <w:rFonts w:hint="eastAsia" w:ascii="Times New Roman" w:hAnsi="Times New Roman" w:eastAsia="宋体" w:cs="Times New Roman"/>
                <w:b w:val="0"/>
                <w:color w:val="auto"/>
                <w:sz w:val="24"/>
                <w:szCs w:val="24"/>
                <w:highlight w:val="none"/>
                <w:lang w:eastAsia="zh-CN" w:bidi="ar"/>
              </w:rPr>
              <w:t>”文对该工程进行了批复（附件</w:t>
            </w:r>
            <w:r>
              <w:rPr>
                <w:rFonts w:hint="eastAsia" w:ascii="Times New Roman" w:hAnsi="Times New Roman" w:eastAsia="宋体" w:cs="Times New Roman"/>
                <w:b w:val="0"/>
                <w:color w:val="auto"/>
                <w:sz w:val="24"/>
                <w:szCs w:val="24"/>
                <w:highlight w:val="none"/>
                <w:lang w:val="en-US" w:eastAsia="zh-CN" w:bidi="ar"/>
              </w:rPr>
              <w:t>3</w:t>
            </w:r>
            <w:r>
              <w:rPr>
                <w:rFonts w:hint="eastAsia" w:ascii="Times New Roman" w:hAnsi="Times New Roman" w:eastAsia="宋体" w:cs="Times New Roman"/>
                <w:b w:val="0"/>
                <w:color w:val="auto"/>
                <w:sz w:val="24"/>
                <w:szCs w:val="24"/>
                <w:highlight w:val="none"/>
                <w:lang w:eastAsia="zh-CN" w:bidi="ar"/>
              </w:rPr>
              <w:t>），</w:t>
            </w:r>
            <w:r>
              <w:rPr>
                <w:rFonts w:hint="eastAsia" w:ascii="Times New Roman" w:hAnsi="Times New Roman" w:eastAsia="宋体" w:cs="Times New Roman"/>
                <w:b w:val="0"/>
                <w:color w:val="auto"/>
                <w:sz w:val="24"/>
                <w:szCs w:val="24"/>
                <w:highlight w:val="none"/>
                <w:lang w:val="en-US" w:eastAsia="zh-CN" w:bidi="ar"/>
              </w:rPr>
              <w:t>2013年对该工程进行相关内容变更说明报告，2013年5月20日，岳阳市环境保护局对该环评补充说明作出审核意见（附件4）。现有项目</w:t>
            </w:r>
            <w:r>
              <w:rPr>
                <w:rFonts w:hint="eastAsia" w:ascii="Times New Roman" w:hAnsi="Times New Roman" w:eastAsia="宋体" w:cs="Times New Roman"/>
                <w:b w:val="0"/>
                <w:color w:val="auto"/>
                <w:sz w:val="24"/>
                <w:szCs w:val="24"/>
                <w:highlight w:val="none"/>
                <w:lang w:eastAsia="zh-CN" w:bidi="ar"/>
              </w:rPr>
              <w:t>于2</w:t>
            </w:r>
            <w:r>
              <w:rPr>
                <w:rFonts w:hint="eastAsia" w:ascii="Times New Roman" w:hAnsi="Times New Roman" w:eastAsia="宋体" w:cs="Times New Roman"/>
                <w:b w:val="0"/>
                <w:color w:val="auto"/>
                <w:sz w:val="24"/>
                <w:szCs w:val="24"/>
                <w:highlight w:val="none"/>
                <w:lang w:val="en-US" w:eastAsia="zh-CN" w:bidi="ar"/>
              </w:rPr>
              <w:t>013</w:t>
            </w:r>
            <w:r>
              <w:rPr>
                <w:rFonts w:hint="eastAsia" w:ascii="Times New Roman" w:hAnsi="Times New Roman" w:eastAsia="宋体" w:cs="Times New Roman"/>
                <w:b w:val="0"/>
                <w:color w:val="auto"/>
                <w:sz w:val="24"/>
                <w:szCs w:val="24"/>
                <w:highlight w:val="none"/>
                <w:lang w:eastAsia="zh-CN" w:bidi="ar"/>
              </w:rPr>
              <w:t>年</w:t>
            </w:r>
            <w:r>
              <w:rPr>
                <w:rFonts w:hint="eastAsia" w:cs="Times New Roman"/>
                <w:b w:val="0"/>
                <w:color w:val="auto"/>
                <w:sz w:val="24"/>
                <w:szCs w:val="24"/>
                <w:highlight w:val="none"/>
                <w:lang w:eastAsia="zh-CN" w:bidi="ar"/>
              </w:rPr>
              <w:t>底</w:t>
            </w:r>
            <w:r>
              <w:rPr>
                <w:rFonts w:hint="eastAsia" w:ascii="Times New Roman" w:hAnsi="Times New Roman" w:eastAsia="宋体" w:cs="Times New Roman"/>
                <w:b w:val="0"/>
                <w:color w:val="auto"/>
                <w:sz w:val="24"/>
                <w:szCs w:val="24"/>
                <w:highlight w:val="none"/>
                <w:lang w:eastAsia="zh-CN" w:bidi="ar"/>
              </w:rPr>
              <w:t>开始建设，</w:t>
            </w:r>
            <w:r>
              <w:rPr>
                <w:rFonts w:hint="eastAsia" w:ascii="Times New Roman" w:hAnsi="Times New Roman" w:eastAsia="宋体" w:cs="Times New Roman"/>
                <w:b w:val="0"/>
                <w:color w:val="auto"/>
                <w:sz w:val="24"/>
                <w:szCs w:val="24"/>
                <w:highlight w:val="none"/>
                <w:lang w:val="en-US" w:eastAsia="zh-CN" w:bidi="ar"/>
              </w:rPr>
              <w:t>2015年12</w:t>
            </w:r>
            <w:r>
              <w:rPr>
                <w:rFonts w:hint="eastAsia" w:ascii="Times New Roman" w:hAnsi="Times New Roman" w:eastAsia="宋体" w:cs="Times New Roman"/>
                <w:b w:val="0"/>
                <w:color w:val="auto"/>
                <w:sz w:val="24"/>
                <w:szCs w:val="24"/>
                <w:highlight w:val="none"/>
                <w:lang w:eastAsia="zh-CN" w:bidi="ar"/>
              </w:rPr>
              <w:t>月完成了工程的建设并投入试运行，并于</w:t>
            </w:r>
            <w:r>
              <w:rPr>
                <w:rFonts w:hint="eastAsia" w:ascii="Times New Roman" w:hAnsi="Times New Roman" w:eastAsia="宋体" w:cs="Times New Roman"/>
                <w:b w:val="0"/>
                <w:color w:val="auto"/>
                <w:sz w:val="24"/>
                <w:szCs w:val="24"/>
                <w:highlight w:val="none"/>
                <w:lang w:val="en-US" w:eastAsia="zh-CN" w:bidi="ar"/>
              </w:rPr>
              <w:t>2016年6月30日</w:t>
            </w:r>
            <w:r>
              <w:rPr>
                <w:rFonts w:hint="eastAsia" w:ascii="Times New Roman" w:hAnsi="Times New Roman" w:eastAsia="宋体" w:cs="Times New Roman"/>
                <w:b w:val="0"/>
                <w:color w:val="auto"/>
                <w:sz w:val="24"/>
                <w:szCs w:val="24"/>
                <w:highlight w:val="none"/>
                <w:lang w:eastAsia="zh-CN" w:bidi="ar"/>
              </w:rPr>
              <w:t>通过了原岳阳市环境保护局的竣工环保验收（</w:t>
            </w:r>
            <w:r>
              <w:rPr>
                <w:rFonts w:hint="eastAsia" w:ascii="Times New Roman" w:hAnsi="Times New Roman" w:eastAsia="宋体" w:cs="Times New Roman"/>
                <w:b w:val="0"/>
                <w:color w:val="auto"/>
                <w:sz w:val="24"/>
                <w:szCs w:val="24"/>
                <w:highlight w:val="none"/>
                <w:lang w:val="en-US" w:eastAsia="zh-CN" w:bidi="ar"/>
              </w:rPr>
              <w:t>岳环评验〔2016〕5号</w:t>
            </w:r>
            <w:r>
              <w:rPr>
                <w:rFonts w:hint="eastAsia" w:ascii="Times New Roman" w:hAnsi="Times New Roman" w:eastAsia="宋体" w:cs="Times New Roman"/>
                <w:b w:val="0"/>
                <w:color w:val="auto"/>
                <w:sz w:val="24"/>
                <w:szCs w:val="24"/>
                <w:highlight w:val="none"/>
                <w:lang w:eastAsia="zh-CN" w:bidi="ar"/>
              </w:rPr>
              <w:t>）（附件</w:t>
            </w:r>
            <w:r>
              <w:rPr>
                <w:rFonts w:hint="eastAsia" w:ascii="Times New Roman" w:hAnsi="Times New Roman" w:eastAsia="宋体" w:cs="Times New Roman"/>
                <w:b w:val="0"/>
                <w:color w:val="auto"/>
                <w:sz w:val="24"/>
                <w:szCs w:val="24"/>
                <w:highlight w:val="none"/>
                <w:lang w:val="en-US" w:eastAsia="zh-CN" w:bidi="ar"/>
              </w:rPr>
              <w:t>5</w:t>
            </w:r>
            <w:r>
              <w:rPr>
                <w:rFonts w:hint="eastAsia" w:ascii="Times New Roman" w:hAnsi="Times New Roman" w:eastAsia="宋体" w:cs="Times New Roman"/>
                <w:b w:val="0"/>
                <w:color w:val="auto"/>
                <w:sz w:val="24"/>
                <w:szCs w:val="24"/>
                <w:highlight w:val="none"/>
                <w:lang w:eastAsia="zh-CN" w:bidi="ar"/>
              </w:rPr>
              <w:t>），由于年产</w:t>
            </w:r>
            <w:r>
              <w:rPr>
                <w:color w:val="auto"/>
                <w:sz w:val="24"/>
                <w:szCs w:val="24"/>
                <w:highlight w:val="none"/>
                <w:lang w:val="zh-CN"/>
              </w:rPr>
              <w:t>1</w:t>
            </w:r>
            <w:r>
              <w:rPr>
                <w:rFonts w:hAnsi="宋体"/>
                <w:color w:val="auto"/>
                <w:sz w:val="24"/>
                <w:szCs w:val="24"/>
                <w:highlight w:val="none"/>
                <w:lang w:val="zh-CN"/>
              </w:rPr>
              <w:t>万吨</w:t>
            </w:r>
            <w:r>
              <w:rPr>
                <w:rFonts w:hAnsi="宋体"/>
                <w:color w:val="auto"/>
                <w:sz w:val="24"/>
                <w:szCs w:val="24"/>
                <w:lang w:val="zh-CN"/>
              </w:rPr>
              <w:t>药芯焊</w:t>
            </w:r>
            <w:r>
              <w:rPr>
                <w:rFonts w:hAnsi="宋体"/>
                <w:color w:val="auto"/>
                <w:sz w:val="24"/>
                <w:szCs w:val="24"/>
                <w:highlight w:val="none"/>
                <w:lang w:val="zh-CN"/>
              </w:rPr>
              <w:t>丝</w:t>
            </w:r>
            <w:r>
              <w:rPr>
                <w:rFonts w:hint="eastAsia" w:hAnsi="宋体"/>
                <w:color w:val="auto"/>
                <w:sz w:val="24"/>
                <w:szCs w:val="24"/>
                <w:highlight w:val="none"/>
                <w:lang w:eastAsia="zh-CN"/>
              </w:rPr>
              <w:t>生产线</w:t>
            </w:r>
            <w:r>
              <w:rPr>
                <w:rFonts w:hAnsi="宋体"/>
                <w:color w:val="auto"/>
                <w:sz w:val="24"/>
                <w:szCs w:val="24"/>
                <w:highlight w:val="none"/>
                <w:lang w:val="zh-CN"/>
              </w:rPr>
              <w:t>、</w:t>
            </w:r>
            <w:r>
              <w:rPr>
                <w:color w:val="auto"/>
                <w:sz w:val="24"/>
                <w:szCs w:val="24"/>
                <w:highlight w:val="none"/>
                <w:lang w:val="zh-CN"/>
              </w:rPr>
              <w:t>0.1</w:t>
            </w:r>
            <w:r>
              <w:rPr>
                <w:rFonts w:hAnsi="宋体"/>
                <w:color w:val="auto"/>
                <w:sz w:val="24"/>
                <w:szCs w:val="24"/>
                <w:highlight w:val="none"/>
                <w:lang w:val="zh-CN"/>
              </w:rPr>
              <w:t>万</w:t>
            </w:r>
            <w:r>
              <w:rPr>
                <w:rFonts w:hAnsi="宋体"/>
                <w:color w:val="auto"/>
                <w:sz w:val="24"/>
                <w:szCs w:val="24"/>
                <w:highlight w:val="none"/>
              </w:rPr>
              <w:t>吨</w:t>
            </w:r>
            <w:r>
              <w:rPr>
                <w:rFonts w:hAnsi="宋体"/>
                <w:color w:val="auto"/>
                <w:sz w:val="24"/>
                <w:szCs w:val="24"/>
                <w:highlight w:val="none"/>
                <w:lang w:val="zh-CN"/>
              </w:rPr>
              <w:t>特种电焊条</w:t>
            </w:r>
            <w:r>
              <w:rPr>
                <w:rFonts w:hint="eastAsia" w:hAnsi="宋体"/>
                <w:color w:val="auto"/>
                <w:sz w:val="24"/>
                <w:szCs w:val="24"/>
                <w:highlight w:val="none"/>
                <w:lang w:eastAsia="zh-CN"/>
              </w:rPr>
              <w:t>生产线、食堂尚未建设完工，因此未纳入该验收范围，</w:t>
            </w:r>
            <w:r>
              <w:rPr>
                <w:rFonts w:hint="eastAsia" w:hAnsi="宋体"/>
                <w:color w:val="auto"/>
                <w:sz w:val="24"/>
                <w:szCs w:val="24"/>
                <w:highlight w:val="none"/>
                <w:u w:val="single"/>
                <w:lang w:eastAsia="zh-CN"/>
              </w:rPr>
              <w:t>后由于市场原因，</w:t>
            </w:r>
            <w:r>
              <w:rPr>
                <w:rFonts w:hint="eastAsia"/>
                <w:b w:val="0"/>
                <w:bCs w:val="0"/>
                <w:color w:val="auto"/>
                <w:sz w:val="24"/>
                <w:szCs w:val="24"/>
                <w:highlight w:val="none"/>
                <w:u w:val="single"/>
                <w:lang w:eastAsia="zh-CN"/>
              </w:rPr>
              <w:t>湖南西姆西科技有限公司决定取消原环评中</w:t>
            </w:r>
            <w:r>
              <w:rPr>
                <w:rFonts w:hint="eastAsia" w:cs="Times New Roman"/>
                <w:b w:val="0"/>
                <w:bCs w:val="0"/>
                <w:color w:val="auto"/>
                <w:sz w:val="24"/>
                <w:szCs w:val="24"/>
                <w:highlight w:val="none"/>
                <w:u w:val="single"/>
                <w:lang w:val="en-US" w:eastAsia="zh-CN" w:bidi="ar"/>
              </w:rPr>
              <w:t>药芯焊丝生产线和</w:t>
            </w:r>
            <w:r>
              <w:rPr>
                <w:rFonts w:hint="eastAsia" w:cs="宋体"/>
                <w:color w:val="auto"/>
                <w:sz w:val="24"/>
                <w:szCs w:val="24"/>
                <w:highlight w:val="none"/>
                <w:u w:val="single"/>
                <w:lang w:val="en-US" w:eastAsia="zh-CN"/>
              </w:rPr>
              <w:t>特种电焊生产线，见附件15</w:t>
            </w:r>
            <w:r>
              <w:rPr>
                <w:rFonts w:hint="eastAsia" w:hAnsi="宋体"/>
                <w:color w:val="auto"/>
                <w:sz w:val="24"/>
                <w:szCs w:val="24"/>
                <w:highlight w:val="none"/>
                <w:u w:val="single"/>
                <w:lang w:eastAsia="zh-CN"/>
              </w:rPr>
              <w:t>。</w:t>
            </w:r>
          </w:p>
          <w:p>
            <w:pPr>
              <w:pStyle w:val="62"/>
              <w:bidi w:val="0"/>
              <w:rPr>
                <w:rFonts w:hint="default" w:cs="Times New Roman"/>
                <w:b w:val="0"/>
                <w:bCs w:val="0"/>
                <w:color w:val="auto"/>
                <w:sz w:val="24"/>
                <w:szCs w:val="24"/>
                <w:highlight w:val="none"/>
                <w:u w:val="single"/>
                <w:lang w:val="en-US" w:eastAsia="zh-CN" w:bidi="ar"/>
              </w:rPr>
            </w:pPr>
            <w:r>
              <w:rPr>
                <w:rFonts w:hint="eastAsia" w:cs="Times New Roman"/>
                <w:b w:val="0"/>
                <w:bCs w:val="0"/>
                <w:color w:val="auto"/>
                <w:sz w:val="24"/>
                <w:szCs w:val="24"/>
                <w:highlight w:val="none"/>
                <w:u w:val="single"/>
                <w:lang w:val="en-US" w:eastAsia="zh-CN" w:bidi="ar"/>
              </w:rPr>
              <w:t>随着自动焊技术的发展，</w:t>
            </w:r>
            <w:r>
              <w:rPr>
                <w:rFonts w:hint="eastAsia" w:hAnsi="宋体"/>
                <w:color w:val="auto"/>
                <w:sz w:val="24"/>
                <w:szCs w:val="24"/>
                <w:highlight w:val="none"/>
                <w:u w:val="single"/>
                <w:lang w:eastAsia="zh-CN"/>
              </w:rPr>
              <w:t>药芯焊丝和特种电焊条的产品种类、用途等都发生了变化，原辅材料、生产工艺、生产设备等都已更新迭代，且药芯焊丝和特种电焊条产能增加，</w:t>
            </w:r>
            <w:r>
              <w:rPr>
                <w:rFonts w:hint="eastAsia"/>
                <w:b w:val="0"/>
                <w:bCs w:val="0"/>
                <w:color w:val="auto"/>
                <w:sz w:val="24"/>
                <w:szCs w:val="24"/>
                <w:highlight w:val="none"/>
                <w:u w:val="single"/>
                <w:lang w:eastAsia="zh-CN"/>
              </w:rPr>
              <w:t>湖南西姆西科技有限公司</w:t>
            </w:r>
            <w:r>
              <w:rPr>
                <w:rFonts w:hint="eastAsia" w:cs="Times New Roman"/>
                <w:b w:val="0"/>
                <w:bCs w:val="0"/>
                <w:color w:val="auto"/>
                <w:sz w:val="24"/>
                <w:szCs w:val="24"/>
                <w:highlight w:val="none"/>
                <w:u w:val="single"/>
                <w:lang w:val="en-US" w:eastAsia="zh-CN" w:bidi="ar"/>
              </w:rPr>
              <w:t>拟在1#生产厂房东侧新建药芯焊丝生产线和</w:t>
            </w:r>
            <w:r>
              <w:rPr>
                <w:rFonts w:hint="eastAsia" w:cs="宋体"/>
                <w:color w:val="auto"/>
                <w:sz w:val="24"/>
                <w:szCs w:val="24"/>
                <w:highlight w:val="none"/>
                <w:u w:val="single"/>
                <w:lang w:val="en-US" w:eastAsia="zh-CN"/>
              </w:rPr>
              <w:t>特种电焊生产线，年生产药芯焊丝3万吨、特种电焊条0.5万吨。为提升公辅设施，拟新建</w:t>
            </w:r>
            <w:r>
              <w:rPr>
                <w:rFonts w:hint="eastAsia" w:cs="Times New Roman"/>
                <w:b w:val="0"/>
                <w:bCs w:val="0"/>
                <w:color w:val="auto"/>
                <w:sz w:val="24"/>
                <w:szCs w:val="24"/>
                <w:highlight w:val="none"/>
                <w:u w:val="single"/>
                <w:lang w:val="en-US" w:eastAsia="zh-CN" w:bidi="ar"/>
              </w:rPr>
              <w:t>3#厂房、4#厂房、5F办公楼和食堂，并配套新建塑料盘生产线</w:t>
            </w:r>
            <w:r>
              <w:rPr>
                <w:rFonts w:hint="eastAsia"/>
                <w:color w:val="auto"/>
                <w:sz w:val="24"/>
                <w:szCs w:val="24"/>
                <w:highlight w:val="none"/>
                <w:u w:val="single"/>
                <w:lang w:eastAsia="zh-CN"/>
              </w:rPr>
              <w:t>用于全厂产品包装</w:t>
            </w:r>
            <w:r>
              <w:rPr>
                <w:rFonts w:hint="eastAsia" w:cs="Times New Roman"/>
                <w:b w:val="0"/>
                <w:bCs w:val="0"/>
                <w:color w:val="auto"/>
                <w:sz w:val="24"/>
                <w:szCs w:val="24"/>
                <w:highlight w:val="none"/>
                <w:u w:val="single"/>
                <w:lang w:val="en-US" w:eastAsia="zh-CN" w:bidi="ar"/>
              </w:rPr>
              <w:t>。</w:t>
            </w:r>
          </w:p>
          <w:p>
            <w:pPr>
              <w:pStyle w:val="62"/>
              <w:bidi w:val="0"/>
              <w:rPr>
                <w:rFonts w:hint="eastAsia" w:cs="Times New Roman"/>
                <w:b w:val="0"/>
                <w:bCs w:val="0"/>
                <w:color w:val="auto"/>
                <w:sz w:val="24"/>
                <w:szCs w:val="24"/>
                <w:highlight w:val="none"/>
                <w:u w:val="single"/>
                <w:lang w:val="en-US" w:eastAsia="zh-CN" w:bidi="ar"/>
              </w:rPr>
            </w:pPr>
            <w:r>
              <w:rPr>
                <w:rFonts w:hint="eastAsia"/>
                <w:b w:val="0"/>
                <w:bCs w:val="0"/>
                <w:color w:val="auto"/>
                <w:sz w:val="24"/>
                <w:szCs w:val="24"/>
                <w:highlight w:val="none"/>
                <w:u w:val="single"/>
                <w:lang w:eastAsia="zh-CN"/>
              </w:rPr>
              <w:t>同时为提升不锈钢焊丝产品质量，湖南西姆西科技有限公司</w:t>
            </w:r>
            <w:r>
              <w:rPr>
                <w:rFonts w:hint="eastAsia" w:cs="Times New Roman"/>
                <w:b w:val="0"/>
                <w:bCs w:val="0"/>
                <w:color w:val="auto"/>
                <w:sz w:val="24"/>
                <w:szCs w:val="24"/>
                <w:highlight w:val="none"/>
                <w:u w:val="single"/>
                <w:lang w:val="en-US" w:eastAsia="zh-CN" w:bidi="ar"/>
              </w:rPr>
              <w:t>对现有不锈钢焊丝生产线设备设施进行技术改造，取消原乳化和碱电解工艺，</w:t>
            </w:r>
            <w:r>
              <w:rPr>
                <w:rFonts w:hint="eastAsia" w:ascii="Times New Roman" w:hAnsi="Times New Roman" w:eastAsia="宋体" w:cs="Times New Roman"/>
                <w:b w:val="0"/>
                <w:bCs w:val="0"/>
                <w:color w:val="auto"/>
                <w:sz w:val="24"/>
                <w:szCs w:val="24"/>
                <w:highlight w:val="none"/>
                <w:u w:val="single"/>
                <w:lang w:val="en-US" w:eastAsia="zh-CN" w:bidi="ar"/>
              </w:rPr>
              <w:t>新增</w:t>
            </w:r>
            <w:r>
              <w:rPr>
                <w:rFonts w:hint="eastAsia" w:cs="Times New Roman"/>
                <w:b w:val="0"/>
                <w:bCs w:val="0"/>
                <w:color w:val="auto"/>
                <w:sz w:val="24"/>
                <w:szCs w:val="24"/>
                <w:highlight w:val="none"/>
                <w:u w:val="single"/>
                <w:lang w:val="en-US" w:eastAsia="zh-CN" w:bidi="ar"/>
              </w:rPr>
              <w:t>酸电解和</w:t>
            </w:r>
            <w:r>
              <w:rPr>
                <w:rFonts w:hint="eastAsia" w:ascii="Times New Roman" w:hAnsi="Times New Roman" w:eastAsia="宋体" w:cs="Times New Roman"/>
                <w:b w:val="0"/>
                <w:bCs w:val="0"/>
                <w:color w:val="auto"/>
                <w:sz w:val="24"/>
                <w:szCs w:val="24"/>
                <w:highlight w:val="none"/>
                <w:u w:val="single"/>
                <w:lang w:val="en-US" w:eastAsia="zh-CN" w:bidi="ar"/>
              </w:rPr>
              <w:t>氨分解充氢退火</w:t>
            </w:r>
            <w:r>
              <w:rPr>
                <w:rFonts w:hint="eastAsia" w:cs="Times New Roman"/>
                <w:b w:val="0"/>
                <w:bCs w:val="0"/>
                <w:color w:val="auto"/>
                <w:sz w:val="24"/>
                <w:szCs w:val="24"/>
                <w:highlight w:val="none"/>
                <w:u w:val="single"/>
                <w:lang w:val="en-US" w:eastAsia="zh-CN" w:bidi="ar"/>
              </w:rPr>
              <w:t>工艺优化产品性能，细化不锈钢焊丝产品品种，改造后不锈钢焊丝生产规模不发生变化，仍保持年产</w:t>
            </w:r>
            <w:r>
              <w:rPr>
                <w:rFonts w:hint="eastAsia" w:ascii="Times New Roman" w:hAnsi="Times New Roman" w:eastAsia="宋体" w:cs="Times New Roman"/>
                <w:b w:val="0"/>
                <w:bCs w:val="0"/>
                <w:color w:val="auto"/>
                <w:sz w:val="24"/>
                <w:szCs w:val="24"/>
                <w:highlight w:val="none"/>
                <w:u w:val="single"/>
                <w:lang w:val="en-US" w:eastAsia="zh-CN" w:bidi="ar"/>
              </w:rPr>
              <w:t>不锈钢焊丝0.1万吨规模</w:t>
            </w:r>
            <w:r>
              <w:rPr>
                <w:rFonts w:hint="eastAsia" w:cs="Times New Roman"/>
                <w:b w:val="0"/>
                <w:bCs w:val="0"/>
                <w:color w:val="auto"/>
                <w:sz w:val="24"/>
                <w:szCs w:val="24"/>
                <w:highlight w:val="none"/>
                <w:u w:val="single"/>
                <w:lang w:val="en-US" w:eastAsia="zh-CN" w:bidi="ar"/>
              </w:rPr>
              <w:t>。</w:t>
            </w:r>
          </w:p>
          <w:p>
            <w:pPr>
              <w:pStyle w:val="62"/>
              <w:numPr>
                <w:ilvl w:val="0"/>
                <w:numId w:val="0"/>
              </w:numPr>
              <w:bidi w:val="0"/>
              <w:ind w:firstLine="480" w:firstLineChars="200"/>
              <w:rPr>
                <w:rFonts w:hint="default" w:ascii="Times New Roman" w:hAnsi="Times New Roman" w:eastAsia="宋体" w:cs="Times New Roman"/>
                <w:b w:val="0"/>
                <w:bCs w:val="0"/>
                <w:color w:val="auto"/>
                <w:sz w:val="32"/>
                <w:szCs w:val="32"/>
                <w:highlight w:val="none"/>
                <w:u w:val="single"/>
                <w:lang w:val="en-US" w:eastAsia="zh-CN" w:bidi="ar"/>
              </w:rPr>
            </w:pPr>
            <w:r>
              <w:rPr>
                <w:rFonts w:hint="eastAsia" w:cs="Times New Roman"/>
                <w:b w:val="0"/>
                <w:bCs w:val="0"/>
                <w:color w:val="auto"/>
                <w:sz w:val="24"/>
                <w:szCs w:val="24"/>
                <w:highlight w:val="none"/>
                <w:u w:val="single"/>
                <w:lang w:val="en-US" w:eastAsia="zh-CN" w:bidi="ar"/>
              </w:rPr>
              <w:t>本次改扩建</w:t>
            </w:r>
            <w:r>
              <w:rPr>
                <w:rFonts w:hint="eastAsia" w:ascii="Times New Roman" w:hAnsi="Times New Roman" w:eastAsia="宋体" w:cs="Times New Roman"/>
                <w:b w:val="0"/>
                <w:bCs w:val="0"/>
                <w:color w:val="auto"/>
                <w:sz w:val="24"/>
                <w:szCs w:val="24"/>
                <w:highlight w:val="none"/>
                <w:u w:val="single"/>
                <w:lang w:val="en-US" w:eastAsia="zh-CN" w:bidi="ar"/>
              </w:rPr>
              <w:t>后</w:t>
            </w:r>
            <w:r>
              <w:rPr>
                <w:rFonts w:hint="eastAsia"/>
                <w:b w:val="0"/>
                <w:bCs w:val="0"/>
                <w:color w:val="auto"/>
                <w:sz w:val="24"/>
                <w:szCs w:val="24"/>
                <w:highlight w:val="none"/>
                <w:u w:val="single"/>
                <w:lang w:eastAsia="zh-CN"/>
              </w:rPr>
              <w:t>湖南西姆西科技有限公司</w:t>
            </w:r>
            <w:r>
              <w:rPr>
                <w:rFonts w:hint="eastAsia" w:ascii="Times New Roman" w:hAnsi="Times New Roman" w:eastAsia="宋体" w:cs="Times New Roman"/>
                <w:b w:val="0"/>
                <w:bCs w:val="0"/>
                <w:color w:val="auto"/>
                <w:sz w:val="24"/>
                <w:szCs w:val="24"/>
                <w:highlight w:val="none"/>
                <w:u w:val="single"/>
                <w:lang w:val="en-US" w:eastAsia="zh-CN" w:bidi="ar"/>
              </w:rPr>
              <w:t>年生产不锈钢焊丝0.1万吨</w:t>
            </w:r>
            <w:r>
              <w:rPr>
                <w:rFonts w:hint="eastAsia" w:cs="Times New Roman"/>
                <w:b w:val="0"/>
                <w:bCs w:val="0"/>
                <w:color w:val="auto"/>
                <w:sz w:val="24"/>
                <w:szCs w:val="24"/>
                <w:highlight w:val="none"/>
                <w:u w:val="single"/>
                <w:lang w:val="en-US" w:eastAsia="zh-CN" w:bidi="ar"/>
              </w:rPr>
              <w:t>、</w:t>
            </w:r>
            <w:r>
              <w:rPr>
                <w:rFonts w:hAnsi="宋体"/>
                <w:color w:val="auto"/>
                <w:sz w:val="24"/>
                <w:szCs w:val="24"/>
                <w:highlight w:val="none"/>
                <w:u w:val="single"/>
                <w:lang w:val="zh-CN"/>
              </w:rPr>
              <w:t>药芯焊丝</w:t>
            </w:r>
            <w:r>
              <w:rPr>
                <w:rFonts w:hint="eastAsia"/>
                <w:color w:val="auto"/>
                <w:sz w:val="24"/>
                <w:szCs w:val="24"/>
                <w:highlight w:val="none"/>
                <w:u w:val="single"/>
                <w:lang w:val="en-US" w:eastAsia="zh-CN"/>
              </w:rPr>
              <w:t>3</w:t>
            </w:r>
            <w:r>
              <w:rPr>
                <w:rFonts w:hAnsi="宋体"/>
                <w:color w:val="auto"/>
                <w:sz w:val="24"/>
                <w:szCs w:val="24"/>
                <w:highlight w:val="none"/>
                <w:u w:val="single"/>
                <w:lang w:val="zh-CN"/>
              </w:rPr>
              <w:t>万吨、特种电焊条</w:t>
            </w:r>
            <w:r>
              <w:rPr>
                <w:color w:val="auto"/>
                <w:sz w:val="24"/>
                <w:szCs w:val="24"/>
                <w:highlight w:val="none"/>
                <w:u w:val="single"/>
                <w:lang w:val="zh-CN"/>
              </w:rPr>
              <w:t>0.</w:t>
            </w:r>
            <w:r>
              <w:rPr>
                <w:rFonts w:hint="eastAsia"/>
                <w:color w:val="auto"/>
                <w:sz w:val="24"/>
                <w:szCs w:val="24"/>
                <w:highlight w:val="none"/>
                <w:u w:val="single"/>
                <w:lang w:val="en-US" w:eastAsia="zh-CN"/>
              </w:rPr>
              <w:t>5</w:t>
            </w:r>
            <w:r>
              <w:rPr>
                <w:rFonts w:hAnsi="宋体"/>
                <w:color w:val="auto"/>
                <w:sz w:val="24"/>
                <w:szCs w:val="24"/>
                <w:highlight w:val="none"/>
                <w:u w:val="single"/>
                <w:lang w:val="zh-CN"/>
              </w:rPr>
              <w:t>万</w:t>
            </w:r>
            <w:r>
              <w:rPr>
                <w:rFonts w:hAnsi="宋体"/>
                <w:color w:val="auto"/>
                <w:sz w:val="24"/>
                <w:szCs w:val="24"/>
                <w:highlight w:val="none"/>
                <w:u w:val="single"/>
              </w:rPr>
              <w:t>吨</w:t>
            </w:r>
            <w:r>
              <w:rPr>
                <w:rFonts w:hint="eastAsia" w:hAnsi="宋体"/>
                <w:color w:val="auto"/>
                <w:sz w:val="24"/>
                <w:szCs w:val="24"/>
                <w:highlight w:val="none"/>
                <w:u w:val="single"/>
                <w:lang w:eastAsia="zh-CN"/>
              </w:rPr>
              <w:t>、塑料盘</w:t>
            </w:r>
            <w:r>
              <w:rPr>
                <w:rFonts w:hint="eastAsia" w:hAnsi="宋体"/>
                <w:color w:val="auto"/>
                <w:sz w:val="24"/>
                <w:szCs w:val="24"/>
                <w:highlight w:val="none"/>
                <w:u w:val="single"/>
                <w:lang w:val="en-US" w:eastAsia="zh-CN"/>
              </w:rPr>
              <w:t>0.3万</w:t>
            </w:r>
            <w:r>
              <w:rPr>
                <w:rFonts w:hint="eastAsia" w:ascii="Times New Roman" w:hAnsi="Times New Roman" w:eastAsia="宋体" w:cs="Times New Roman"/>
                <w:b w:val="0"/>
                <w:bCs w:val="0"/>
                <w:color w:val="auto"/>
                <w:sz w:val="24"/>
                <w:szCs w:val="24"/>
                <w:highlight w:val="none"/>
                <w:u w:val="single"/>
                <w:lang w:val="en-US" w:eastAsia="zh-CN" w:bidi="ar"/>
              </w:rPr>
              <w:t>吨。</w:t>
            </w:r>
            <w:r>
              <w:rPr>
                <w:rFonts w:hint="eastAsia" w:cs="Times New Roman"/>
                <w:b w:val="0"/>
                <w:bCs w:val="0"/>
                <w:color w:val="auto"/>
                <w:sz w:val="24"/>
                <w:szCs w:val="24"/>
                <w:highlight w:val="none"/>
                <w:u w:val="single"/>
                <w:lang w:val="en-US" w:eastAsia="zh-CN" w:bidi="ar"/>
              </w:rPr>
              <w:t>其他焊丝生产线不变，本次改扩建不涉及其他焊丝生产线。</w:t>
            </w:r>
          </w:p>
          <w:p>
            <w:pPr>
              <w:spacing w:line="360" w:lineRule="auto"/>
              <w:ind w:firstLine="480" w:firstLineChars="200"/>
              <w:outlineLvl w:val="1"/>
              <w:rPr>
                <w:color w:val="auto"/>
                <w:szCs w:val="21"/>
                <w:highlight w:val="none"/>
                <w:u w:val="single"/>
              </w:rPr>
            </w:pPr>
            <w:r>
              <w:rPr>
                <w:rStyle w:val="31"/>
                <w:rFonts w:hint="eastAsia" w:cs="Times New Roman"/>
                <w:color w:val="auto"/>
                <w:sz w:val="24"/>
                <w:szCs w:val="24"/>
                <w:highlight w:val="none"/>
                <w:u w:val="none"/>
                <w:vertAlign w:val="baseline"/>
                <w:lang w:val="en-US" w:eastAsia="zh-CN"/>
              </w:rPr>
              <w:t>根据《建设项目环境影响评价分类管理名录（2021年版）》（生态环境部令第16号），</w:t>
            </w:r>
            <w:r>
              <w:rPr>
                <w:rStyle w:val="31"/>
                <w:rFonts w:hint="eastAsia" w:cs="Times New Roman"/>
                <w:color w:val="auto"/>
                <w:sz w:val="24"/>
                <w:szCs w:val="24"/>
                <w:highlight w:val="none"/>
                <w:u w:val="single"/>
                <w:vertAlign w:val="baseline"/>
                <w:lang w:val="en-US" w:eastAsia="zh-CN"/>
              </w:rPr>
              <w:t>项目不锈钢焊丝、药芯焊丝和特种电焊条生产属于“三十、金属制品业33-67.金属表面热处理及热处理加工”中的“其他（年用非溶剂型低VOCs含量涂料10吨以下的除外）”和“68.铸造及其他金属制品制造”中的“其他（仅分割、焊接、组装的除外）”，项目药芯焊丝和特种电焊条属于“二十三、化学原料和化学制品制造业26-44.专用化学产品制造266”中的“</w:t>
            </w:r>
            <w:r>
              <w:rPr>
                <w:rStyle w:val="31"/>
                <w:rFonts w:hint="eastAsia"/>
                <w:color w:val="auto"/>
                <w:kern w:val="2"/>
                <w:sz w:val="24"/>
                <w:highlight w:val="none"/>
                <w:u w:val="single"/>
                <w:lang w:val="en-US" w:eastAsia="zh-CN"/>
              </w:rPr>
              <w:t>单纯物理分离、物理提纯、混合、分装的（不产生废水或挥发性有机物的除外）</w:t>
            </w:r>
            <w:r>
              <w:rPr>
                <w:rStyle w:val="31"/>
                <w:rFonts w:hint="eastAsia" w:cs="Times New Roman"/>
                <w:color w:val="auto"/>
                <w:sz w:val="24"/>
                <w:szCs w:val="24"/>
                <w:highlight w:val="none"/>
                <w:u w:val="single"/>
                <w:vertAlign w:val="baseline"/>
                <w:lang w:val="en-US" w:eastAsia="zh-CN"/>
              </w:rPr>
              <w:t>”，塑料盘注塑工序属于“</w:t>
            </w:r>
            <w:r>
              <w:rPr>
                <w:rStyle w:val="31"/>
                <w:color w:val="auto"/>
                <w:kern w:val="2"/>
                <w:sz w:val="24"/>
                <w:highlight w:val="none"/>
                <w:u w:val="single"/>
              </w:rPr>
              <w:t>二十六、橡胶和塑料制品业29</w:t>
            </w:r>
            <w:r>
              <w:rPr>
                <w:rStyle w:val="31"/>
                <w:rFonts w:hint="eastAsia"/>
                <w:color w:val="auto"/>
                <w:kern w:val="2"/>
                <w:sz w:val="24"/>
                <w:highlight w:val="none"/>
                <w:u w:val="single"/>
                <w:lang w:val="en-US" w:eastAsia="zh-CN"/>
              </w:rPr>
              <w:t>-53.</w:t>
            </w:r>
            <w:r>
              <w:rPr>
                <w:rStyle w:val="31"/>
                <w:color w:val="auto"/>
                <w:kern w:val="2"/>
                <w:sz w:val="24"/>
                <w:highlight w:val="none"/>
                <w:u w:val="single"/>
              </w:rPr>
              <w:t>塑料制品业292</w:t>
            </w:r>
            <w:r>
              <w:rPr>
                <w:rStyle w:val="31"/>
                <w:rFonts w:hint="eastAsia" w:cs="Times New Roman"/>
                <w:color w:val="auto"/>
                <w:sz w:val="24"/>
                <w:szCs w:val="24"/>
                <w:highlight w:val="none"/>
                <w:u w:val="single"/>
                <w:vertAlign w:val="baseline"/>
                <w:lang w:val="en-US" w:eastAsia="zh-CN"/>
              </w:rPr>
              <w:t>”</w:t>
            </w:r>
            <w:r>
              <w:rPr>
                <w:rStyle w:val="31"/>
                <w:color w:val="auto"/>
                <w:kern w:val="2"/>
                <w:sz w:val="24"/>
                <w:highlight w:val="none"/>
                <w:u w:val="single"/>
              </w:rPr>
              <w:t>中</w:t>
            </w:r>
            <w:r>
              <w:rPr>
                <w:rStyle w:val="31"/>
                <w:rFonts w:hint="eastAsia"/>
                <w:color w:val="auto"/>
                <w:kern w:val="2"/>
                <w:sz w:val="24"/>
                <w:highlight w:val="none"/>
                <w:u w:val="single"/>
                <w:lang w:eastAsia="zh-CN"/>
              </w:rPr>
              <w:t>的“</w:t>
            </w:r>
            <w:r>
              <w:rPr>
                <w:rStyle w:val="31"/>
                <w:color w:val="auto"/>
                <w:kern w:val="2"/>
                <w:sz w:val="24"/>
                <w:highlight w:val="none"/>
                <w:u w:val="single"/>
              </w:rPr>
              <w:t>其他</w:t>
            </w:r>
            <w:r>
              <w:rPr>
                <w:rStyle w:val="31"/>
                <w:rFonts w:hint="eastAsia"/>
                <w:color w:val="auto"/>
                <w:kern w:val="2"/>
                <w:sz w:val="24"/>
                <w:highlight w:val="none"/>
                <w:u w:val="single"/>
                <w:lang w:eastAsia="zh-CN"/>
              </w:rPr>
              <w:t>（年用非溶剂型低</w:t>
            </w:r>
            <w:r>
              <w:rPr>
                <w:rStyle w:val="31"/>
                <w:rFonts w:hint="eastAsia"/>
                <w:color w:val="auto"/>
                <w:kern w:val="2"/>
                <w:sz w:val="24"/>
                <w:highlight w:val="none"/>
                <w:u w:val="single"/>
                <w:lang w:val="en-US" w:eastAsia="zh-CN"/>
              </w:rPr>
              <w:t>VOC</w:t>
            </w:r>
            <w:r>
              <w:rPr>
                <w:rStyle w:val="31"/>
                <w:rFonts w:hint="eastAsia"/>
                <w:color w:val="auto"/>
                <w:kern w:val="2"/>
                <w:sz w:val="24"/>
                <w:highlight w:val="none"/>
                <w:u w:val="single"/>
                <w:vertAlign w:val="subscript"/>
                <w:lang w:val="en-US" w:eastAsia="zh-CN"/>
              </w:rPr>
              <w:t>S</w:t>
            </w:r>
            <w:r>
              <w:rPr>
                <w:rStyle w:val="31"/>
                <w:rFonts w:hint="eastAsia"/>
                <w:color w:val="auto"/>
                <w:kern w:val="2"/>
                <w:sz w:val="24"/>
                <w:highlight w:val="none"/>
                <w:u w:val="single"/>
                <w:lang w:val="en-US" w:eastAsia="zh-CN"/>
              </w:rPr>
              <w:t>含量涂料10吨以下的除外</w:t>
            </w:r>
            <w:r>
              <w:rPr>
                <w:rStyle w:val="31"/>
                <w:rFonts w:hint="eastAsia"/>
                <w:color w:val="auto"/>
                <w:kern w:val="2"/>
                <w:sz w:val="24"/>
                <w:highlight w:val="none"/>
                <w:u w:val="single"/>
                <w:lang w:eastAsia="zh-CN"/>
              </w:rPr>
              <w:t>）”，</w:t>
            </w:r>
            <w:r>
              <w:rPr>
                <w:rStyle w:val="31"/>
                <w:rFonts w:hint="eastAsia" w:cs="Times New Roman"/>
                <w:color w:val="auto"/>
                <w:sz w:val="24"/>
                <w:szCs w:val="24"/>
                <w:highlight w:val="none"/>
                <w:u w:val="single"/>
                <w:vertAlign w:val="baseline"/>
                <w:lang w:val="en-US" w:eastAsia="zh-CN"/>
              </w:rPr>
              <w:t>需编制环境影响评价报告表。</w:t>
            </w:r>
          </w:p>
          <w:p>
            <w:pPr>
              <w:pStyle w:val="56"/>
              <w:bidi w:val="0"/>
              <w:rPr>
                <w:color w:val="auto"/>
                <w:sz w:val="24"/>
                <w:szCs w:val="24"/>
                <w:highlight w:val="none"/>
                <w:u w:val="none"/>
              </w:rPr>
            </w:pPr>
            <w:r>
              <w:rPr>
                <w:rFonts w:hint="eastAsia"/>
                <w:color w:val="auto"/>
                <w:sz w:val="24"/>
                <w:szCs w:val="24"/>
                <w:highlight w:val="none"/>
                <w:u w:val="none"/>
                <w:lang w:val="en-US" w:eastAsia="zh-CN"/>
              </w:rPr>
              <w:t>2.2</w:t>
            </w:r>
            <w:r>
              <w:rPr>
                <w:rFonts w:hint="eastAsia"/>
                <w:color w:val="auto"/>
                <w:sz w:val="24"/>
                <w:szCs w:val="24"/>
                <w:highlight w:val="none"/>
                <w:u w:val="none"/>
              </w:rPr>
              <w:t>项目概况</w:t>
            </w:r>
          </w:p>
          <w:p>
            <w:pPr>
              <w:pStyle w:val="62"/>
              <w:bidi w:val="0"/>
              <w:rPr>
                <w:rFonts w:hint="eastAsia"/>
                <w:color w:val="auto"/>
                <w:sz w:val="24"/>
                <w:szCs w:val="24"/>
                <w:highlight w:val="none"/>
                <w:u w:val="none"/>
              </w:rPr>
            </w:pPr>
            <w:r>
              <w:rPr>
                <w:rFonts w:hint="eastAsia"/>
                <w:color w:val="auto"/>
                <w:sz w:val="24"/>
                <w:szCs w:val="24"/>
                <w:highlight w:val="none"/>
                <w:u w:val="none"/>
              </w:rPr>
              <w:t>（1）项目名称：</w:t>
            </w:r>
            <w:r>
              <w:rPr>
                <w:rStyle w:val="31"/>
                <w:rFonts w:hint="eastAsia" w:cs="Times New Roman"/>
                <w:color w:val="auto"/>
                <w:sz w:val="24"/>
                <w:szCs w:val="24"/>
                <w:highlight w:val="none"/>
                <w:u w:val="none"/>
                <w:vertAlign w:val="baseline"/>
                <w:lang w:val="en-US" w:eastAsia="zh-CN"/>
              </w:rPr>
              <w:t>湖南西姆西科技有限公司焊材制造改扩建项目</w:t>
            </w:r>
            <w:r>
              <w:rPr>
                <w:rFonts w:hint="eastAsia"/>
                <w:color w:val="auto"/>
                <w:sz w:val="24"/>
                <w:szCs w:val="24"/>
                <w:highlight w:val="none"/>
                <w:u w:val="none"/>
              </w:rPr>
              <w:t>；</w:t>
            </w:r>
          </w:p>
          <w:p>
            <w:pPr>
              <w:pStyle w:val="62"/>
              <w:bidi w:val="0"/>
              <w:rPr>
                <w:rFonts w:hint="eastAsia"/>
                <w:color w:val="auto"/>
                <w:sz w:val="24"/>
                <w:szCs w:val="24"/>
                <w:highlight w:val="none"/>
                <w:u w:val="none"/>
              </w:rPr>
            </w:pPr>
            <w:r>
              <w:rPr>
                <w:rFonts w:hint="eastAsia"/>
                <w:color w:val="auto"/>
                <w:sz w:val="24"/>
                <w:szCs w:val="24"/>
                <w:highlight w:val="none"/>
                <w:u w:val="none"/>
              </w:rPr>
              <w:t>（</w:t>
            </w:r>
            <w:r>
              <w:rPr>
                <w:rFonts w:hint="eastAsia"/>
                <w:color w:val="auto"/>
                <w:sz w:val="24"/>
                <w:szCs w:val="24"/>
                <w:highlight w:val="none"/>
                <w:u w:val="none"/>
                <w:lang w:val="en-US" w:eastAsia="zh-CN"/>
              </w:rPr>
              <w:t>2</w:t>
            </w:r>
            <w:r>
              <w:rPr>
                <w:rFonts w:hint="eastAsia"/>
                <w:color w:val="auto"/>
                <w:sz w:val="24"/>
                <w:szCs w:val="24"/>
                <w:highlight w:val="none"/>
                <w:u w:val="none"/>
              </w:rPr>
              <w:t>）建设单位：</w:t>
            </w:r>
            <w:r>
              <w:rPr>
                <w:rStyle w:val="31"/>
                <w:rFonts w:hint="eastAsia" w:cs="Times New Roman"/>
                <w:color w:val="auto"/>
                <w:sz w:val="24"/>
                <w:szCs w:val="24"/>
                <w:highlight w:val="none"/>
                <w:u w:val="none"/>
                <w:vertAlign w:val="baseline"/>
                <w:lang w:val="en-US" w:eastAsia="zh-CN"/>
              </w:rPr>
              <w:t>湖南西姆西科技有限公司</w:t>
            </w:r>
            <w:r>
              <w:rPr>
                <w:rFonts w:hint="eastAsia"/>
                <w:color w:val="auto"/>
                <w:sz w:val="24"/>
                <w:szCs w:val="24"/>
                <w:highlight w:val="none"/>
                <w:u w:val="none"/>
              </w:rPr>
              <w:t>；</w:t>
            </w:r>
          </w:p>
          <w:p>
            <w:pPr>
              <w:pStyle w:val="62"/>
              <w:bidi w:val="0"/>
              <w:rPr>
                <w:rFonts w:hint="eastAsia"/>
                <w:color w:val="auto"/>
                <w:sz w:val="24"/>
                <w:szCs w:val="24"/>
                <w:highlight w:val="none"/>
                <w:u w:val="none"/>
              </w:rPr>
            </w:pPr>
            <w:r>
              <w:rPr>
                <w:rFonts w:hint="eastAsia"/>
                <w:color w:val="auto"/>
                <w:sz w:val="24"/>
                <w:szCs w:val="24"/>
                <w:highlight w:val="none"/>
                <w:u w:val="none"/>
              </w:rPr>
              <w:t>（</w:t>
            </w:r>
            <w:r>
              <w:rPr>
                <w:rFonts w:hint="eastAsia"/>
                <w:color w:val="auto"/>
                <w:sz w:val="24"/>
                <w:szCs w:val="24"/>
                <w:highlight w:val="none"/>
                <w:u w:val="none"/>
                <w:lang w:val="en-US" w:eastAsia="zh-CN"/>
              </w:rPr>
              <w:t>3</w:t>
            </w:r>
            <w:r>
              <w:rPr>
                <w:rFonts w:hint="eastAsia"/>
                <w:color w:val="auto"/>
                <w:sz w:val="24"/>
                <w:szCs w:val="24"/>
                <w:highlight w:val="none"/>
                <w:u w:val="none"/>
              </w:rPr>
              <w:t>）建设地点：</w:t>
            </w:r>
            <w:r>
              <w:rPr>
                <w:rFonts w:hint="eastAsia"/>
                <w:color w:val="auto"/>
                <w:sz w:val="24"/>
                <w:szCs w:val="24"/>
                <w:highlight w:val="none"/>
                <w:u w:val="none"/>
                <w:lang w:val="en-US" w:eastAsia="zh-CN"/>
              </w:rPr>
              <w:t>湘阴高新技术产业开发区金龙片区</w:t>
            </w:r>
            <w:r>
              <w:rPr>
                <w:rFonts w:hint="eastAsia"/>
                <w:color w:val="auto"/>
                <w:sz w:val="24"/>
                <w:szCs w:val="24"/>
                <w:highlight w:val="none"/>
                <w:u w:val="none"/>
              </w:rPr>
              <w:t>；</w:t>
            </w:r>
          </w:p>
          <w:p>
            <w:pPr>
              <w:pStyle w:val="62"/>
              <w:bidi w:val="0"/>
              <w:rPr>
                <w:rFonts w:hint="eastAsia"/>
                <w:color w:val="auto"/>
                <w:sz w:val="24"/>
                <w:szCs w:val="24"/>
                <w:highlight w:val="none"/>
                <w:u w:val="none"/>
              </w:rPr>
            </w:pPr>
            <w:r>
              <w:rPr>
                <w:rFonts w:hint="eastAsia"/>
                <w:color w:val="auto"/>
                <w:sz w:val="24"/>
                <w:szCs w:val="24"/>
                <w:highlight w:val="none"/>
                <w:u w:val="none"/>
              </w:rPr>
              <w:t>（</w:t>
            </w:r>
            <w:r>
              <w:rPr>
                <w:rFonts w:hint="eastAsia"/>
                <w:color w:val="auto"/>
                <w:sz w:val="24"/>
                <w:szCs w:val="24"/>
                <w:highlight w:val="none"/>
                <w:u w:val="none"/>
                <w:lang w:val="en-US" w:eastAsia="zh-CN"/>
              </w:rPr>
              <w:t>4</w:t>
            </w:r>
            <w:r>
              <w:rPr>
                <w:rFonts w:hint="eastAsia"/>
                <w:color w:val="auto"/>
                <w:sz w:val="24"/>
                <w:szCs w:val="24"/>
                <w:highlight w:val="none"/>
                <w:u w:val="none"/>
              </w:rPr>
              <w:t>）占地面积：</w:t>
            </w:r>
            <w:r>
              <w:rPr>
                <w:rFonts w:hint="eastAsia"/>
                <w:color w:val="auto"/>
                <w:sz w:val="24"/>
                <w:szCs w:val="24"/>
                <w:highlight w:val="none"/>
                <w:u w:val="none"/>
                <w:lang w:val="en-US" w:eastAsia="zh-CN"/>
              </w:rPr>
              <w:t>不新增占地，在现有用地范围内进行改扩建</w:t>
            </w:r>
            <w:r>
              <w:rPr>
                <w:rFonts w:hint="eastAsia"/>
                <w:color w:val="auto"/>
                <w:sz w:val="24"/>
                <w:szCs w:val="24"/>
                <w:lang w:eastAsia="zh-CN"/>
              </w:rPr>
              <w:t>，</w:t>
            </w:r>
            <w:r>
              <w:rPr>
                <w:rFonts w:hint="eastAsia"/>
                <w:color w:val="auto"/>
                <w:sz w:val="24"/>
                <w:szCs w:val="24"/>
                <w:lang w:val="en-US" w:eastAsia="zh-CN"/>
              </w:rPr>
              <w:t>现有总占地面积63815.84平方米</w:t>
            </w:r>
            <w:r>
              <w:rPr>
                <w:rFonts w:hint="eastAsia"/>
                <w:color w:val="auto"/>
                <w:sz w:val="24"/>
                <w:szCs w:val="24"/>
                <w:highlight w:val="none"/>
                <w:u w:val="none"/>
              </w:rPr>
              <w:t>；</w:t>
            </w:r>
          </w:p>
          <w:p>
            <w:pPr>
              <w:pStyle w:val="62"/>
              <w:bidi w:val="0"/>
              <w:rPr>
                <w:rFonts w:hint="eastAsia"/>
                <w:color w:val="auto"/>
                <w:sz w:val="24"/>
                <w:szCs w:val="24"/>
                <w:highlight w:val="none"/>
                <w:u w:val="none"/>
              </w:rPr>
            </w:pPr>
            <w:r>
              <w:rPr>
                <w:rFonts w:hint="eastAsia"/>
                <w:color w:val="auto"/>
                <w:sz w:val="24"/>
                <w:szCs w:val="24"/>
                <w:highlight w:val="none"/>
                <w:u w:val="none"/>
              </w:rPr>
              <w:t>（</w:t>
            </w:r>
            <w:r>
              <w:rPr>
                <w:rFonts w:hint="eastAsia"/>
                <w:color w:val="auto"/>
                <w:sz w:val="24"/>
                <w:szCs w:val="24"/>
                <w:highlight w:val="none"/>
                <w:u w:val="none"/>
                <w:lang w:val="en-US" w:eastAsia="zh-CN"/>
              </w:rPr>
              <w:t>5</w:t>
            </w:r>
            <w:r>
              <w:rPr>
                <w:rFonts w:hint="eastAsia"/>
                <w:color w:val="auto"/>
                <w:sz w:val="24"/>
                <w:szCs w:val="24"/>
                <w:highlight w:val="none"/>
                <w:u w:val="none"/>
              </w:rPr>
              <w:t>）项目投资：</w:t>
            </w:r>
            <w:r>
              <w:rPr>
                <w:rFonts w:hint="eastAsia"/>
                <w:color w:val="auto"/>
                <w:sz w:val="24"/>
                <w:szCs w:val="24"/>
                <w:highlight w:val="none"/>
                <w:u w:val="none"/>
                <w:lang w:eastAsia="zh-CN"/>
              </w:rPr>
              <w:t>总</w:t>
            </w:r>
            <w:r>
              <w:rPr>
                <w:rFonts w:hint="eastAsia"/>
                <w:color w:val="auto"/>
                <w:sz w:val="24"/>
                <w:szCs w:val="24"/>
                <w:highlight w:val="none"/>
                <w:u w:val="none"/>
                <w:lang w:val="en-US" w:eastAsia="zh-CN"/>
              </w:rPr>
              <w:t>投资500万元</w:t>
            </w:r>
            <w:r>
              <w:rPr>
                <w:rFonts w:hint="eastAsia"/>
                <w:color w:val="auto"/>
                <w:sz w:val="24"/>
                <w:szCs w:val="24"/>
                <w:highlight w:val="none"/>
                <w:u w:val="none"/>
                <w:lang w:eastAsia="zh-CN"/>
              </w:rPr>
              <w:t>，</w:t>
            </w:r>
            <w:r>
              <w:rPr>
                <w:rFonts w:hint="eastAsia"/>
                <w:color w:val="auto"/>
                <w:sz w:val="24"/>
                <w:szCs w:val="24"/>
                <w:highlight w:val="none"/>
                <w:u w:val="none"/>
                <w:lang w:val="en-US" w:eastAsia="zh-CN"/>
              </w:rPr>
              <w:t>环保投资93万元</w:t>
            </w:r>
            <w:r>
              <w:rPr>
                <w:rFonts w:hint="eastAsia"/>
                <w:color w:val="auto"/>
                <w:sz w:val="24"/>
                <w:szCs w:val="24"/>
                <w:highlight w:val="none"/>
                <w:u w:val="none"/>
              </w:rPr>
              <w:t>；</w:t>
            </w:r>
          </w:p>
          <w:p>
            <w:pPr>
              <w:pStyle w:val="62"/>
              <w:bidi w:val="0"/>
              <w:rPr>
                <w:rFonts w:hint="eastAsia"/>
                <w:color w:val="auto"/>
                <w:sz w:val="24"/>
                <w:szCs w:val="24"/>
                <w:highlight w:val="none"/>
                <w:u w:val="none"/>
              </w:rPr>
            </w:pPr>
            <w:r>
              <w:rPr>
                <w:rFonts w:hint="eastAsia"/>
                <w:color w:val="auto"/>
                <w:sz w:val="24"/>
                <w:szCs w:val="24"/>
                <w:highlight w:val="none"/>
                <w:u w:val="single"/>
                <w:lang w:eastAsia="zh-CN"/>
              </w:rPr>
              <w:t>在</w:t>
            </w:r>
            <w:r>
              <w:rPr>
                <w:rFonts w:hint="eastAsia"/>
                <w:color w:val="auto"/>
                <w:sz w:val="24"/>
                <w:szCs w:val="24"/>
                <w:highlight w:val="none"/>
                <w:u w:val="single"/>
                <w:lang w:val="en-US" w:eastAsia="zh-CN"/>
              </w:rPr>
              <w:t>1#</w:t>
            </w:r>
            <w:r>
              <w:rPr>
                <w:rFonts w:hint="eastAsia"/>
                <w:color w:val="auto"/>
                <w:sz w:val="24"/>
                <w:szCs w:val="24"/>
                <w:highlight w:val="none"/>
                <w:u w:val="single"/>
                <w:lang w:eastAsia="zh-CN"/>
              </w:rPr>
              <w:t>生产厂房对不锈钢焊丝生产线进行利旧改造，取消原乳化、碱电解工艺，</w:t>
            </w:r>
            <w:r>
              <w:rPr>
                <w:rFonts w:hint="eastAsia"/>
                <w:color w:val="auto"/>
                <w:sz w:val="24"/>
                <w:szCs w:val="24"/>
                <w:highlight w:val="none"/>
                <w:u w:val="single"/>
                <w:lang w:val="en-US" w:eastAsia="zh-CN"/>
              </w:rPr>
              <w:t>新增退火、酸电解等工艺。</w:t>
            </w:r>
            <w:r>
              <w:rPr>
                <w:rFonts w:hint="eastAsia"/>
                <w:color w:val="auto"/>
                <w:sz w:val="24"/>
                <w:szCs w:val="24"/>
                <w:highlight w:val="none"/>
                <w:u w:val="single"/>
                <w:lang w:eastAsia="zh-CN"/>
              </w:rPr>
              <w:t>在</w:t>
            </w:r>
            <w:r>
              <w:rPr>
                <w:rFonts w:hint="eastAsia"/>
                <w:color w:val="auto"/>
                <w:sz w:val="24"/>
                <w:szCs w:val="24"/>
                <w:highlight w:val="none"/>
                <w:u w:val="single"/>
                <w:lang w:val="en-US" w:eastAsia="zh-CN"/>
              </w:rPr>
              <w:t>1#生产厂房闲置区拟</w:t>
            </w:r>
            <w:r>
              <w:rPr>
                <w:rFonts w:hint="eastAsia"/>
                <w:color w:val="auto"/>
                <w:sz w:val="24"/>
                <w:szCs w:val="24"/>
                <w:highlight w:val="none"/>
                <w:u w:val="single"/>
                <w:lang w:eastAsia="zh-CN"/>
              </w:rPr>
              <w:t>新建</w:t>
            </w:r>
            <w:r>
              <w:rPr>
                <w:rFonts w:hint="eastAsia" w:cs="Times New Roman"/>
                <w:b w:val="0"/>
                <w:bCs w:val="0"/>
                <w:color w:val="auto"/>
                <w:sz w:val="24"/>
                <w:szCs w:val="24"/>
                <w:highlight w:val="none"/>
                <w:u w:val="single"/>
                <w:lang w:val="en-US" w:eastAsia="zh-CN" w:bidi="ar"/>
              </w:rPr>
              <w:t>药芯焊丝生产线、</w:t>
            </w:r>
            <w:r>
              <w:rPr>
                <w:rFonts w:hint="eastAsia" w:cs="宋体"/>
                <w:color w:val="auto"/>
                <w:sz w:val="24"/>
                <w:szCs w:val="24"/>
                <w:highlight w:val="none"/>
                <w:u w:val="single"/>
                <w:lang w:val="en-US" w:eastAsia="zh-CN"/>
              </w:rPr>
              <w:t>特种电焊生产线，</w:t>
            </w:r>
            <w:r>
              <w:rPr>
                <w:rFonts w:hint="eastAsia"/>
                <w:color w:val="auto"/>
                <w:sz w:val="24"/>
                <w:szCs w:val="24"/>
                <w:highlight w:val="none"/>
                <w:u w:val="single"/>
                <w:lang w:eastAsia="zh-CN"/>
              </w:rPr>
              <w:t>拟新建</w:t>
            </w:r>
            <w:r>
              <w:rPr>
                <w:rFonts w:hint="eastAsia"/>
                <w:color w:val="auto"/>
                <w:sz w:val="24"/>
                <w:szCs w:val="24"/>
                <w:highlight w:val="none"/>
                <w:u w:val="single"/>
                <w:lang w:val="en-US" w:eastAsia="zh-CN"/>
              </w:rPr>
              <w:t>3#厂房、4#厂房</w:t>
            </w:r>
            <w:r>
              <w:rPr>
                <w:rFonts w:hint="eastAsia"/>
                <w:color w:val="auto"/>
                <w:sz w:val="24"/>
                <w:szCs w:val="24"/>
                <w:highlight w:val="none"/>
                <w:u w:val="single"/>
                <w:lang w:eastAsia="zh-CN"/>
              </w:rPr>
              <w:t>、</w:t>
            </w:r>
            <w:r>
              <w:rPr>
                <w:rFonts w:hint="eastAsia"/>
                <w:color w:val="auto"/>
                <w:sz w:val="24"/>
                <w:szCs w:val="24"/>
                <w:highlight w:val="none"/>
                <w:u w:val="single"/>
                <w:lang w:val="en-US" w:eastAsia="zh-CN"/>
              </w:rPr>
              <w:t>5F</w:t>
            </w:r>
            <w:r>
              <w:rPr>
                <w:rFonts w:hint="eastAsia"/>
                <w:color w:val="auto"/>
                <w:sz w:val="24"/>
                <w:szCs w:val="24"/>
                <w:highlight w:val="none"/>
                <w:u w:val="single"/>
                <w:lang w:eastAsia="zh-CN"/>
              </w:rPr>
              <w:t>办公楼等构筑物，在</w:t>
            </w:r>
            <w:r>
              <w:rPr>
                <w:rFonts w:hint="eastAsia"/>
                <w:color w:val="auto"/>
                <w:sz w:val="24"/>
                <w:szCs w:val="24"/>
                <w:highlight w:val="none"/>
                <w:u w:val="single"/>
                <w:lang w:val="en-US" w:eastAsia="zh-CN"/>
              </w:rPr>
              <w:t>2#生产厂房闲置区</w:t>
            </w:r>
            <w:r>
              <w:rPr>
                <w:rFonts w:hint="eastAsia"/>
                <w:color w:val="auto"/>
                <w:sz w:val="24"/>
                <w:szCs w:val="24"/>
                <w:highlight w:val="none"/>
                <w:u w:val="single"/>
                <w:lang w:eastAsia="zh-CN"/>
              </w:rPr>
              <w:t>新建塑料盘加工用于全厂产品包装</w:t>
            </w:r>
            <w:r>
              <w:rPr>
                <w:rFonts w:hint="eastAsia"/>
                <w:color w:val="auto"/>
                <w:sz w:val="24"/>
                <w:szCs w:val="24"/>
                <w:highlight w:val="none"/>
                <w:u w:val="single"/>
              </w:rPr>
              <w:t>。</w:t>
            </w:r>
            <w:r>
              <w:rPr>
                <w:rFonts w:hint="eastAsia"/>
                <w:color w:val="auto"/>
                <w:sz w:val="24"/>
                <w:szCs w:val="24"/>
                <w:highlight w:val="none"/>
                <w:u w:val="none"/>
                <w:lang w:val="en-US" w:eastAsia="zh-CN"/>
              </w:rPr>
              <w:t>并依托现有变配电、给排水、消防、通风等设施，</w:t>
            </w:r>
            <w:r>
              <w:rPr>
                <w:rFonts w:hint="eastAsia"/>
                <w:color w:val="auto"/>
                <w:sz w:val="24"/>
                <w:szCs w:val="24"/>
                <w:highlight w:val="none"/>
                <w:u w:val="none"/>
              </w:rPr>
              <w:t>本次</w:t>
            </w:r>
            <w:r>
              <w:rPr>
                <w:rFonts w:hint="eastAsia"/>
                <w:color w:val="auto"/>
                <w:sz w:val="24"/>
                <w:szCs w:val="24"/>
                <w:highlight w:val="none"/>
                <w:u w:val="none"/>
                <w:lang w:eastAsia="zh-CN"/>
              </w:rPr>
              <w:t>改扩建</w:t>
            </w:r>
            <w:r>
              <w:rPr>
                <w:rFonts w:hint="eastAsia"/>
                <w:color w:val="auto"/>
                <w:sz w:val="24"/>
                <w:szCs w:val="24"/>
                <w:highlight w:val="none"/>
                <w:u w:val="none"/>
              </w:rPr>
              <w:t>项目工程主要建设内容及规模，详细见表2</w:t>
            </w:r>
            <w:r>
              <w:rPr>
                <w:rFonts w:hint="eastAsia"/>
                <w:color w:val="auto"/>
                <w:sz w:val="24"/>
                <w:szCs w:val="24"/>
                <w:highlight w:val="none"/>
                <w:u w:val="none"/>
                <w:lang w:val="en-US" w:eastAsia="zh-CN"/>
              </w:rPr>
              <w:t>.2</w:t>
            </w:r>
            <w:r>
              <w:rPr>
                <w:rFonts w:hint="eastAsia"/>
                <w:color w:val="auto"/>
                <w:sz w:val="24"/>
                <w:szCs w:val="24"/>
                <w:highlight w:val="none"/>
                <w:u w:val="none"/>
              </w:rPr>
              <w:t>-1。</w:t>
            </w:r>
          </w:p>
          <w:p>
            <w:pPr>
              <w:pStyle w:val="60"/>
              <w:bidi w:val="0"/>
              <w:spacing w:line="240" w:lineRule="auto"/>
              <w:rPr>
                <w:color w:val="auto"/>
                <w:sz w:val="24"/>
                <w:szCs w:val="24"/>
                <w:highlight w:val="none"/>
                <w:u w:val="none"/>
              </w:rPr>
            </w:pPr>
            <w:bookmarkStart w:id="57" w:name="_Ref522975581"/>
            <w:r>
              <w:rPr>
                <w:color w:val="auto"/>
                <w:sz w:val="24"/>
                <w:szCs w:val="24"/>
                <w:highlight w:val="none"/>
                <w:u w:val="none"/>
              </w:rPr>
              <w:t>表</w:t>
            </w:r>
            <w:bookmarkEnd w:id="57"/>
            <w:r>
              <w:rPr>
                <w:rFonts w:hint="eastAsia"/>
                <w:color w:val="auto"/>
                <w:sz w:val="24"/>
                <w:szCs w:val="24"/>
                <w:highlight w:val="none"/>
                <w:u w:val="none"/>
              </w:rPr>
              <w:t>2</w:t>
            </w:r>
            <w:r>
              <w:rPr>
                <w:rFonts w:hint="eastAsia"/>
                <w:color w:val="auto"/>
                <w:sz w:val="24"/>
                <w:szCs w:val="24"/>
                <w:highlight w:val="none"/>
                <w:u w:val="none"/>
                <w:lang w:val="en-US" w:eastAsia="zh-CN"/>
              </w:rPr>
              <w:t>.2</w:t>
            </w:r>
            <w:r>
              <w:rPr>
                <w:color w:val="auto"/>
                <w:sz w:val="24"/>
                <w:szCs w:val="24"/>
                <w:highlight w:val="none"/>
                <w:u w:val="none"/>
              </w:rPr>
              <w:t>-1工程内容一览表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601"/>
              <w:gridCol w:w="716"/>
              <w:gridCol w:w="2990"/>
              <w:gridCol w:w="3128"/>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b/>
                      <w:color w:val="auto"/>
                      <w:kern w:val="2"/>
                      <w:sz w:val="21"/>
                      <w:szCs w:val="21"/>
                      <w:highlight w:val="none"/>
                      <w:u w:val="none"/>
                    </w:rPr>
                  </w:pPr>
                  <w:r>
                    <w:rPr>
                      <w:rFonts w:hint="eastAsia"/>
                      <w:b/>
                      <w:color w:val="auto"/>
                      <w:kern w:val="2"/>
                      <w:sz w:val="21"/>
                      <w:szCs w:val="21"/>
                      <w:highlight w:val="none"/>
                      <w:u w:val="none"/>
                    </w:rPr>
                    <w:t>类别</w:t>
                  </w: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b/>
                      <w:color w:val="auto"/>
                      <w:kern w:val="2"/>
                      <w:sz w:val="21"/>
                      <w:szCs w:val="21"/>
                      <w:highlight w:val="none"/>
                      <w:u w:val="none"/>
                    </w:rPr>
                  </w:pPr>
                  <w:r>
                    <w:rPr>
                      <w:rFonts w:hint="eastAsia"/>
                      <w:b/>
                      <w:color w:val="auto"/>
                      <w:kern w:val="2"/>
                      <w:sz w:val="21"/>
                      <w:szCs w:val="21"/>
                      <w:highlight w:val="none"/>
                      <w:u w:val="none"/>
                    </w:rPr>
                    <w:t>工程名称</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b/>
                      <w:color w:val="auto"/>
                      <w:kern w:val="2"/>
                      <w:sz w:val="21"/>
                      <w:szCs w:val="21"/>
                      <w:highlight w:val="none"/>
                      <w:u w:val="none"/>
                      <w:lang w:eastAsia="zh-CN"/>
                    </w:rPr>
                  </w:pPr>
                  <w:r>
                    <w:rPr>
                      <w:rFonts w:hint="eastAsia"/>
                      <w:b/>
                      <w:color w:val="auto"/>
                      <w:kern w:val="2"/>
                      <w:sz w:val="21"/>
                      <w:szCs w:val="21"/>
                      <w:highlight w:val="none"/>
                      <w:u w:val="none"/>
                      <w:lang w:eastAsia="zh-CN"/>
                    </w:rPr>
                    <w:t>现有工程内容</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b/>
                      <w:color w:val="auto"/>
                      <w:kern w:val="2"/>
                      <w:sz w:val="21"/>
                      <w:szCs w:val="21"/>
                      <w:highlight w:val="none"/>
                      <w:u w:val="single"/>
                    </w:rPr>
                  </w:pPr>
                  <w:r>
                    <w:rPr>
                      <w:rFonts w:hint="eastAsia"/>
                      <w:b/>
                      <w:color w:val="auto"/>
                      <w:kern w:val="2"/>
                      <w:sz w:val="21"/>
                      <w:szCs w:val="21"/>
                      <w:highlight w:val="none"/>
                      <w:u w:val="single"/>
                      <w:lang w:eastAsia="zh-CN"/>
                    </w:rPr>
                    <w:t>本次改扩建</w:t>
                  </w:r>
                  <w:r>
                    <w:rPr>
                      <w:rFonts w:hint="eastAsia"/>
                      <w:b/>
                      <w:color w:val="auto"/>
                      <w:kern w:val="2"/>
                      <w:sz w:val="21"/>
                      <w:szCs w:val="21"/>
                      <w:highlight w:val="none"/>
                      <w:u w:val="single"/>
                    </w:rPr>
                    <w:t>工程内容</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b/>
                      <w:color w:val="auto"/>
                      <w:kern w:val="2"/>
                      <w:sz w:val="21"/>
                      <w:szCs w:val="21"/>
                      <w:highlight w:val="none"/>
                      <w:u w:val="single"/>
                    </w:rPr>
                  </w:pPr>
                  <w:r>
                    <w:rPr>
                      <w:rFonts w:hint="eastAsia"/>
                      <w:b/>
                      <w:color w:val="auto"/>
                      <w:kern w:val="2"/>
                      <w:sz w:val="21"/>
                      <w:szCs w:val="21"/>
                      <w:highlight w:val="none"/>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kern w:val="2"/>
                      <w:sz w:val="21"/>
                      <w:szCs w:val="21"/>
                      <w:u w:val="none"/>
                    </w:rPr>
                  </w:pPr>
                  <w:r>
                    <w:rPr>
                      <w:rFonts w:hint="eastAsia"/>
                      <w:color w:val="auto"/>
                      <w:kern w:val="2"/>
                      <w:sz w:val="21"/>
                      <w:szCs w:val="21"/>
                      <w:u w:val="none"/>
                    </w:rPr>
                    <w:t>主体工程</w:t>
                  </w:r>
                </w:p>
              </w:tc>
              <w:tc>
                <w:tcPr>
                  <w:tcW w:w="601"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int="eastAsia"/>
                      <w:color w:val="auto"/>
                      <w:sz w:val="21"/>
                      <w:szCs w:val="21"/>
                      <w:u w:val="none"/>
                      <w:lang w:val="en-US" w:eastAsia="zh-CN"/>
                    </w:rPr>
                    <w:t>1#</w:t>
                  </w:r>
                  <w:r>
                    <w:rPr>
                      <w:rFonts w:hint="eastAsia"/>
                      <w:color w:val="auto"/>
                      <w:sz w:val="21"/>
                      <w:szCs w:val="21"/>
                      <w:u w:val="none"/>
                      <w:lang w:eastAsia="zh-CN"/>
                    </w:rPr>
                    <w:t>生产厂房</w:t>
                  </w:r>
                </w:p>
              </w:tc>
              <w:tc>
                <w:tcPr>
                  <w:tcW w:w="716"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none"/>
                      <w:lang w:val="en-US" w:eastAsia="zh-CN"/>
                    </w:rPr>
                  </w:pPr>
                  <w:r>
                    <w:rPr>
                      <w:rFonts w:hint="eastAsia"/>
                      <w:color w:val="auto"/>
                      <w:sz w:val="21"/>
                      <w:szCs w:val="21"/>
                      <w:u w:val="none"/>
                      <w:lang w:val="en-US" w:eastAsia="zh-CN"/>
                    </w:rPr>
                    <w:t>不锈钢车间</w:t>
                  </w:r>
                </w:p>
              </w:tc>
              <w:tc>
                <w:tcPr>
                  <w:tcW w:w="299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none"/>
                      <w:lang w:eastAsia="zh-CN"/>
                    </w:rPr>
                  </w:pPr>
                  <w:r>
                    <w:rPr>
                      <w:rFonts w:hint="eastAsia"/>
                      <w:color w:val="auto"/>
                      <w:kern w:val="2"/>
                      <w:sz w:val="21"/>
                      <w:szCs w:val="21"/>
                      <w:u w:val="none"/>
                      <w:lang w:eastAsia="zh-CN"/>
                    </w:rPr>
                    <w:t>1栋1</w:t>
                  </w:r>
                  <w:r>
                    <w:rPr>
                      <w:rFonts w:hint="eastAsia"/>
                      <w:color w:val="auto"/>
                      <w:kern w:val="2"/>
                      <w:sz w:val="21"/>
                      <w:szCs w:val="21"/>
                      <w:u w:val="none"/>
                      <w:lang w:val="en-US" w:eastAsia="zh-CN"/>
                    </w:rPr>
                    <w:t>F</w:t>
                  </w:r>
                  <w:r>
                    <w:rPr>
                      <w:rFonts w:hint="eastAsia"/>
                      <w:color w:val="auto"/>
                      <w:kern w:val="2"/>
                      <w:sz w:val="21"/>
                      <w:szCs w:val="21"/>
                      <w:u w:val="none"/>
                      <w:lang w:eastAsia="zh-CN"/>
                    </w:rPr>
                    <w:t>，</w:t>
                  </w:r>
                  <w:r>
                    <w:rPr>
                      <w:rFonts w:hint="eastAsia"/>
                      <w:color w:val="auto"/>
                      <w:kern w:val="2"/>
                      <w:sz w:val="21"/>
                      <w:szCs w:val="21"/>
                      <w:u w:val="none"/>
                      <w:vertAlign w:val="baseline"/>
                      <w:lang w:eastAsia="zh-CN"/>
                    </w:rPr>
                    <w:t>占地面积约</w:t>
                  </w:r>
                  <w:r>
                    <w:rPr>
                      <w:rFonts w:hint="eastAsia"/>
                      <w:color w:val="auto"/>
                      <w:kern w:val="2"/>
                      <w:sz w:val="21"/>
                      <w:szCs w:val="21"/>
                      <w:u w:val="none"/>
                      <w:lang w:val="en-US" w:eastAsia="zh-CN"/>
                    </w:rPr>
                    <w:t>5015.3</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vertAlign w:val="baseline"/>
                      <w:lang w:eastAsia="zh-CN"/>
                    </w:rPr>
                    <w:t>，建筑面积</w:t>
                  </w:r>
                  <w:r>
                    <w:rPr>
                      <w:rFonts w:hint="eastAsia"/>
                      <w:color w:val="auto"/>
                      <w:kern w:val="2"/>
                      <w:sz w:val="21"/>
                      <w:szCs w:val="21"/>
                      <w:u w:val="none"/>
                      <w:lang w:val="en-US" w:eastAsia="zh-CN"/>
                    </w:rPr>
                    <w:t>5015.3</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vertAlign w:val="baseline"/>
                      <w:lang w:eastAsia="zh-CN"/>
                    </w:rPr>
                    <w:t>，位于厂区中部，布设不锈钢焊丝</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single"/>
                      <w:lang w:eastAsia="zh-CN"/>
                    </w:rPr>
                  </w:pPr>
                  <w:r>
                    <w:rPr>
                      <w:rFonts w:hint="eastAsia"/>
                      <w:color w:val="auto"/>
                      <w:kern w:val="2"/>
                      <w:sz w:val="21"/>
                      <w:szCs w:val="21"/>
                      <w:u w:val="single"/>
                      <w:lang w:val="en-US" w:eastAsia="zh-CN"/>
                    </w:rPr>
                    <w:t>1栋1F，</w:t>
                  </w:r>
                  <w:r>
                    <w:rPr>
                      <w:rFonts w:hint="eastAsia"/>
                      <w:color w:val="auto"/>
                      <w:kern w:val="2"/>
                      <w:sz w:val="21"/>
                      <w:szCs w:val="21"/>
                      <w:u w:val="single"/>
                      <w:lang w:eastAsia="zh-CN"/>
                    </w:rPr>
                    <w:t>占地</w:t>
                  </w:r>
                  <w:r>
                    <w:rPr>
                      <w:rFonts w:hint="eastAsia"/>
                      <w:color w:val="auto"/>
                      <w:kern w:val="2"/>
                      <w:sz w:val="21"/>
                      <w:szCs w:val="21"/>
                      <w:u w:val="single"/>
                    </w:rPr>
                    <w:t>面积约为</w:t>
                  </w:r>
                  <w:r>
                    <w:rPr>
                      <w:rFonts w:hint="eastAsia"/>
                      <w:color w:val="auto"/>
                      <w:kern w:val="2"/>
                      <w:sz w:val="21"/>
                      <w:szCs w:val="21"/>
                      <w:u w:val="single"/>
                      <w:lang w:val="en-US" w:eastAsia="zh-CN"/>
                    </w:rPr>
                    <w:t>4500</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rPr>
                    <w:t>，</w:t>
                  </w:r>
                  <w:r>
                    <w:rPr>
                      <w:rFonts w:hint="eastAsia"/>
                      <w:color w:val="auto"/>
                      <w:kern w:val="2"/>
                      <w:sz w:val="21"/>
                      <w:szCs w:val="21"/>
                      <w:u w:val="single"/>
                      <w:vertAlign w:val="baseline"/>
                      <w:lang w:eastAsia="zh-CN"/>
                    </w:rPr>
                    <w:t>建筑面积</w:t>
                  </w:r>
                  <w:r>
                    <w:rPr>
                      <w:rFonts w:hint="eastAsia"/>
                      <w:color w:val="auto"/>
                      <w:kern w:val="2"/>
                      <w:sz w:val="21"/>
                      <w:szCs w:val="21"/>
                      <w:u w:val="single"/>
                      <w:lang w:val="en-US" w:eastAsia="zh-CN"/>
                    </w:rPr>
                    <w:t>4500</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u w:val="single"/>
                      <w:lang w:eastAsia="zh-CN"/>
                    </w:rPr>
                    <w:t>位于</w:t>
                  </w:r>
                  <w:r>
                    <w:rPr>
                      <w:rFonts w:hint="eastAsia"/>
                      <w:color w:val="auto"/>
                      <w:kern w:val="2"/>
                      <w:sz w:val="21"/>
                      <w:szCs w:val="21"/>
                      <w:u w:val="single"/>
                      <w:lang w:val="en-US" w:eastAsia="zh-CN"/>
                    </w:rPr>
                    <w:t>1#生产厂房南侧</w:t>
                  </w:r>
                  <w:r>
                    <w:rPr>
                      <w:rFonts w:hint="eastAsia"/>
                      <w:color w:val="auto"/>
                      <w:kern w:val="2"/>
                      <w:sz w:val="21"/>
                      <w:szCs w:val="21"/>
                      <w:u w:val="single"/>
                      <w:lang w:eastAsia="zh-CN"/>
                    </w:rPr>
                    <w:t>，设不锈钢焊丝生产线</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eastAsia" w:eastAsia="宋体"/>
                      <w:color w:val="auto"/>
                      <w:kern w:val="2"/>
                      <w:sz w:val="21"/>
                      <w:szCs w:val="21"/>
                      <w:u w:val="single"/>
                      <w:lang w:eastAsia="zh-CN"/>
                    </w:rPr>
                  </w:pPr>
                  <w:r>
                    <w:rPr>
                      <w:rFonts w:hint="eastAsia"/>
                      <w:color w:val="auto"/>
                      <w:kern w:val="2"/>
                      <w:sz w:val="21"/>
                      <w:szCs w:val="21"/>
                      <w:u w:val="single"/>
                      <w:lang w:eastAsia="zh-CN"/>
                    </w:rPr>
                    <w:t>依托现有厂房，利旧改造，已建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601"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none"/>
                      <w:lang w:val="en-US" w:eastAsia="zh-CN"/>
                    </w:rPr>
                  </w:pPr>
                </w:p>
              </w:tc>
              <w:tc>
                <w:tcPr>
                  <w:tcW w:w="716"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none"/>
                      <w:lang w:val="en-US" w:eastAsia="zh-CN"/>
                    </w:rPr>
                  </w:pPr>
                </w:p>
              </w:tc>
              <w:tc>
                <w:tcPr>
                  <w:tcW w:w="299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default"/>
                      <w:color w:val="auto"/>
                      <w:kern w:val="2"/>
                      <w:sz w:val="21"/>
                      <w:szCs w:val="21"/>
                      <w:u w:val="none"/>
                      <w:lang w:val="en-US" w:eastAsia="zh-CN"/>
                    </w:rPr>
                  </w:pP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single"/>
                      <w:lang w:val="en-US" w:eastAsia="zh-CN"/>
                    </w:rPr>
                  </w:pPr>
                  <w:r>
                    <w:rPr>
                      <w:rFonts w:hint="eastAsia"/>
                      <w:color w:val="auto"/>
                      <w:kern w:val="2"/>
                      <w:sz w:val="21"/>
                      <w:szCs w:val="21"/>
                      <w:u w:val="single"/>
                      <w:lang w:val="en-US" w:eastAsia="zh-CN"/>
                    </w:rPr>
                    <w:t>1栋1F，</w:t>
                  </w:r>
                  <w:r>
                    <w:rPr>
                      <w:rFonts w:hint="eastAsia"/>
                      <w:color w:val="auto"/>
                      <w:kern w:val="2"/>
                      <w:sz w:val="21"/>
                      <w:szCs w:val="21"/>
                      <w:u w:val="single"/>
                      <w:lang w:eastAsia="zh-CN"/>
                    </w:rPr>
                    <w:t>占地</w:t>
                  </w:r>
                  <w:r>
                    <w:rPr>
                      <w:rFonts w:hint="eastAsia"/>
                      <w:color w:val="auto"/>
                      <w:kern w:val="2"/>
                      <w:sz w:val="21"/>
                      <w:szCs w:val="21"/>
                      <w:u w:val="single"/>
                    </w:rPr>
                    <w:t>面积约</w:t>
                  </w:r>
                  <w:r>
                    <w:rPr>
                      <w:rFonts w:hint="eastAsia"/>
                      <w:color w:val="auto"/>
                      <w:kern w:val="2"/>
                      <w:sz w:val="21"/>
                      <w:szCs w:val="21"/>
                      <w:u w:val="single"/>
                      <w:lang w:val="en-US" w:eastAsia="zh-CN"/>
                    </w:rPr>
                    <w:t>500m</w:t>
                  </w:r>
                  <w:r>
                    <w:rPr>
                      <w:rFonts w:hint="eastAsia"/>
                      <w:color w:val="auto"/>
                      <w:kern w:val="2"/>
                      <w:sz w:val="21"/>
                      <w:szCs w:val="21"/>
                      <w:u w:val="single"/>
                      <w:vertAlign w:val="superscript"/>
                      <w:lang w:val="en-US" w:eastAsia="zh-CN"/>
                    </w:rPr>
                    <w:t>2</w:t>
                  </w:r>
                  <w:r>
                    <w:rPr>
                      <w:rFonts w:hint="eastAsia"/>
                      <w:color w:val="auto"/>
                      <w:kern w:val="2"/>
                      <w:sz w:val="21"/>
                      <w:szCs w:val="21"/>
                      <w:u w:val="single"/>
                      <w:lang w:val="en-US" w:eastAsia="zh-CN"/>
                    </w:rPr>
                    <w:t>，</w:t>
                  </w:r>
                  <w:r>
                    <w:rPr>
                      <w:rFonts w:hint="eastAsia"/>
                      <w:color w:val="auto"/>
                      <w:kern w:val="2"/>
                      <w:sz w:val="21"/>
                      <w:szCs w:val="21"/>
                      <w:u w:val="single"/>
                      <w:vertAlign w:val="baseline"/>
                      <w:lang w:eastAsia="zh-CN"/>
                    </w:rPr>
                    <w:t>建筑面积</w:t>
                  </w:r>
                  <w:r>
                    <w:rPr>
                      <w:rFonts w:hint="eastAsia"/>
                      <w:color w:val="auto"/>
                      <w:kern w:val="2"/>
                      <w:sz w:val="21"/>
                      <w:szCs w:val="21"/>
                      <w:u w:val="single"/>
                      <w:lang w:val="en-US" w:eastAsia="zh-CN"/>
                    </w:rPr>
                    <w:t>500</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highlight w:val="none"/>
                      <w:u w:val="single"/>
                      <w:vertAlign w:val="baseline"/>
                      <w:lang w:eastAsia="zh-CN"/>
                    </w:rPr>
                    <w:t>在1#生产厂房内东侧新建药芯焊丝生产线、特种电焊生产线</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eastAsia"/>
                      <w:color w:val="auto"/>
                      <w:kern w:val="2"/>
                      <w:sz w:val="21"/>
                      <w:szCs w:val="21"/>
                      <w:u w:val="single"/>
                      <w:lang w:eastAsia="zh-CN"/>
                    </w:rPr>
                  </w:pPr>
                  <w:r>
                    <w:rPr>
                      <w:rFonts w:hint="eastAsia"/>
                      <w:color w:val="auto"/>
                      <w:kern w:val="2"/>
                      <w:sz w:val="21"/>
                      <w:szCs w:val="21"/>
                      <w:u w:val="single"/>
                      <w:lang w:eastAsia="zh-CN"/>
                    </w:rPr>
                    <w:t>依托现有厂房，新建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601"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none"/>
                      <w:lang w:val="en-US" w:eastAsia="zh-CN"/>
                    </w:rPr>
                  </w:pPr>
                </w:p>
              </w:tc>
              <w:tc>
                <w:tcPr>
                  <w:tcW w:w="716"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none"/>
                      <w:lang w:val="en-US" w:eastAsia="zh-CN"/>
                    </w:rPr>
                  </w:pPr>
                  <w:r>
                    <w:rPr>
                      <w:rFonts w:hint="eastAsia"/>
                      <w:color w:val="auto"/>
                      <w:sz w:val="21"/>
                      <w:szCs w:val="21"/>
                      <w:u w:val="none"/>
                      <w:lang w:val="en-US" w:eastAsia="zh-CN"/>
                    </w:rPr>
                    <w:t>气保焊丝车间</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none"/>
                      <w:lang w:eastAsia="zh-CN"/>
                    </w:rPr>
                  </w:pPr>
                  <w:r>
                    <w:rPr>
                      <w:rFonts w:hint="eastAsia"/>
                      <w:color w:val="auto"/>
                      <w:kern w:val="2"/>
                      <w:sz w:val="21"/>
                      <w:szCs w:val="21"/>
                      <w:u w:val="none"/>
                      <w:lang w:val="en-US" w:eastAsia="zh-CN"/>
                    </w:rPr>
                    <w:t>1栋1F，</w:t>
                  </w:r>
                  <w:r>
                    <w:rPr>
                      <w:rFonts w:hint="eastAsia"/>
                      <w:color w:val="auto"/>
                      <w:kern w:val="2"/>
                      <w:sz w:val="21"/>
                      <w:szCs w:val="21"/>
                      <w:u w:val="none"/>
                      <w:lang w:eastAsia="zh-CN"/>
                    </w:rPr>
                    <w:t>占地</w:t>
                  </w:r>
                  <w:r>
                    <w:rPr>
                      <w:rFonts w:hint="eastAsia"/>
                      <w:color w:val="auto"/>
                      <w:kern w:val="2"/>
                      <w:sz w:val="21"/>
                      <w:szCs w:val="21"/>
                      <w:u w:val="none"/>
                    </w:rPr>
                    <w:t>面积约为</w:t>
                  </w:r>
                  <w:r>
                    <w:rPr>
                      <w:rFonts w:hint="eastAsia"/>
                      <w:color w:val="auto"/>
                      <w:kern w:val="2"/>
                      <w:sz w:val="21"/>
                      <w:szCs w:val="21"/>
                      <w:u w:val="none"/>
                      <w:lang w:val="en-US" w:eastAsia="zh-CN"/>
                    </w:rPr>
                    <w:t>10000</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rPr>
                    <w:t>，</w:t>
                  </w:r>
                  <w:r>
                    <w:rPr>
                      <w:rFonts w:hint="eastAsia"/>
                      <w:color w:val="auto"/>
                      <w:kern w:val="2"/>
                      <w:sz w:val="21"/>
                      <w:szCs w:val="21"/>
                      <w:u w:val="none"/>
                      <w:vertAlign w:val="baseline"/>
                      <w:lang w:eastAsia="zh-CN"/>
                    </w:rPr>
                    <w:t>建筑面积</w:t>
                  </w:r>
                  <w:r>
                    <w:rPr>
                      <w:rFonts w:hint="eastAsia"/>
                      <w:color w:val="auto"/>
                      <w:kern w:val="2"/>
                      <w:sz w:val="21"/>
                      <w:szCs w:val="21"/>
                      <w:u w:val="none"/>
                      <w:lang w:val="en-US" w:eastAsia="zh-CN"/>
                    </w:rPr>
                    <w:t>10000</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vertAlign w:val="baseline"/>
                      <w:lang w:eastAsia="zh-CN"/>
                    </w:rPr>
                    <w:t>，布设气保焊丝、</w:t>
                  </w:r>
                  <w:r>
                    <w:rPr>
                      <w:rFonts w:hint="eastAsia"/>
                      <w:color w:val="auto"/>
                      <w:kern w:val="2"/>
                      <w:sz w:val="21"/>
                      <w:szCs w:val="21"/>
                      <w:u w:val="none"/>
                      <w:vertAlign w:val="baseline"/>
                      <w:lang w:val="zh-CN" w:eastAsia="zh-CN"/>
                    </w:rPr>
                    <w:t>高强钢焊丝、埋弧焊丝、铝焊丝等生产线</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eastAsia"/>
                      <w:color w:val="auto"/>
                      <w:kern w:val="2"/>
                      <w:sz w:val="21"/>
                      <w:szCs w:val="21"/>
                      <w:u w:val="none"/>
                      <w:lang w:eastAsia="zh-CN"/>
                    </w:rPr>
                  </w:pPr>
                  <w:r>
                    <w:rPr>
                      <w:rFonts w:hint="eastAsia"/>
                      <w:color w:val="auto"/>
                      <w:kern w:val="2"/>
                      <w:sz w:val="21"/>
                      <w:szCs w:val="21"/>
                      <w:u w:val="none"/>
                      <w:lang w:eastAsia="zh-CN"/>
                    </w:rPr>
                    <w:t>本次改扩建不涉及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default"/>
                      <w:color w:val="auto"/>
                      <w:sz w:val="21"/>
                      <w:szCs w:val="21"/>
                      <w:u w:val="none"/>
                      <w:lang w:val="en-US" w:eastAsia="zh-CN"/>
                    </w:rPr>
                  </w:pPr>
                  <w:r>
                    <w:rPr>
                      <w:rFonts w:hint="eastAsia"/>
                      <w:color w:val="auto"/>
                      <w:sz w:val="21"/>
                      <w:szCs w:val="21"/>
                      <w:u w:val="none"/>
                      <w:lang w:val="en-US" w:eastAsia="zh-CN"/>
                    </w:rPr>
                    <w:t>2#生产厂房</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1栋</w:t>
                  </w:r>
                  <w:r>
                    <w:rPr>
                      <w:rFonts w:hint="eastAsia"/>
                      <w:color w:val="auto"/>
                      <w:kern w:val="2"/>
                      <w:sz w:val="21"/>
                      <w:szCs w:val="21"/>
                      <w:u w:val="none"/>
                      <w:lang w:eastAsia="zh-CN"/>
                    </w:rPr>
                    <w:t>1</w:t>
                  </w:r>
                  <w:r>
                    <w:rPr>
                      <w:rFonts w:hint="eastAsia"/>
                      <w:color w:val="auto"/>
                      <w:kern w:val="2"/>
                      <w:sz w:val="21"/>
                      <w:szCs w:val="21"/>
                      <w:u w:val="none"/>
                      <w:lang w:val="en-US" w:eastAsia="zh-CN"/>
                    </w:rPr>
                    <w:t>F</w:t>
                  </w:r>
                  <w:r>
                    <w:rPr>
                      <w:rFonts w:hint="eastAsia"/>
                      <w:color w:val="auto"/>
                      <w:kern w:val="2"/>
                      <w:sz w:val="21"/>
                      <w:szCs w:val="21"/>
                      <w:u w:val="none"/>
                      <w:lang w:eastAsia="zh-CN"/>
                    </w:rPr>
                    <w:t>，</w:t>
                  </w:r>
                  <w:r>
                    <w:rPr>
                      <w:rFonts w:hint="eastAsia"/>
                      <w:color w:val="auto"/>
                      <w:kern w:val="2"/>
                      <w:sz w:val="21"/>
                      <w:szCs w:val="21"/>
                      <w:u w:val="none"/>
                      <w:vertAlign w:val="baseline"/>
                      <w:lang w:eastAsia="zh-CN"/>
                    </w:rPr>
                    <w:t>占地面积约</w:t>
                  </w:r>
                  <w:r>
                    <w:rPr>
                      <w:rFonts w:hint="eastAsia"/>
                      <w:color w:val="auto"/>
                      <w:kern w:val="2"/>
                      <w:sz w:val="21"/>
                      <w:szCs w:val="21"/>
                      <w:u w:val="none"/>
                      <w:lang w:val="en-US" w:eastAsia="zh-CN"/>
                    </w:rPr>
                    <w:t>7392.2</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rPr>
                    <w:t>，</w:t>
                  </w:r>
                  <w:r>
                    <w:rPr>
                      <w:rFonts w:hint="eastAsia"/>
                      <w:color w:val="auto"/>
                      <w:kern w:val="2"/>
                      <w:sz w:val="21"/>
                      <w:szCs w:val="21"/>
                      <w:u w:val="none"/>
                      <w:vertAlign w:val="baseline"/>
                      <w:lang w:eastAsia="zh-CN"/>
                    </w:rPr>
                    <w:t>设层绕机</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jc w:val="both"/>
                    <w:textAlignment w:val="auto"/>
                    <w:rPr>
                      <w:rFonts w:hint="default"/>
                      <w:color w:val="auto"/>
                      <w:kern w:val="2"/>
                      <w:sz w:val="21"/>
                      <w:szCs w:val="21"/>
                      <w:u w:val="single"/>
                      <w:lang w:val="en-US" w:eastAsia="zh-CN"/>
                    </w:rPr>
                  </w:pPr>
                  <w:r>
                    <w:rPr>
                      <w:rFonts w:hint="eastAsia"/>
                      <w:color w:val="auto"/>
                      <w:kern w:val="2"/>
                      <w:sz w:val="21"/>
                      <w:szCs w:val="21"/>
                      <w:u w:val="single"/>
                      <w:lang w:val="en-US" w:eastAsia="zh-CN"/>
                    </w:rPr>
                    <w:t>1栋1F，</w:t>
                  </w:r>
                  <w:r>
                    <w:rPr>
                      <w:rFonts w:hint="eastAsia"/>
                      <w:color w:val="auto"/>
                      <w:kern w:val="2"/>
                      <w:sz w:val="21"/>
                      <w:szCs w:val="21"/>
                      <w:u w:val="single"/>
                      <w:lang w:eastAsia="zh-CN"/>
                    </w:rPr>
                    <w:t>占地</w:t>
                  </w:r>
                  <w:r>
                    <w:rPr>
                      <w:rFonts w:hint="eastAsia"/>
                      <w:color w:val="auto"/>
                      <w:kern w:val="2"/>
                      <w:sz w:val="21"/>
                      <w:szCs w:val="21"/>
                      <w:u w:val="single"/>
                    </w:rPr>
                    <w:t>面积约为</w:t>
                  </w:r>
                  <w:r>
                    <w:rPr>
                      <w:rFonts w:hint="eastAsia"/>
                      <w:color w:val="auto"/>
                      <w:kern w:val="2"/>
                      <w:sz w:val="21"/>
                      <w:szCs w:val="21"/>
                      <w:u w:val="single"/>
                      <w:lang w:val="en-US" w:eastAsia="zh-CN"/>
                    </w:rPr>
                    <w:t>7392.2</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rPr>
                    <w:t>，</w:t>
                  </w:r>
                  <w:r>
                    <w:rPr>
                      <w:rFonts w:hint="eastAsia"/>
                      <w:color w:val="auto"/>
                      <w:kern w:val="2"/>
                      <w:sz w:val="21"/>
                      <w:szCs w:val="21"/>
                      <w:u w:val="single"/>
                      <w:vertAlign w:val="baseline"/>
                      <w:lang w:eastAsia="zh-CN"/>
                    </w:rPr>
                    <w:t>建筑面积</w:t>
                  </w:r>
                  <w:r>
                    <w:rPr>
                      <w:rFonts w:hint="eastAsia"/>
                      <w:color w:val="auto"/>
                      <w:kern w:val="2"/>
                      <w:sz w:val="21"/>
                      <w:szCs w:val="21"/>
                      <w:u w:val="single"/>
                      <w:lang w:val="en-US" w:eastAsia="zh-CN"/>
                    </w:rPr>
                    <w:t>7392.2</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u w:val="single"/>
                      <w:lang w:eastAsia="zh-CN"/>
                    </w:rPr>
                    <w:t>位于厂区北侧，放置自动层绕机、手动层绕机、塑料盘生产线</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kern w:val="2"/>
                      <w:sz w:val="21"/>
                      <w:szCs w:val="21"/>
                      <w:u w:val="single"/>
                      <w:lang w:eastAsia="zh-CN"/>
                    </w:rPr>
                  </w:pPr>
                  <w:r>
                    <w:rPr>
                      <w:rFonts w:hint="eastAsia"/>
                      <w:color w:val="auto"/>
                      <w:sz w:val="21"/>
                      <w:szCs w:val="21"/>
                      <w:u w:val="single"/>
                      <w:lang w:eastAsia="zh-CN"/>
                    </w:rPr>
                    <w:t>依托现有厂房，</w:t>
                  </w:r>
                  <w:r>
                    <w:rPr>
                      <w:rFonts w:hint="eastAsia"/>
                      <w:color w:val="auto"/>
                      <w:kern w:val="2"/>
                      <w:sz w:val="21"/>
                      <w:szCs w:val="21"/>
                      <w:u w:val="single"/>
                      <w:lang w:eastAsia="zh-CN"/>
                    </w:rPr>
                    <w:t>塑料盘生产线</w:t>
                  </w:r>
                  <w:r>
                    <w:rPr>
                      <w:rFonts w:hint="eastAsia"/>
                      <w:color w:val="auto"/>
                      <w:sz w:val="21"/>
                      <w:szCs w:val="21"/>
                      <w:u w:val="singl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3#生产厂房</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jc w:val="both"/>
                    <w:textAlignment w:val="auto"/>
                    <w:rPr>
                      <w:rFonts w:hint="eastAsia" w:eastAsia="宋体"/>
                      <w:color w:val="auto"/>
                      <w:kern w:val="2"/>
                      <w:sz w:val="21"/>
                      <w:szCs w:val="21"/>
                      <w:highlight w:val="none"/>
                      <w:u w:val="single"/>
                      <w:lang w:eastAsia="zh-CN"/>
                    </w:rPr>
                  </w:pPr>
                  <w:r>
                    <w:rPr>
                      <w:rFonts w:hint="eastAsia"/>
                      <w:color w:val="auto"/>
                      <w:kern w:val="2"/>
                      <w:sz w:val="21"/>
                      <w:szCs w:val="21"/>
                      <w:highlight w:val="none"/>
                      <w:u w:val="single"/>
                      <w:lang w:val="en-US" w:eastAsia="zh-CN"/>
                    </w:rPr>
                    <w:t>1</w:t>
                  </w:r>
                  <w:r>
                    <w:rPr>
                      <w:rFonts w:hint="eastAsia"/>
                      <w:color w:val="auto"/>
                      <w:kern w:val="2"/>
                      <w:sz w:val="21"/>
                      <w:szCs w:val="21"/>
                      <w:highlight w:val="none"/>
                      <w:u w:val="single"/>
                      <w:lang w:eastAsia="zh-CN"/>
                    </w:rPr>
                    <w:t>栋</w:t>
                  </w:r>
                  <w:r>
                    <w:rPr>
                      <w:rFonts w:hint="eastAsia"/>
                      <w:color w:val="auto"/>
                      <w:kern w:val="2"/>
                      <w:sz w:val="21"/>
                      <w:szCs w:val="21"/>
                      <w:highlight w:val="none"/>
                      <w:u w:val="single"/>
                      <w:lang w:val="en-US" w:eastAsia="zh-CN"/>
                    </w:rPr>
                    <w:t>2F，</w:t>
                  </w:r>
                  <w:r>
                    <w:rPr>
                      <w:rFonts w:hint="eastAsia"/>
                      <w:color w:val="auto"/>
                      <w:kern w:val="2"/>
                      <w:sz w:val="21"/>
                      <w:szCs w:val="21"/>
                      <w:highlight w:val="none"/>
                      <w:u w:val="single"/>
                      <w:lang w:eastAsia="zh-CN"/>
                    </w:rPr>
                    <w:t>占地面积约</w:t>
                  </w:r>
                  <w:r>
                    <w:rPr>
                      <w:rFonts w:hint="eastAsia"/>
                      <w:color w:val="auto"/>
                      <w:kern w:val="2"/>
                      <w:sz w:val="21"/>
                      <w:szCs w:val="21"/>
                      <w:highlight w:val="none"/>
                      <w:u w:val="single"/>
                      <w:lang w:val="en-US" w:eastAsia="zh-CN"/>
                    </w:rPr>
                    <w:t>6788.4</w:t>
                  </w:r>
                  <w:r>
                    <w:rPr>
                      <w:rFonts w:hint="eastAsia"/>
                      <w:color w:val="auto"/>
                      <w:kern w:val="2"/>
                      <w:sz w:val="21"/>
                      <w:szCs w:val="21"/>
                      <w:highlight w:val="none"/>
                      <w:u w:val="single"/>
                    </w:rPr>
                    <w:t>m</w:t>
                  </w:r>
                  <w:r>
                    <w:rPr>
                      <w:rFonts w:hint="eastAsia"/>
                      <w:color w:val="auto"/>
                      <w:kern w:val="2"/>
                      <w:sz w:val="21"/>
                      <w:szCs w:val="21"/>
                      <w:highlight w:val="none"/>
                      <w:u w:val="single"/>
                      <w:vertAlign w:val="superscript"/>
                    </w:rPr>
                    <w:t>2</w:t>
                  </w:r>
                  <w:r>
                    <w:rPr>
                      <w:rFonts w:hint="eastAsia"/>
                      <w:color w:val="auto"/>
                      <w:kern w:val="2"/>
                      <w:sz w:val="21"/>
                      <w:szCs w:val="21"/>
                      <w:highlight w:val="none"/>
                      <w:u w:val="single"/>
                      <w:lang w:val="en-US" w:eastAsia="zh-CN"/>
                    </w:rPr>
                    <w:t>，</w:t>
                  </w:r>
                  <w:r>
                    <w:rPr>
                      <w:rFonts w:hint="eastAsia"/>
                      <w:color w:val="auto"/>
                      <w:kern w:val="2"/>
                      <w:sz w:val="21"/>
                      <w:szCs w:val="21"/>
                      <w:u w:val="single"/>
                      <w:vertAlign w:val="baseline"/>
                      <w:lang w:eastAsia="zh-CN"/>
                    </w:rPr>
                    <w:t>建筑面积</w:t>
                  </w:r>
                  <w:r>
                    <w:rPr>
                      <w:rFonts w:hint="eastAsia"/>
                      <w:color w:val="auto"/>
                      <w:kern w:val="2"/>
                      <w:sz w:val="21"/>
                      <w:szCs w:val="21"/>
                      <w:u w:val="single"/>
                      <w:lang w:val="en-US" w:eastAsia="zh-CN"/>
                    </w:rPr>
                    <w:t>14579.2</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highlight w:val="none"/>
                      <w:u w:val="single"/>
                      <w:lang w:val="en-US" w:eastAsia="zh-CN"/>
                    </w:rPr>
                    <w:t>位于厂区西侧，预留</w:t>
                  </w:r>
                  <w:r>
                    <w:rPr>
                      <w:rFonts w:hint="eastAsia"/>
                      <w:color w:val="auto"/>
                      <w:kern w:val="2"/>
                      <w:sz w:val="21"/>
                      <w:szCs w:val="21"/>
                      <w:highlight w:val="none"/>
                      <w:u w:val="single"/>
                      <w:lang w:eastAsia="zh-CN"/>
                    </w:rPr>
                    <w:t>厂房</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Cs w:val="21"/>
                      <w:highlight w:val="none"/>
                      <w:u w:val="single"/>
                      <w:lang w:eastAsia="zh-CN"/>
                    </w:rPr>
                  </w:pPr>
                  <w:r>
                    <w:rPr>
                      <w:rFonts w:hint="eastAsia"/>
                      <w:color w:val="auto"/>
                      <w:kern w:val="2"/>
                      <w:sz w:val="21"/>
                      <w:szCs w:val="21"/>
                      <w:highlight w:val="none"/>
                      <w:u w:val="single"/>
                      <w:lang w:eastAsia="zh-CN"/>
                    </w:rPr>
                    <w:t>拟新建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default"/>
                      <w:color w:val="auto"/>
                      <w:sz w:val="21"/>
                      <w:szCs w:val="21"/>
                      <w:highlight w:val="none"/>
                      <w:u w:val="none"/>
                      <w:lang w:val="en-US" w:eastAsia="zh-CN"/>
                    </w:rPr>
                  </w:pPr>
                  <w:r>
                    <w:rPr>
                      <w:rFonts w:hint="eastAsia"/>
                      <w:color w:val="auto"/>
                      <w:sz w:val="21"/>
                      <w:szCs w:val="21"/>
                      <w:highlight w:val="none"/>
                      <w:u w:val="none"/>
                      <w:lang w:val="en-US" w:eastAsia="zh-CN"/>
                    </w:rPr>
                    <w:t>4#生产厂房</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highlight w:val="none"/>
                      <w:u w:val="none"/>
                      <w:lang w:val="en-US" w:eastAsia="zh-CN"/>
                    </w:rPr>
                  </w:pPr>
                  <w:r>
                    <w:rPr>
                      <w:rFonts w:hint="eastAsia"/>
                      <w:color w:val="auto"/>
                      <w:kern w:val="2"/>
                      <w:sz w:val="21"/>
                      <w:szCs w:val="21"/>
                      <w:highlight w:val="none"/>
                      <w:u w:val="no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jc w:val="both"/>
                    <w:textAlignment w:val="auto"/>
                    <w:rPr>
                      <w:rFonts w:hint="default"/>
                      <w:color w:val="auto"/>
                      <w:kern w:val="2"/>
                      <w:sz w:val="21"/>
                      <w:szCs w:val="21"/>
                      <w:highlight w:val="none"/>
                      <w:u w:val="single"/>
                      <w:lang w:val="en-US" w:eastAsia="zh-CN"/>
                    </w:rPr>
                  </w:pPr>
                  <w:r>
                    <w:rPr>
                      <w:rFonts w:hint="eastAsia"/>
                      <w:color w:val="auto"/>
                      <w:kern w:val="2"/>
                      <w:sz w:val="21"/>
                      <w:szCs w:val="21"/>
                      <w:highlight w:val="none"/>
                      <w:u w:val="single"/>
                      <w:lang w:val="en-US" w:eastAsia="zh-CN"/>
                    </w:rPr>
                    <w:t>1栋1F，</w:t>
                  </w:r>
                  <w:r>
                    <w:rPr>
                      <w:rFonts w:hint="eastAsia"/>
                      <w:color w:val="auto"/>
                      <w:kern w:val="2"/>
                      <w:sz w:val="21"/>
                      <w:szCs w:val="21"/>
                      <w:highlight w:val="none"/>
                      <w:u w:val="single"/>
                      <w:lang w:eastAsia="zh-CN"/>
                    </w:rPr>
                    <w:t>占地面积约</w:t>
                  </w:r>
                  <w:r>
                    <w:rPr>
                      <w:rFonts w:hint="eastAsia"/>
                      <w:color w:val="auto"/>
                      <w:kern w:val="2"/>
                      <w:sz w:val="21"/>
                      <w:szCs w:val="21"/>
                      <w:highlight w:val="none"/>
                      <w:u w:val="single"/>
                      <w:lang w:val="en-US" w:eastAsia="zh-CN"/>
                    </w:rPr>
                    <w:t>2557.67</w:t>
                  </w:r>
                  <w:r>
                    <w:rPr>
                      <w:rFonts w:hint="eastAsia"/>
                      <w:color w:val="auto"/>
                      <w:kern w:val="2"/>
                      <w:sz w:val="21"/>
                      <w:szCs w:val="21"/>
                      <w:highlight w:val="none"/>
                      <w:u w:val="single"/>
                    </w:rPr>
                    <w:t>m</w:t>
                  </w:r>
                  <w:r>
                    <w:rPr>
                      <w:rFonts w:hint="eastAsia"/>
                      <w:color w:val="auto"/>
                      <w:kern w:val="2"/>
                      <w:sz w:val="21"/>
                      <w:szCs w:val="21"/>
                      <w:highlight w:val="none"/>
                      <w:u w:val="single"/>
                      <w:vertAlign w:val="superscript"/>
                    </w:rPr>
                    <w:t>2</w:t>
                  </w:r>
                  <w:r>
                    <w:rPr>
                      <w:rFonts w:hint="eastAsia"/>
                      <w:color w:val="auto"/>
                      <w:kern w:val="2"/>
                      <w:sz w:val="21"/>
                      <w:szCs w:val="21"/>
                      <w:highlight w:val="none"/>
                      <w:u w:val="single"/>
                      <w:lang w:val="en-US" w:eastAsia="zh-CN"/>
                    </w:rPr>
                    <w:t>，</w:t>
                  </w:r>
                  <w:r>
                    <w:rPr>
                      <w:rFonts w:hint="eastAsia"/>
                      <w:color w:val="auto"/>
                      <w:kern w:val="2"/>
                      <w:sz w:val="21"/>
                      <w:szCs w:val="21"/>
                      <w:u w:val="single"/>
                      <w:vertAlign w:val="baseline"/>
                      <w:lang w:eastAsia="zh-CN"/>
                    </w:rPr>
                    <w:t>建筑面积</w:t>
                  </w:r>
                  <w:r>
                    <w:rPr>
                      <w:rFonts w:hint="eastAsia"/>
                      <w:color w:val="auto"/>
                      <w:kern w:val="2"/>
                      <w:sz w:val="21"/>
                      <w:szCs w:val="21"/>
                      <w:highlight w:val="none"/>
                      <w:u w:val="single"/>
                      <w:lang w:val="en-US" w:eastAsia="zh-CN"/>
                    </w:rPr>
                    <w:t>2557.67</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highlight w:val="none"/>
                      <w:u w:val="single"/>
                      <w:lang w:val="en-US" w:eastAsia="zh-CN"/>
                    </w:rPr>
                    <w:t>位于厂区东侧，用于仓库</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highlight w:val="none"/>
                      <w:u w:val="single"/>
                      <w:lang w:eastAsia="zh-CN"/>
                    </w:rPr>
                  </w:pPr>
                  <w:r>
                    <w:rPr>
                      <w:rFonts w:hint="eastAsia"/>
                      <w:color w:val="auto"/>
                      <w:kern w:val="2"/>
                      <w:sz w:val="21"/>
                      <w:szCs w:val="21"/>
                      <w:highlight w:val="none"/>
                      <w:u w:val="single"/>
                      <w:lang w:eastAsia="zh-CN"/>
                    </w:rPr>
                    <w:t>拟新建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辅助工程</w:t>
                  </w: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int="eastAsia"/>
                      <w:color w:val="auto"/>
                      <w:kern w:val="2"/>
                      <w:sz w:val="21"/>
                      <w:szCs w:val="21"/>
                      <w:u w:val="none"/>
                    </w:rPr>
                    <w:t>办公</w:t>
                  </w:r>
                  <w:r>
                    <w:rPr>
                      <w:rFonts w:hint="eastAsia"/>
                      <w:color w:val="auto"/>
                      <w:kern w:val="2"/>
                      <w:sz w:val="21"/>
                      <w:szCs w:val="21"/>
                      <w:u w:val="none"/>
                      <w:lang w:eastAsia="zh-CN"/>
                    </w:rPr>
                    <w:t>楼</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1栋</w:t>
                  </w:r>
                  <w:r>
                    <w:rPr>
                      <w:rFonts w:hint="eastAsia"/>
                      <w:color w:val="auto"/>
                      <w:kern w:val="2"/>
                      <w:sz w:val="21"/>
                      <w:szCs w:val="21"/>
                      <w:u w:val="none"/>
                      <w:lang w:val="en-US" w:eastAsia="zh-CN"/>
                    </w:rPr>
                    <w:t>2F</w:t>
                  </w:r>
                  <w:r>
                    <w:rPr>
                      <w:rFonts w:hint="eastAsia"/>
                      <w:color w:val="auto"/>
                      <w:kern w:val="2"/>
                      <w:sz w:val="21"/>
                      <w:szCs w:val="21"/>
                      <w:u w:val="none"/>
                    </w:rPr>
                    <w:t>，</w:t>
                  </w:r>
                  <w:r>
                    <w:rPr>
                      <w:rFonts w:hint="eastAsia"/>
                      <w:color w:val="auto"/>
                      <w:kern w:val="2"/>
                      <w:sz w:val="21"/>
                      <w:szCs w:val="21"/>
                      <w:u w:val="none"/>
                      <w:lang w:eastAsia="zh-CN"/>
                    </w:rPr>
                    <w:t>占地</w:t>
                  </w:r>
                  <w:r>
                    <w:rPr>
                      <w:rFonts w:hint="eastAsia"/>
                      <w:color w:val="auto"/>
                      <w:kern w:val="2"/>
                      <w:sz w:val="21"/>
                      <w:szCs w:val="21"/>
                      <w:u w:val="none"/>
                    </w:rPr>
                    <w:t>面积</w:t>
                  </w:r>
                  <w:r>
                    <w:rPr>
                      <w:rFonts w:hint="eastAsia"/>
                      <w:color w:val="auto"/>
                      <w:kern w:val="2"/>
                      <w:sz w:val="21"/>
                      <w:szCs w:val="21"/>
                      <w:u w:val="none"/>
                      <w:lang w:val="en-US" w:eastAsia="zh-CN"/>
                    </w:rPr>
                    <w:t>272.14</w:t>
                  </w:r>
                  <w:r>
                    <w:rPr>
                      <w:rFonts w:hint="eastAsia"/>
                      <w:color w:val="auto"/>
                      <w:kern w:val="2"/>
                      <w:sz w:val="21"/>
                      <w:szCs w:val="21"/>
                      <w:u w:val="none"/>
                    </w:rPr>
                    <w:t>m</w:t>
                  </w:r>
                  <w:r>
                    <w:rPr>
                      <w:rFonts w:hint="eastAsia"/>
                      <w:color w:val="auto"/>
                      <w:kern w:val="2"/>
                      <w:sz w:val="21"/>
                      <w:szCs w:val="21"/>
                      <w:u w:val="none"/>
                      <w:vertAlign w:val="superscript"/>
                    </w:rPr>
                    <w:t>2</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single"/>
                    </w:rPr>
                  </w:pPr>
                  <w:r>
                    <w:rPr>
                      <w:rFonts w:hint="eastAsia"/>
                      <w:color w:val="auto"/>
                      <w:kern w:val="2"/>
                      <w:sz w:val="21"/>
                      <w:szCs w:val="21"/>
                      <w:u w:val="single"/>
                      <w:lang w:val="en-US" w:eastAsia="zh-CN"/>
                    </w:rPr>
                    <w:t>1栋5F，</w:t>
                  </w:r>
                  <w:r>
                    <w:rPr>
                      <w:rFonts w:hint="eastAsia"/>
                      <w:color w:val="auto"/>
                      <w:kern w:val="2"/>
                      <w:sz w:val="21"/>
                      <w:szCs w:val="21"/>
                      <w:u w:val="single"/>
                      <w:lang w:eastAsia="zh-CN"/>
                    </w:rPr>
                    <w:t>占地</w:t>
                  </w:r>
                  <w:r>
                    <w:rPr>
                      <w:rFonts w:hint="eastAsia"/>
                      <w:color w:val="auto"/>
                      <w:kern w:val="2"/>
                      <w:sz w:val="21"/>
                      <w:szCs w:val="21"/>
                      <w:u w:val="single"/>
                    </w:rPr>
                    <w:t>面积约</w:t>
                  </w:r>
                  <w:r>
                    <w:rPr>
                      <w:rFonts w:hint="eastAsia"/>
                      <w:color w:val="auto"/>
                      <w:kern w:val="2"/>
                      <w:sz w:val="21"/>
                      <w:szCs w:val="21"/>
                      <w:u w:val="single"/>
                      <w:lang w:val="en-US" w:eastAsia="zh-CN"/>
                    </w:rPr>
                    <w:t>1908.39</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lang w:eastAsia="zh-CN"/>
                    </w:rPr>
                    <w:t>，</w:t>
                  </w:r>
                  <w:r>
                    <w:rPr>
                      <w:rFonts w:hint="eastAsia"/>
                      <w:color w:val="auto"/>
                      <w:kern w:val="2"/>
                      <w:sz w:val="21"/>
                      <w:szCs w:val="21"/>
                      <w:u w:val="single"/>
                      <w:vertAlign w:val="baseline"/>
                      <w:lang w:eastAsia="zh-CN"/>
                    </w:rPr>
                    <w:t>建筑面积</w:t>
                  </w:r>
                  <w:r>
                    <w:rPr>
                      <w:rFonts w:hint="eastAsia"/>
                      <w:color w:val="auto"/>
                      <w:kern w:val="2"/>
                      <w:sz w:val="21"/>
                      <w:szCs w:val="21"/>
                      <w:u w:val="single"/>
                      <w:lang w:val="en-US" w:eastAsia="zh-CN"/>
                    </w:rPr>
                    <w:t>9541.96</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rPr>
                    <w:t>，位于</w:t>
                  </w:r>
                  <w:r>
                    <w:rPr>
                      <w:rFonts w:hint="eastAsia"/>
                      <w:color w:val="auto"/>
                      <w:kern w:val="2"/>
                      <w:sz w:val="21"/>
                      <w:szCs w:val="21"/>
                      <w:u w:val="single"/>
                      <w:lang w:eastAsia="zh-CN"/>
                    </w:rPr>
                    <w:t>厂区东南角</w:t>
                  </w:r>
                  <w:r>
                    <w:rPr>
                      <w:rFonts w:hint="eastAsia"/>
                      <w:color w:val="auto"/>
                      <w:kern w:val="2"/>
                      <w:sz w:val="21"/>
                      <w:szCs w:val="21"/>
                      <w:u w:val="single"/>
                    </w:rPr>
                    <w:t>，主要功能为职工办公、培训</w:t>
                  </w:r>
                  <w:r>
                    <w:rPr>
                      <w:rFonts w:hint="eastAsia"/>
                      <w:color w:val="auto"/>
                      <w:kern w:val="2"/>
                      <w:sz w:val="21"/>
                      <w:szCs w:val="21"/>
                      <w:u w:val="single"/>
                      <w:lang w:eastAsia="zh-CN"/>
                    </w:rPr>
                    <w:t>、食堂</w:t>
                  </w:r>
                  <w:r>
                    <w:rPr>
                      <w:rFonts w:hint="eastAsia"/>
                      <w:color w:val="auto"/>
                      <w:kern w:val="2"/>
                      <w:sz w:val="21"/>
                      <w:szCs w:val="21"/>
                      <w:u w:val="single"/>
                    </w:rPr>
                    <w:t>等</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eastAsia="宋体"/>
                      <w:color w:val="auto"/>
                      <w:szCs w:val="21"/>
                      <w:u w:val="single"/>
                      <w:lang w:eastAsia="zh-CN"/>
                    </w:rPr>
                  </w:pPr>
                  <w:r>
                    <w:rPr>
                      <w:rFonts w:hint="eastAsia"/>
                      <w:color w:val="auto"/>
                      <w:kern w:val="2"/>
                      <w:sz w:val="21"/>
                      <w:szCs w:val="21"/>
                      <w:highlight w:val="none"/>
                      <w:u w:val="none"/>
                      <w:lang w:eastAsia="zh-CN"/>
                    </w:rPr>
                    <w:t>拟新建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ascii="Times New Roman" w:hAnsi="Times New Roman" w:eastAsia="宋体" w:cs="Times New Roman"/>
                      <w:color w:val="auto"/>
                      <w:kern w:val="2"/>
                      <w:sz w:val="21"/>
                      <w:szCs w:val="21"/>
                      <w:u w:val="none"/>
                      <w:lang w:eastAsia="zh-CN"/>
                    </w:rPr>
                  </w:pPr>
                  <w:r>
                    <w:rPr>
                      <w:rFonts w:hint="eastAsia" w:ascii="Times New Roman" w:hAnsi="Times New Roman" w:eastAsia="宋体" w:cs="Times New Roman"/>
                      <w:color w:val="auto"/>
                      <w:kern w:val="2"/>
                      <w:sz w:val="21"/>
                      <w:szCs w:val="21"/>
                      <w:u w:val="none"/>
                      <w:lang w:eastAsia="zh-CN"/>
                    </w:rPr>
                    <w:t>宿舍楼</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eastAsia="宋体"/>
                      <w:color w:val="auto"/>
                      <w:kern w:val="2"/>
                      <w:sz w:val="21"/>
                      <w:szCs w:val="21"/>
                      <w:u w:val="none"/>
                      <w:lang w:val="en-US" w:eastAsia="zh-CN"/>
                    </w:rPr>
                  </w:pPr>
                  <w:r>
                    <w:rPr>
                      <w:rFonts w:hint="eastAsia"/>
                      <w:color w:val="auto"/>
                      <w:kern w:val="2"/>
                      <w:sz w:val="21"/>
                      <w:szCs w:val="21"/>
                      <w:u w:val="no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single"/>
                      <w:lang w:eastAsia="zh-CN"/>
                    </w:rPr>
                  </w:pPr>
                  <w:r>
                    <w:rPr>
                      <w:rFonts w:hint="eastAsia"/>
                      <w:color w:val="auto"/>
                      <w:kern w:val="2"/>
                      <w:sz w:val="21"/>
                      <w:szCs w:val="21"/>
                      <w:u w:val="single"/>
                    </w:rPr>
                    <w:t>1栋</w:t>
                  </w:r>
                  <w:r>
                    <w:rPr>
                      <w:rFonts w:hint="eastAsia"/>
                      <w:color w:val="auto"/>
                      <w:kern w:val="2"/>
                      <w:sz w:val="21"/>
                      <w:szCs w:val="21"/>
                      <w:u w:val="single"/>
                      <w:lang w:val="en-US" w:eastAsia="zh-CN"/>
                    </w:rPr>
                    <w:t>2F，</w:t>
                  </w:r>
                  <w:r>
                    <w:rPr>
                      <w:rFonts w:hint="eastAsia"/>
                      <w:color w:val="auto"/>
                      <w:kern w:val="2"/>
                      <w:sz w:val="21"/>
                      <w:szCs w:val="21"/>
                      <w:u w:val="single"/>
                      <w:lang w:eastAsia="zh-CN"/>
                    </w:rPr>
                    <w:t>占地</w:t>
                  </w:r>
                  <w:r>
                    <w:rPr>
                      <w:rFonts w:hint="eastAsia"/>
                      <w:color w:val="auto"/>
                      <w:kern w:val="2"/>
                      <w:sz w:val="21"/>
                      <w:szCs w:val="21"/>
                      <w:u w:val="single"/>
                    </w:rPr>
                    <w:t>面积</w:t>
                  </w:r>
                  <w:r>
                    <w:rPr>
                      <w:rFonts w:hint="eastAsia"/>
                      <w:color w:val="auto"/>
                      <w:kern w:val="2"/>
                      <w:sz w:val="21"/>
                      <w:szCs w:val="21"/>
                      <w:u w:val="single"/>
                      <w:lang w:val="en-US" w:eastAsia="zh-CN"/>
                    </w:rPr>
                    <w:t>272.14</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lang w:eastAsia="zh-CN"/>
                    </w:rPr>
                    <w:t>，</w:t>
                  </w:r>
                  <w:r>
                    <w:rPr>
                      <w:rFonts w:hint="eastAsia"/>
                      <w:color w:val="auto"/>
                      <w:kern w:val="2"/>
                      <w:sz w:val="21"/>
                      <w:szCs w:val="21"/>
                      <w:u w:val="single"/>
                      <w:vertAlign w:val="baseline"/>
                      <w:lang w:eastAsia="zh-CN"/>
                    </w:rPr>
                    <w:t>建筑面积</w:t>
                  </w:r>
                  <w:r>
                    <w:rPr>
                      <w:rFonts w:hint="eastAsia"/>
                      <w:color w:val="auto"/>
                      <w:kern w:val="2"/>
                      <w:sz w:val="21"/>
                      <w:szCs w:val="21"/>
                      <w:u w:val="single"/>
                      <w:lang w:val="en-US" w:eastAsia="zh-CN"/>
                    </w:rPr>
                    <w:t>548.39</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u w:val="single"/>
                      <w:lang w:val="en-US" w:eastAsia="zh-CN"/>
                    </w:rPr>
                    <w:t>位于厂区西南角</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default"/>
                      <w:color w:val="auto"/>
                      <w:szCs w:val="21"/>
                      <w:u w:val="single"/>
                      <w:lang w:val="en-US" w:eastAsia="zh-CN"/>
                    </w:rPr>
                  </w:pPr>
                  <w:r>
                    <w:rPr>
                      <w:rFonts w:hint="eastAsia"/>
                      <w:color w:val="auto"/>
                      <w:szCs w:val="21"/>
                      <w:u w:val="single"/>
                      <w:lang w:val="en-US" w:eastAsia="zh-CN"/>
                    </w:rPr>
                    <w:t>利用现有已建办公楼改宿舍楼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ascii="Times New Roman" w:hAnsi="Times New Roman" w:eastAsia="宋体" w:cs="Times New Roman"/>
                      <w:color w:val="auto"/>
                      <w:kern w:val="2"/>
                      <w:sz w:val="21"/>
                      <w:szCs w:val="21"/>
                      <w:u w:val="none"/>
                      <w:lang w:eastAsia="zh-CN"/>
                    </w:rPr>
                  </w:pPr>
                  <w:r>
                    <w:rPr>
                      <w:rFonts w:hint="eastAsia" w:ascii="Times New Roman" w:hAnsi="Times New Roman" w:eastAsia="宋体" w:cs="Times New Roman"/>
                      <w:color w:val="auto"/>
                      <w:kern w:val="2"/>
                      <w:sz w:val="21"/>
                      <w:szCs w:val="21"/>
                      <w:u w:val="none"/>
                      <w:lang w:eastAsia="zh-CN"/>
                    </w:rPr>
                    <w:t>食堂</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int="eastAsia"/>
                      <w:color w:val="auto"/>
                      <w:kern w:val="2"/>
                      <w:sz w:val="21"/>
                      <w:szCs w:val="21"/>
                      <w:u w:val="no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eastAsia="宋体"/>
                      <w:color w:val="auto"/>
                      <w:kern w:val="2"/>
                      <w:sz w:val="21"/>
                      <w:szCs w:val="21"/>
                      <w:u w:val="single"/>
                      <w:lang w:val="en-US" w:eastAsia="zh-CN"/>
                    </w:rPr>
                  </w:pPr>
                  <w:r>
                    <w:rPr>
                      <w:rFonts w:hint="eastAsia"/>
                      <w:color w:val="auto"/>
                      <w:kern w:val="2"/>
                      <w:sz w:val="21"/>
                      <w:szCs w:val="21"/>
                      <w:u w:val="single"/>
                      <w:lang w:eastAsia="zh-CN"/>
                    </w:rPr>
                    <w:t>本次拟建食堂，占地</w:t>
                  </w:r>
                  <w:r>
                    <w:rPr>
                      <w:rFonts w:hint="eastAsia"/>
                      <w:color w:val="auto"/>
                      <w:kern w:val="2"/>
                      <w:sz w:val="21"/>
                      <w:szCs w:val="21"/>
                      <w:u w:val="single"/>
                    </w:rPr>
                    <w:t>面积</w:t>
                  </w:r>
                  <w:r>
                    <w:rPr>
                      <w:rFonts w:hint="eastAsia"/>
                      <w:color w:val="auto"/>
                      <w:kern w:val="2"/>
                      <w:sz w:val="21"/>
                      <w:szCs w:val="21"/>
                      <w:u w:val="single"/>
                      <w:lang w:eastAsia="zh-CN"/>
                    </w:rPr>
                    <w:t>约</w:t>
                  </w:r>
                  <w:r>
                    <w:rPr>
                      <w:rFonts w:hint="eastAsia"/>
                      <w:color w:val="auto"/>
                      <w:kern w:val="2"/>
                      <w:sz w:val="21"/>
                      <w:szCs w:val="21"/>
                      <w:u w:val="single"/>
                      <w:lang w:val="en-US" w:eastAsia="zh-CN"/>
                    </w:rPr>
                    <w:t>1200</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vertAlign w:val="baseline"/>
                      <w:lang w:eastAsia="zh-CN"/>
                    </w:rPr>
                    <w:t>，</w:t>
                  </w:r>
                  <w:r>
                    <w:rPr>
                      <w:rFonts w:hint="eastAsia"/>
                      <w:color w:val="auto"/>
                      <w:kern w:val="2"/>
                      <w:sz w:val="21"/>
                      <w:szCs w:val="21"/>
                      <w:u w:val="single"/>
                      <w:lang w:eastAsia="zh-CN"/>
                    </w:rPr>
                    <w:t>位于办公楼</w:t>
                  </w:r>
                  <w:r>
                    <w:rPr>
                      <w:rFonts w:hint="eastAsia"/>
                      <w:color w:val="auto"/>
                      <w:kern w:val="2"/>
                      <w:sz w:val="21"/>
                      <w:szCs w:val="21"/>
                      <w:u w:val="single"/>
                      <w:lang w:val="en-US" w:eastAsia="zh-CN"/>
                    </w:rPr>
                    <w:t>1F</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default"/>
                      <w:color w:val="auto"/>
                      <w:szCs w:val="21"/>
                      <w:u w:val="single"/>
                      <w:lang w:val="en-US" w:eastAsia="zh-CN"/>
                    </w:rPr>
                  </w:pPr>
                  <w:r>
                    <w:rPr>
                      <w:rFonts w:hint="eastAsia"/>
                      <w:color w:val="auto"/>
                      <w:kern w:val="2"/>
                      <w:sz w:val="21"/>
                      <w:szCs w:val="21"/>
                      <w:u w:val="single"/>
                      <w:lang w:eastAsia="zh-CN"/>
                    </w:rPr>
                    <w:t>拟</w:t>
                  </w:r>
                  <w:r>
                    <w:rPr>
                      <w:rFonts w:hint="eastAsia"/>
                      <w:color w:val="auto"/>
                      <w:kern w:val="2"/>
                      <w:sz w:val="21"/>
                      <w:szCs w:val="21"/>
                      <w:highlight w:val="none"/>
                      <w:u w:val="single"/>
                      <w:lang w:eastAsia="zh-CN"/>
                    </w:rPr>
                    <w:t>新</w:t>
                  </w:r>
                  <w:r>
                    <w:rPr>
                      <w:rFonts w:hint="eastAsia"/>
                      <w:color w:val="auto"/>
                      <w:kern w:val="2"/>
                      <w:sz w:val="21"/>
                      <w:szCs w:val="21"/>
                      <w:u w:val="single"/>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ascii="Times New Roman" w:hAnsi="Times New Roman" w:eastAsia="宋体" w:cs="Times New Roman"/>
                      <w:color w:val="auto"/>
                      <w:kern w:val="2"/>
                      <w:sz w:val="21"/>
                      <w:szCs w:val="21"/>
                      <w:u w:val="none"/>
                      <w:lang w:eastAsia="zh-CN"/>
                    </w:rPr>
                  </w:pPr>
                  <w:r>
                    <w:rPr>
                      <w:rFonts w:hint="eastAsia"/>
                      <w:color w:val="auto"/>
                      <w:kern w:val="2"/>
                      <w:sz w:val="21"/>
                      <w:szCs w:val="21"/>
                      <w:u w:val="none"/>
                      <w:lang w:eastAsia="zh-CN"/>
                    </w:rPr>
                    <w:t>锅炉房</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none"/>
                    </w:rPr>
                  </w:pPr>
                  <w:r>
                    <w:rPr>
                      <w:rFonts w:hint="eastAsia"/>
                      <w:color w:val="auto"/>
                      <w:kern w:val="2"/>
                      <w:sz w:val="21"/>
                      <w:szCs w:val="21"/>
                      <w:u w:val="none"/>
                      <w:lang w:eastAsia="zh-CN"/>
                    </w:rPr>
                    <w:t>位于生产厂房中部，布置</w:t>
                  </w:r>
                  <w:r>
                    <w:rPr>
                      <w:rFonts w:hint="eastAsia"/>
                      <w:color w:val="auto"/>
                      <w:kern w:val="2"/>
                      <w:sz w:val="21"/>
                      <w:szCs w:val="21"/>
                      <w:u w:val="none"/>
                      <w:lang w:val="en-US" w:eastAsia="zh-CN"/>
                    </w:rPr>
                    <w:t>3台燃生物质锅炉</w:t>
                  </w:r>
                </w:p>
              </w:tc>
              <w:tc>
                <w:tcPr>
                  <w:tcW w:w="3128" w:type="dxa"/>
                  <w:noWrap w:val="0"/>
                  <w:vAlign w:val="center"/>
                </w:tcPr>
                <w:p>
                  <w:pPr>
                    <w:pStyle w:val="36"/>
                    <w:rPr>
                      <w:rFonts w:hint="eastAsia" w:eastAsia="宋体"/>
                      <w:color w:val="auto"/>
                      <w:lang w:val="en-US" w:eastAsia="zh-CN"/>
                    </w:rPr>
                  </w:pPr>
                  <w:r>
                    <w:rPr>
                      <w:rFonts w:hint="eastAsia"/>
                      <w:color w:val="auto"/>
                      <w:lang w:val="en-US" w:eastAsia="zh-CN"/>
                    </w:rPr>
                    <w:t>/</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szCs w:val="21"/>
                      <w:u w:val="none"/>
                      <w:lang w:val="en-US" w:eastAsia="zh-CN"/>
                    </w:rPr>
                  </w:pPr>
                  <w:r>
                    <w:rPr>
                      <w:rFonts w:hint="eastAsia"/>
                      <w:color w:val="auto"/>
                      <w:kern w:val="2"/>
                      <w:sz w:val="21"/>
                      <w:szCs w:val="21"/>
                      <w:u w:val="none"/>
                      <w:lang w:eastAsia="zh-CN"/>
                    </w:rPr>
                    <w:t>本次改扩建不涉及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ascii="Times New Roman" w:hAnsi="Times New Roman" w:eastAsia="宋体" w:cs="Times New Roman"/>
                      <w:color w:val="auto"/>
                      <w:kern w:val="2"/>
                      <w:sz w:val="21"/>
                      <w:szCs w:val="21"/>
                      <w:u w:val="none"/>
                      <w:lang w:eastAsia="zh-CN"/>
                    </w:rPr>
                  </w:pPr>
                  <w:r>
                    <w:rPr>
                      <w:rFonts w:hint="eastAsia"/>
                      <w:color w:val="auto"/>
                      <w:kern w:val="2"/>
                      <w:sz w:val="21"/>
                      <w:szCs w:val="21"/>
                      <w:u w:val="none"/>
                      <w:lang w:val="en-US" w:eastAsia="zh-CN"/>
                    </w:rPr>
                    <w:t>修模间</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none"/>
                    </w:rPr>
                  </w:pPr>
                  <w:r>
                    <w:rPr>
                      <w:rFonts w:hint="eastAsia"/>
                      <w:color w:val="auto"/>
                      <w:kern w:val="2"/>
                      <w:sz w:val="21"/>
                      <w:szCs w:val="21"/>
                      <w:u w:val="no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eastAsia="宋体"/>
                      <w:color w:val="auto"/>
                      <w:kern w:val="2"/>
                      <w:sz w:val="21"/>
                      <w:szCs w:val="21"/>
                      <w:u w:val="none"/>
                      <w:lang w:eastAsia="zh-CN"/>
                    </w:rPr>
                  </w:pPr>
                  <w:r>
                    <w:rPr>
                      <w:rFonts w:hint="eastAsia"/>
                      <w:color w:val="auto"/>
                      <w:kern w:val="2"/>
                      <w:sz w:val="21"/>
                      <w:szCs w:val="21"/>
                      <w:u w:val="none"/>
                    </w:rPr>
                    <w:t>面积约为</w:t>
                  </w:r>
                  <w:r>
                    <w:rPr>
                      <w:rFonts w:hint="eastAsia"/>
                      <w:color w:val="auto"/>
                      <w:kern w:val="2"/>
                      <w:sz w:val="21"/>
                      <w:szCs w:val="21"/>
                      <w:u w:val="none"/>
                      <w:lang w:val="en-US" w:eastAsia="zh-CN"/>
                    </w:rPr>
                    <w:t>170</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rPr>
                    <w:t>，</w:t>
                  </w:r>
                  <w:r>
                    <w:rPr>
                      <w:rFonts w:hint="eastAsia"/>
                      <w:color w:val="auto"/>
                      <w:kern w:val="2"/>
                      <w:sz w:val="21"/>
                      <w:szCs w:val="21"/>
                      <w:u w:val="none"/>
                      <w:lang w:eastAsia="zh-CN"/>
                    </w:rPr>
                    <w:t>放置抛光设备</w:t>
                  </w:r>
                  <w:r>
                    <w:rPr>
                      <w:rFonts w:hint="eastAsia"/>
                      <w:color w:val="auto"/>
                      <w:kern w:val="2"/>
                      <w:sz w:val="21"/>
                      <w:szCs w:val="21"/>
                      <w:u w:val="none"/>
                      <w:lang w:val="en-US" w:eastAsia="zh-CN"/>
                    </w:rPr>
                    <w:t>16台</w:t>
                  </w:r>
                  <w:r>
                    <w:rPr>
                      <w:rFonts w:hint="eastAsia"/>
                      <w:color w:val="auto"/>
                      <w:sz w:val="21"/>
                      <w:szCs w:val="21"/>
                      <w:lang w:eastAsia="zh-CN"/>
                    </w:rPr>
                    <w:t>，用于生产设备配件维修打磨</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szCs w:val="21"/>
                      <w:u w:val="none"/>
                      <w:lang w:val="en-US" w:eastAsia="zh-CN"/>
                    </w:rPr>
                  </w:pPr>
                  <w:r>
                    <w:rPr>
                      <w:rFonts w:hint="eastAsia"/>
                      <w:color w:val="auto"/>
                      <w:kern w:val="2"/>
                      <w:sz w:val="21"/>
                      <w:szCs w:val="21"/>
                      <w:u w:val="single"/>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储运工程</w:t>
                  </w:r>
                </w:p>
              </w:tc>
              <w:tc>
                <w:tcPr>
                  <w:tcW w:w="1317"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eastAsia="宋体"/>
                      <w:color w:val="auto"/>
                      <w:szCs w:val="21"/>
                      <w:u w:val="none"/>
                      <w:lang w:eastAsia="zh-CN"/>
                    </w:rPr>
                  </w:pPr>
                  <w:r>
                    <w:rPr>
                      <w:rFonts w:hint="eastAsia"/>
                      <w:color w:val="auto"/>
                      <w:szCs w:val="21"/>
                      <w:u w:val="none"/>
                      <w:lang w:eastAsia="zh-CN"/>
                    </w:rPr>
                    <w:t>产品堆场</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eastAsia="宋体"/>
                      <w:color w:val="auto"/>
                      <w:kern w:val="2"/>
                      <w:sz w:val="21"/>
                      <w:szCs w:val="21"/>
                      <w:u w:val="none"/>
                      <w:lang w:val="en-US" w:eastAsia="zh-CN"/>
                    </w:rPr>
                  </w:pPr>
                  <w:r>
                    <w:rPr>
                      <w:rFonts w:hint="eastAsia"/>
                      <w:color w:val="auto"/>
                      <w:kern w:val="2"/>
                      <w:sz w:val="21"/>
                      <w:szCs w:val="21"/>
                      <w:u w:val="none"/>
                    </w:rPr>
                    <w:t>面积约为</w:t>
                  </w:r>
                  <w:r>
                    <w:rPr>
                      <w:rFonts w:hint="eastAsia"/>
                      <w:color w:val="auto"/>
                      <w:kern w:val="2"/>
                      <w:sz w:val="21"/>
                      <w:szCs w:val="21"/>
                      <w:u w:val="none"/>
                      <w:lang w:val="en-US" w:eastAsia="zh-CN"/>
                    </w:rPr>
                    <w:t>29</w:t>
                  </w:r>
                  <w:r>
                    <w:rPr>
                      <w:rFonts w:hint="eastAsia"/>
                      <w:color w:val="auto"/>
                      <w:kern w:val="2"/>
                      <w:sz w:val="21"/>
                      <w:szCs w:val="21"/>
                      <w:u w:val="none"/>
                    </w:rPr>
                    <w:t>00m</w:t>
                  </w:r>
                  <w:r>
                    <w:rPr>
                      <w:rFonts w:hint="eastAsia"/>
                      <w:color w:val="auto"/>
                      <w:kern w:val="2"/>
                      <w:sz w:val="21"/>
                      <w:szCs w:val="21"/>
                      <w:u w:val="none"/>
                      <w:vertAlign w:val="superscript"/>
                    </w:rPr>
                    <w:t>2</w:t>
                  </w:r>
                  <w:r>
                    <w:rPr>
                      <w:rFonts w:hint="eastAsia"/>
                      <w:color w:val="auto"/>
                      <w:kern w:val="2"/>
                      <w:sz w:val="21"/>
                      <w:szCs w:val="21"/>
                      <w:u w:val="none"/>
                    </w:rPr>
                    <w:t>，</w:t>
                  </w:r>
                  <w:r>
                    <w:rPr>
                      <w:rFonts w:hint="eastAsia"/>
                      <w:color w:val="auto"/>
                      <w:kern w:val="2"/>
                      <w:sz w:val="21"/>
                      <w:szCs w:val="21"/>
                      <w:u w:val="none"/>
                      <w:lang w:eastAsia="zh-CN"/>
                    </w:rPr>
                    <w:t>放置产品堆场、自动包装机</w:t>
                  </w:r>
                  <w:r>
                    <w:rPr>
                      <w:rFonts w:hint="eastAsia"/>
                      <w:color w:val="auto"/>
                      <w:kern w:val="2"/>
                      <w:sz w:val="21"/>
                      <w:szCs w:val="21"/>
                      <w:u w:val="none"/>
                    </w:rPr>
                    <w:t>等</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kern w:val="2"/>
                      <w:sz w:val="21"/>
                      <w:szCs w:val="21"/>
                      <w:u w:val="none"/>
                    </w:rPr>
                  </w:pPr>
                  <w:r>
                    <w:rPr>
                      <w:rFonts w:hint="eastAsia"/>
                      <w:color w:val="auto"/>
                      <w:kern w:val="2"/>
                      <w:sz w:val="21"/>
                      <w:szCs w:val="21"/>
                      <w:u w:val="none"/>
                    </w:rPr>
                    <w:t>面积约为</w:t>
                  </w:r>
                  <w:r>
                    <w:rPr>
                      <w:rFonts w:hint="eastAsia"/>
                      <w:color w:val="auto"/>
                      <w:kern w:val="2"/>
                      <w:sz w:val="21"/>
                      <w:szCs w:val="21"/>
                      <w:u w:val="none"/>
                      <w:lang w:val="en-US" w:eastAsia="zh-CN"/>
                    </w:rPr>
                    <w:t>29</w:t>
                  </w:r>
                  <w:r>
                    <w:rPr>
                      <w:rFonts w:hint="eastAsia"/>
                      <w:color w:val="auto"/>
                      <w:kern w:val="2"/>
                      <w:sz w:val="21"/>
                      <w:szCs w:val="21"/>
                      <w:u w:val="none"/>
                    </w:rPr>
                    <w:t>00m</w:t>
                  </w:r>
                  <w:r>
                    <w:rPr>
                      <w:rFonts w:hint="eastAsia"/>
                      <w:color w:val="auto"/>
                      <w:kern w:val="2"/>
                      <w:sz w:val="21"/>
                      <w:szCs w:val="21"/>
                      <w:u w:val="none"/>
                      <w:vertAlign w:val="superscript"/>
                    </w:rPr>
                    <w:t>2</w:t>
                  </w:r>
                  <w:r>
                    <w:rPr>
                      <w:rFonts w:hint="eastAsia"/>
                      <w:color w:val="auto"/>
                      <w:kern w:val="2"/>
                      <w:sz w:val="21"/>
                      <w:szCs w:val="21"/>
                      <w:u w:val="none"/>
                    </w:rPr>
                    <w:t>，</w:t>
                  </w:r>
                  <w:r>
                    <w:rPr>
                      <w:rFonts w:hint="eastAsia"/>
                      <w:color w:val="auto"/>
                      <w:kern w:val="2"/>
                      <w:sz w:val="21"/>
                      <w:szCs w:val="21"/>
                      <w:u w:val="none"/>
                      <w:lang w:eastAsia="zh-CN"/>
                    </w:rPr>
                    <w:t>位于</w:t>
                  </w:r>
                  <w:r>
                    <w:rPr>
                      <w:rFonts w:hint="eastAsia"/>
                      <w:color w:val="auto"/>
                      <w:kern w:val="2"/>
                      <w:sz w:val="21"/>
                      <w:szCs w:val="21"/>
                      <w:u w:val="none"/>
                      <w:lang w:val="en-US" w:eastAsia="zh-CN"/>
                    </w:rPr>
                    <w:t>2#生产厂房东侧，</w:t>
                  </w:r>
                  <w:r>
                    <w:rPr>
                      <w:rFonts w:hint="eastAsia"/>
                      <w:color w:val="auto"/>
                      <w:kern w:val="2"/>
                      <w:sz w:val="21"/>
                      <w:szCs w:val="21"/>
                      <w:u w:val="none"/>
                      <w:lang w:eastAsia="zh-CN"/>
                    </w:rPr>
                    <w:t>放置产品堆场、自动包装机</w:t>
                  </w:r>
                  <w:r>
                    <w:rPr>
                      <w:rFonts w:hint="eastAsia"/>
                      <w:color w:val="auto"/>
                      <w:kern w:val="2"/>
                      <w:sz w:val="21"/>
                      <w:szCs w:val="21"/>
                      <w:u w:val="none"/>
                    </w:rPr>
                    <w:t>等</w:t>
                  </w:r>
                </w:p>
              </w:tc>
              <w:tc>
                <w:tcPr>
                  <w:tcW w:w="1328" w:type="dxa"/>
                  <w:vMerge w:val="restart"/>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none"/>
                    </w:rPr>
                  </w:pPr>
                  <w:r>
                    <w:rPr>
                      <w:rFonts w:hint="eastAsia"/>
                      <w:color w:val="auto"/>
                      <w:szCs w:val="21"/>
                      <w:u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eastAsia="宋体"/>
                      <w:color w:val="auto"/>
                      <w:szCs w:val="21"/>
                      <w:u w:val="none"/>
                      <w:lang w:eastAsia="zh-CN"/>
                    </w:rPr>
                  </w:pPr>
                  <w:r>
                    <w:rPr>
                      <w:rFonts w:hint="eastAsia"/>
                      <w:color w:val="auto"/>
                      <w:szCs w:val="21"/>
                      <w:u w:val="none"/>
                    </w:rPr>
                    <w:t>原料</w:t>
                  </w:r>
                  <w:r>
                    <w:rPr>
                      <w:rFonts w:hint="eastAsia"/>
                      <w:color w:val="auto"/>
                      <w:szCs w:val="21"/>
                      <w:u w:val="none"/>
                      <w:lang w:eastAsia="zh-CN"/>
                    </w:rPr>
                    <w:t>堆场</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eastAsia="宋体"/>
                      <w:color w:val="auto"/>
                      <w:kern w:val="2"/>
                      <w:sz w:val="21"/>
                      <w:szCs w:val="21"/>
                      <w:u w:val="none"/>
                      <w:lang w:val="en-US" w:eastAsia="zh-CN"/>
                    </w:rPr>
                  </w:pPr>
                  <w:r>
                    <w:rPr>
                      <w:rFonts w:hint="eastAsia"/>
                      <w:color w:val="auto"/>
                      <w:kern w:val="2"/>
                      <w:sz w:val="21"/>
                      <w:szCs w:val="21"/>
                      <w:u w:val="none"/>
                    </w:rPr>
                    <w:t>面积约为</w:t>
                  </w:r>
                  <w:r>
                    <w:rPr>
                      <w:rFonts w:hint="eastAsia"/>
                      <w:color w:val="auto"/>
                      <w:kern w:val="2"/>
                      <w:sz w:val="21"/>
                      <w:szCs w:val="21"/>
                      <w:u w:val="none"/>
                      <w:lang w:val="en-US" w:eastAsia="zh-CN"/>
                    </w:rPr>
                    <w:t>100</w:t>
                  </w:r>
                  <w:r>
                    <w:rPr>
                      <w:rFonts w:hint="eastAsia"/>
                      <w:color w:val="auto"/>
                      <w:kern w:val="2"/>
                      <w:sz w:val="21"/>
                      <w:szCs w:val="21"/>
                      <w:u w:val="none"/>
                    </w:rPr>
                    <w:t>0m</w:t>
                  </w:r>
                  <w:r>
                    <w:rPr>
                      <w:rFonts w:hint="eastAsia"/>
                      <w:color w:val="auto"/>
                      <w:kern w:val="2"/>
                      <w:sz w:val="21"/>
                      <w:szCs w:val="21"/>
                      <w:u w:val="none"/>
                      <w:vertAlign w:val="superscript"/>
                    </w:rPr>
                    <w:t>2</w:t>
                  </w:r>
                  <w:r>
                    <w:rPr>
                      <w:rFonts w:hint="eastAsia"/>
                      <w:color w:val="auto"/>
                      <w:kern w:val="2"/>
                      <w:sz w:val="21"/>
                      <w:szCs w:val="21"/>
                      <w:u w:val="none"/>
                    </w:rPr>
                    <w:t>，在原料</w:t>
                  </w:r>
                  <w:r>
                    <w:rPr>
                      <w:rFonts w:hint="eastAsia"/>
                      <w:color w:val="auto"/>
                      <w:kern w:val="2"/>
                      <w:sz w:val="21"/>
                      <w:szCs w:val="21"/>
                      <w:u w:val="none"/>
                      <w:lang w:eastAsia="zh-CN"/>
                    </w:rPr>
                    <w:t>区</w:t>
                  </w:r>
                  <w:r>
                    <w:rPr>
                      <w:rFonts w:hint="eastAsia"/>
                      <w:color w:val="auto"/>
                      <w:kern w:val="2"/>
                      <w:sz w:val="21"/>
                      <w:szCs w:val="21"/>
                      <w:u w:val="none"/>
                    </w:rPr>
                    <w:t>内放置</w:t>
                  </w:r>
                  <w:r>
                    <w:rPr>
                      <w:rFonts w:hint="eastAsia"/>
                      <w:color w:val="auto"/>
                      <w:kern w:val="2"/>
                      <w:sz w:val="21"/>
                      <w:szCs w:val="21"/>
                      <w:u w:val="none"/>
                      <w:lang w:eastAsia="zh-CN"/>
                    </w:rPr>
                    <w:t>钢丝、不锈钢丝</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int="eastAsia"/>
                      <w:color w:val="auto"/>
                      <w:kern w:val="2"/>
                      <w:sz w:val="21"/>
                      <w:szCs w:val="21"/>
                      <w:u w:val="none"/>
                    </w:rPr>
                    <w:t>面积约为</w:t>
                  </w:r>
                  <w:r>
                    <w:rPr>
                      <w:rFonts w:hint="eastAsia"/>
                      <w:color w:val="auto"/>
                      <w:kern w:val="2"/>
                      <w:sz w:val="21"/>
                      <w:szCs w:val="21"/>
                      <w:u w:val="none"/>
                      <w:lang w:val="en-US" w:eastAsia="zh-CN"/>
                    </w:rPr>
                    <w:t>100</w:t>
                  </w:r>
                  <w:r>
                    <w:rPr>
                      <w:rFonts w:hint="eastAsia"/>
                      <w:color w:val="auto"/>
                      <w:kern w:val="2"/>
                      <w:sz w:val="21"/>
                      <w:szCs w:val="21"/>
                      <w:u w:val="none"/>
                    </w:rPr>
                    <w:t>0m</w:t>
                  </w:r>
                  <w:r>
                    <w:rPr>
                      <w:rFonts w:hint="eastAsia"/>
                      <w:color w:val="auto"/>
                      <w:kern w:val="2"/>
                      <w:sz w:val="21"/>
                      <w:szCs w:val="21"/>
                      <w:u w:val="none"/>
                      <w:vertAlign w:val="superscript"/>
                    </w:rPr>
                    <w:t>2</w:t>
                  </w:r>
                  <w:r>
                    <w:rPr>
                      <w:rFonts w:hint="eastAsia"/>
                      <w:color w:val="auto"/>
                      <w:kern w:val="2"/>
                      <w:sz w:val="21"/>
                      <w:szCs w:val="21"/>
                      <w:u w:val="none"/>
                    </w:rPr>
                    <w:t>，</w:t>
                  </w:r>
                  <w:r>
                    <w:rPr>
                      <w:rFonts w:hint="eastAsia"/>
                      <w:color w:val="auto"/>
                      <w:kern w:val="2"/>
                      <w:sz w:val="21"/>
                      <w:szCs w:val="21"/>
                      <w:u w:val="none"/>
                      <w:lang w:eastAsia="zh-CN"/>
                    </w:rPr>
                    <w:t>位于</w:t>
                  </w:r>
                  <w:r>
                    <w:rPr>
                      <w:rFonts w:hint="eastAsia"/>
                      <w:color w:val="auto"/>
                      <w:kern w:val="2"/>
                      <w:sz w:val="21"/>
                      <w:szCs w:val="21"/>
                      <w:u w:val="none"/>
                      <w:lang w:val="en-US" w:eastAsia="zh-CN"/>
                    </w:rPr>
                    <w:t>1#生产厂房外西侧，</w:t>
                  </w:r>
                  <w:r>
                    <w:rPr>
                      <w:rFonts w:hint="eastAsia"/>
                      <w:color w:val="auto"/>
                      <w:kern w:val="2"/>
                      <w:sz w:val="21"/>
                      <w:szCs w:val="21"/>
                      <w:u w:val="none"/>
                    </w:rPr>
                    <w:t>在原料</w:t>
                  </w:r>
                  <w:r>
                    <w:rPr>
                      <w:rFonts w:hint="eastAsia"/>
                      <w:color w:val="auto"/>
                      <w:kern w:val="2"/>
                      <w:sz w:val="21"/>
                      <w:szCs w:val="21"/>
                      <w:u w:val="none"/>
                      <w:lang w:eastAsia="zh-CN"/>
                    </w:rPr>
                    <w:t>区</w:t>
                  </w:r>
                  <w:r>
                    <w:rPr>
                      <w:rFonts w:hint="eastAsia"/>
                      <w:color w:val="auto"/>
                      <w:kern w:val="2"/>
                      <w:sz w:val="21"/>
                      <w:szCs w:val="21"/>
                      <w:u w:val="none"/>
                    </w:rPr>
                    <w:t>内放置</w:t>
                  </w:r>
                  <w:r>
                    <w:rPr>
                      <w:rFonts w:hint="eastAsia"/>
                      <w:color w:val="auto"/>
                      <w:kern w:val="2"/>
                      <w:sz w:val="21"/>
                      <w:szCs w:val="21"/>
                      <w:u w:val="none"/>
                      <w:lang w:eastAsia="zh-CN"/>
                    </w:rPr>
                    <w:t>钢丝、不锈钢丝</w:t>
                  </w:r>
                </w:p>
              </w:tc>
              <w:tc>
                <w:tcPr>
                  <w:tcW w:w="1328"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eastAsia="宋体"/>
                      <w:color w:val="auto"/>
                      <w:szCs w:val="21"/>
                      <w:u w:val="none"/>
                      <w:lang w:eastAsia="zh-CN"/>
                    </w:rPr>
                  </w:pPr>
                  <w:r>
                    <w:rPr>
                      <w:rFonts w:hint="eastAsia"/>
                      <w:color w:val="auto"/>
                      <w:szCs w:val="21"/>
                      <w:u w:val="none"/>
                      <w:lang w:eastAsia="zh-CN"/>
                    </w:rPr>
                    <w:t>车间内暂存区</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default"/>
                      <w:color w:val="auto"/>
                      <w:kern w:val="2"/>
                      <w:sz w:val="21"/>
                      <w:szCs w:val="21"/>
                      <w:u w:val="none"/>
                      <w:lang w:val="en-US" w:eastAsia="zh-CN"/>
                    </w:rPr>
                  </w:pPr>
                  <w:r>
                    <w:rPr>
                      <w:rFonts w:hint="eastAsia"/>
                      <w:color w:val="auto"/>
                      <w:kern w:val="2"/>
                      <w:sz w:val="21"/>
                      <w:szCs w:val="21"/>
                      <w:u w:val="none"/>
                      <w:lang w:eastAsia="zh-CN"/>
                    </w:rPr>
                    <w:t>位于</w:t>
                  </w:r>
                  <w:r>
                    <w:rPr>
                      <w:rFonts w:hint="eastAsia"/>
                      <w:color w:val="auto"/>
                      <w:kern w:val="2"/>
                      <w:sz w:val="21"/>
                      <w:szCs w:val="21"/>
                      <w:u w:val="none"/>
                      <w:lang w:val="en-US" w:eastAsia="zh-CN"/>
                    </w:rPr>
                    <w:t>1#</w:t>
                  </w:r>
                  <w:r>
                    <w:rPr>
                      <w:rFonts w:hint="eastAsia"/>
                      <w:color w:val="auto"/>
                      <w:kern w:val="2"/>
                      <w:sz w:val="21"/>
                      <w:szCs w:val="21"/>
                      <w:u w:val="none"/>
                      <w:lang w:eastAsia="zh-CN"/>
                    </w:rPr>
                    <w:t>生产车间内东侧，放置涂膜剂等原料</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none"/>
                      <w:lang w:val="en-US"/>
                    </w:rPr>
                  </w:pPr>
                  <w:r>
                    <w:rPr>
                      <w:rFonts w:hint="eastAsia"/>
                      <w:color w:val="auto"/>
                      <w:kern w:val="2"/>
                      <w:sz w:val="21"/>
                      <w:szCs w:val="21"/>
                      <w:u w:val="none"/>
                      <w:lang w:eastAsia="zh-CN"/>
                    </w:rPr>
                    <w:t>位于</w:t>
                  </w:r>
                  <w:r>
                    <w:rPr>
                      <w:rFonts w:hint="eastAsia"/>
                      <w:color w:val="auto"/>
                      <w:kern w:val="2"/>
                      <w:sz w:val="21"/>
                      <w:szCs w:val="21"/>
                      <w:u w:val="none"/>
                      <w:lang w:val="en-US" w:eastAsia="zh-CN"/>
                    </w:rPr>
                    <w:t>1#</w:t>
                  </w:r>
                  <w:r>
                    <w:rPr>
                      <w:rFonts w:hint="eastAsia"/>
                      <w:color w:val="auto"/>
                      <w:kern w:val="2"/>
                      <w:sz w:val="21"/>
                      <w:szCs w:val="21"/>
                      <w:u w:val="none"/>
                      <w:lang w:eastAsia="zh-CN"/>
                    </w:rPr>
                    <w:t>生产车间内东侧，放置涂膜剂、皮膜剂等化学品原料</w:t>
                  </w:r>
                </w:p>
              </w:tc>
              <w:tc>
                <w:tcPr>
                  <w:tcW w:w="1328"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color w:val="auto"/>
                      <w:szCs w:val="21"/>
                      <w:u w:val="single"/>
                      <w:lang w:eastAsia="zh-CN"/>
                    </w:rPr>
                  </w:pPr>
                  <w:r>
                    <w:rPr>
                      <w:rFonts w:hint="eastAsia"/>
                      <w:color w:val="auto"/>
                      <w:szCs w:val="21"/>
                      <w:u w:val="single"/>
                      <w:lang w:eastAsia="zh-CN"/>
                    </w:rPr>
                    <w:t>硫酸罐区</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single"/>
                      <w:lang w:eastAsia="zh-CN"/>
                    </w:rPr>
                  </w:pPr>
                  <w:r>
                    <w:rPr>
                      <w:rFonts w:hint="eastAsia"/>
                      <w:color w:val="auto"/>
                      <w:kern w:val="2"/>
                      <w:sz w:val="21"/>
                      <w:szCs w:val="21"/>
                      <w:u w:val="single"/>
                      <w:lang w:eastAsia="zh-CN"/>
                    </w:rPr>
                    <w:t>位于</w:t>
                  </w:r>
                  <w:r>
                    <w:rPr>
                      <w:rFonts w:hint="eastAsia"/>
                      <w:color w:val="auto"/>
                      <w:kern w:val="2"/>
                      <w:sz w:val="21"/>
                      <w:szCs w:val="21"/>
                      <w:u w:val="single"/>
                      <w:lang w:val="en-US" w:eastAsia="zh-CN"/>
                    </w:rPr>
                    <w:t>1#</w:t>
                  </w:r>
                  <w:r>
                    <w:rPr>
                      <w:rFonts w:hint="eastAsia"/>
                      <w:color w:val="auto"/>
                      <w:kern w:val="2"/>
                      <w:sz w:val="21"/>
                      <w:szCs w:val="21"/>
                      <w:u w:val="single"/>
                      <w:lang w:eastAsia="zh-CN"/>
                    </w:rPr>
                    <w:t>生产车间内西侧，放置</w:t>
                  </w:r>
                  <w:r>
                    <w:rPr>
                      <w:rFonts w:hint="eastAsia"/>
                      <w:color w:val="auto"/>
                      <w:kern w:val="2"/>
                      <w:sz w:val="21"/>
                      <w:szCs w:val="21"/>
                      <w:u w:val="single"/>
                      <w:lang w:val="en-US" w:eastAsia="zh-CN"/>
                    </w:rPr>
                    <w:t>20m</w:t>
                  </w:r>
                  <w:r>
                    <w:rPr>
                      <w:rFonts w:hint="eastAsia"/>
                      <w:color w:val="auto"/>
                      <w:kern w:val="2"/>
                      <w:sz w:val="21"/>
                      <w:szCs w:val="21"/>
                      <w:u w:val="single"/>
                      <w:vertAlign w:val="superscript"/>
                      <w:lang w:val="en-US" w:eastAsia="zh-CN"/>
                    </w:rPr>
                    <w:t>3</w:t>
                  </w:r>
                  <w:r>
                    <w:rPr>
                      <w:rFonts w:hint="eastAsia"/>
                      <w:color w:val="auto"/>
                      <w:kern w:val="2"/>
                      <w:sz w:val="21"/>
                      <w:szCs w:val="21"/>
                      <w:u w:val="single"/>
                      <w:lang w:eastAsia="zh-CN"/>
                    </w:rPr>
                    <w:t>硫酸罐</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eastAsia="宋体"/>
                      <w:color w:val="auto"/>
                      <w:kern w:val="2"/>
                      <w:sz w:val="21"/>
                      <w:szCs w:val="21"/>
                      <w:highlight w:val="none"/>
                      <w:u w:val="single"/>
                      <w:lang w:val="en-US" w:eastAsia="zh-CN"/>
                    </w:rPr>
                  </w:pPr>
                  <w:r>
                    <w:rPr>
                      <w:rFonts w:hint="eastAsia"/>
                      <w:color w:val="auto"/>
                      <w:kern w:val="2"/>
                      <w:sz w:val="21"/>
                      <w:szCs w:val="21"/>
                      <w:highlight w:val="none"/>
                      <w:u w:val="single"/>
                      <w:lang w:eastAsia="zh-CN"/>
                    </w:rPr>
                    <w:t>位于</w:t>
                  </w:r>
                  <w:r>
                    <w:rPr>
                      <w:rFonts w:hint="eastAsia"/>
                      <w:color w:val="auto"/>
                      <w:kern w:val="2"/>
                      <w:sz w:val="21"/>
                      <w:szCs w:val="21"/>
                      <w:highlight w:val="none"/>
                      <w:u w:val="single"/>
                      <w:lang w:val="en-US" w:eastAsia="zh-CN"/>
                    </w:rPr>
                    <w:t>1#</w:t>
                  </w:r>
                  <w:r>
                    <w:rPr>
                      <w:rFonts w:hint="eastAsia"/>
                      <w:color w:val="auto"/>
                      <w:kern w:val="2"/>
                      <w:sz w:val="21"/>
                      <w:szCs w:val="21"/>
                      <w:highlight w:val="none"/>
                      <w:u w:val="single"/>
                      <w:lang w:eastAsia="zh-CN"/>
                    </w:rPr>
                    <w:t>生产车间内西侧，放置</w:t>
                  </w:r>
                  <w:r>
                    <w:rPr>
                      <w:rFonts w:hint="eastAsia"/>
                      <w:color w:val="auto"/>
                      <w:kern w:val="2"/>
                      <w:sz w:val="21"/>
                      <w:szCs w:val="21"/>
                      <w:highlight w:val="none"/>
                      <w:u w:val="single"/>
                      <w:lang w:val="en-US" w:eastAsia="zh-CN"/>
                    </w:rPr>
                    <w:t>1个20m</w:t>
                  </w:r>
                  <w:r>
                    <w:rPr>
                      <w:rFonts w:hint="eastAsia"/>
                      <w:color w:val="auto"/>
                      <w:kern w:val="2"/>
                      <w:sz w:val="21"/>
                      <w:szCs w:val="21"/>
                      <w:highlight w:val="none"/>
                      <w:u w:val="single"/>
                      <w:vertAlign w:val="superscript"/>
                      <w:lang w:val="en-US" w:eastAsia="zh-CN"/>
                    </w:rPr>
                    <w:t>3</w:t>
                  </w:r>
                  <w:r>
                    <w:rPr>
                      <w:rFonts w:hint="eastAsia"/>
                      <w:color w:val="auto"/>
                      <w:kern w:val="2"/>
                      <w:sz w:val="21"/>
                      <w:szCs w:val="21"/>
                      <w:highlight w:val="none"/>
                      <w:u w:val="single"/>
                      <w:vertAlign w:val="baseline"/>
                      <w:lang w:val="en-US" w:eastAsia="zh-CN"/>
                    </w:rPr>
                    <w:t>卧式</w:t>
                  </w:r>
                  <w:r>
                    <w:rPr>
                      <w:rFonts w:hint="eastAsia"/>
                      <w:color w:val="auto"/>
                      <w:kern w:val="2"/>
                      <w:sz w:val="21"/>
                      <w:szCs w:val="21"/>
                      <w:highlight w:val="none"/>
                      <w:u w:val="single"/>
                      <w:lang w:eastAsia="zh-CN"/>
                    </w:rPr>
                    <w:t>硫酸罐</w:t>
                  </w:r>
                  <w:r>
                    <w:rPr>
                      <w:rFonts w:hint="eastAsia"/>
                      <w:color w:val="auto"/>
                      <w:highlight w:val="none"/>
                      <w:u w:val="single"/>
                      <w:lang w:eastAsia="zh-CN"/>
                    </w:rPr>
                    <w:t>，</w:t>
                  </w:r>
                  <w:r>
                    <w:rPr>
                      <w:rFonts w:hint="eastAsia"/>
                      <w:color w:val="auto"/>
                      <w:highlight w:val="none"/>
                      <w:u w:val="single"/>
                      <w:lang w:val="en-US" w:eastAsia="zh-CN"/>
                    </w:rPr>
                    <w:t>1个</w:t>
                  </w:r>
                  <w:r>
                    <w:rPr>
                      <w:rFonts w:hint="eastAsia"/>
                      <w:color w:val="auto"/>
                      <w:kern w:val="2"/>
                      <w:sz w:val="21"/>
                      <w:szCs w:val="21"/>
                      <w:highlight w:val="none"/>
                      <w:u w:val="single"/>
                      <w:lang w:val="en-US" w:eastAsia="zh-CN"/>
                    </w:rPr>
                    <w:t>6m</w:t>
                  </w:r>
                  <w:r>
                    <w:rPr>
                      <w:rFonts w:hint="eastAsia"/>
                      <w:color w:val="auto"/>
                      <w:kern w:val="2"/>
                      <w:sz w:val="21"/>
                      <w:szCs w:val="21"/>
                      <w:highlight w:val="none"/>
                      <w:u w:val="single"/>
                      <w:vertAlign w:val="superscript"/>
                      <w:lang w:val="en-US" w:eastAsia="zh-CN"/>
                    </w:rPr>
                    <w:t>3</w:t>
                  </w:r>
                  <w:r>
                    <w:rPr>
                      <w:rFonts w:hint="eastAsia"/>
                      <w:color w:val="auto"/>
                      <w:kern w:val="2"/>
                      <w:sz w:val="21"/>
                      <w:szCs w:val="21"/>
                      <w:highlight w:val="none"/>
                      <w:u w:val="single"/>
                      <w:vertAlign w:val="baseline"/>
                      <w:lang w:val="en-US" w:eastAsia="zh-CN"/>
                    </w:rPr>
                    <w:t>卧式高位罐</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highlight w:val="none"/>
                      <w:u w:val="single"/>
                    </w:rPr>
                  </w:pPr>
                  <w:r>
                    <w:rPr>
                      <w:rFonts w:hint="eastAsia"/>
                      <w:color w:val="auto"/>
                      <w:szCs w:val="21"/>
                      <w:highlight w:val="none"/>
                      <w:u w:val="singl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color w:val="auto"/>
                      <w:szCs w:val="21"/>
                      <w:u w:val="none"/>
                      <w:lang w:eastAsia="zh-CN"/>
                    </w:rPr>
                  </w:pPr>
                  <w:r>
                    <w:rPr>
                      <w:rFonts w:hint="eastAsia"/>
                      <w:color w:val="auto"/>
                      <w:szCs w:val="21"/>
                      <w:u w:val="none"/>
                      <w:lang w:eastAsia="zh-CN"/>
                    </w:rPr>
                    <w:t>液氨罐</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single"/>
                      <w:lang w:val="en-US" w:eastAsia="zh-CN"/>
                    </w:rPr>
                  </w:pPr>
                  <w:r>
                    <w:rPr>
                      <w:rFonts w:hint="eastAsia"/>
                      <w:color w:val="auto"/>
                      <w:kern w:val="2"/>
                      <w:sz w:val="21"/>
                      <w:szCs w:val="21"/>
                      <w:u w:val="single"/>
                      <w:lang w:eastAsia="zh-CN"/>
                    </w:rPr>
                    <w:t>位于</w:t>
                  </w:r>
                  <w:r>
                    <w:rPr>
                      <w:rFonts w:hint="eastAsia"/>
                      <w:color w:val="auto"/>
                      <w:kern w:val="2"/>
                      <w:sz w:val="21"/>
                      <w:szCs w:val="21"/>
                      <w:u w:val="single"/>
                      <w:lang w:val="en-US" w:eastAsia="zh-CN"/>
                    </w:rPr>
                    <w:t>1#</w:t>
                  </w:r>
                  <w:r>
                    <w:rPr>
                      <w:rFonts w:hint="eastAsia"/>
                      <w:color w:val="auto"/>
                      <w:kern w:val="2"/>
                      <w:sz w:val="21"/>
                      <w:szCs w:val="21"/>
                      <w:u w:val="single"/>
                      <w:lang w:eastAsia="zh-CN"/>
                    </w:rPr>
                    <w:t>生产车间外南侧，放置</w:t>
                  </w:r>
                  <w:r>
                    <w:rPr>
                      <w:rFonts w:hint="eastAsia"/>
                      <w:color w:val="auto"/>
                      <w:kern w:val="2"/>
                      <w:sz w:val="21"/>
                      <w:szCs w:val="21"/>
                      <w:u w:val="single"/>
                      <w:lang w:val="en-US" w:eastAsia="zh-CN"/>
                    </w:rPr>
                    <w:t>2瓶800L液氨罐</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eastAsia="宋体"/>
                      <w:color w:val="auto"/>
                      <w:szCs w:val="21"/>
                      <w:u w:val="single"/>
                      <w:lang w:eastAsia="zh-CN"/>
                    </w:rPr>
                  </w:pPr>
                  <w:r>
                    <w:rPr>
                      <w:rFonts w:hint="eastAsia"/>
                      <w:color w:val="auto"/>
                      <w:kern w:val="2"/>
                      <w:sz w:val="21"/>
                      <w:szCs w:val="21"/>
                      <w:u w:val="single"/>
                      <w:lang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公用工程</w:t>
                  </w: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供水</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none"/>
                    </w:rPr>
                  </w:pPr>
                  <w:r>
                    <w:rPr>
                      <w:rFonts w:hint="eastAsia"/>
                      <w:color w:val="auto"/>
                      <w:kern w:val="2"/>
                      <w:sz w:val="21"/>
                      <w:szCs w:val="21"/>
                      <w:u w:val="none"/>
                    </w:rPr>
                    <w:t>市政自来水管网</w:t>
                  </w:r>
                  <w:r>
                    <w:rPr>
                      <w:rFonts w:hint="eastAsia"/>
                      <w:color w:val="auto"/>
                      <w:kern w:val="2"/>
                      <w:sz w:val="21"/>
                      <w:szCs w:val="21"/>
                      <w:u w:val="none"/>
                      <w:lang w:eastAsia="zh-CN"/>
                    </w:rPr>
                    <w:t>供给</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int="eastAsia"/>
                      <w:color w:val="auto"/>
                      <w:kern w:val="2"/>
                      <w:sz w:val="21"/>
                      <w:szCs w:val="21"/>
                      <w:u w:val="none"/>
                    </w:rPr>
                    <w:t>市政自来水管网</w:t>
                  </w:r>
                  <w:r>
                    <w:rPr>
                      <w:rFonts w:hint="eastAsia"/>
                      <w:color w:val="auto"/>
                      <w:kern w:val="2"/>
                      <w:sz w:val="21"/>
                      <w:szCs w:val="21"/>
                      <w:u w:val="none"/>
                      <w:lang w:eastAsia="zh-CN"/>
                    </w:rPr>
                    <w:t>供给</w:t>
                  </w:r>
                </w:p>
              </w:tc>
              <w:tc>
                <w:tcPr>
                  <w:tcW w:w="1328" w:type="dxa"/>
                  <w:vMerge w:val="restart"/>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eastAsia="宋体"/>
                      <w:color w:val="auto"/>
                      <w:szCs w:val="21"/>
                      <w:u w:val="none"/>
                      <w:lang w:eastAsia="zh-CN"/>
                    </w:rPr>
                  </w:pPr>
                  <w:r>
                    <w:rPr>
                      <w:rFonts w:hint="eastAsia"/>
                      <w:color w:val="auto"/>
                      <w:szCs w:val="21"/>
                      <w:u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排水</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Ansi="宋体"/>
                      <w:bCs/>
                      <w:color w:val="auto"/>
                      <w:sz w:val="21"/>
                      <w:szCs w:val="21"/>
                      <w:highlight w:val="none"/>
                      <w:u w:val="none"/>
                      <w:lang w:bidi="ar"/>
                    </w:rPr>
                  </w:pPr>
                  <w:r>
                    <w:rPr>
                      <w:rFonts w:hAnsi="宋体"/>
                      <w:bCs/>
                      <w:color w:val="auto"/>
                      <w:sz w:val="21"/>
                      <w:szCs w:val="21"/>
                      <w:highlight w:val="none"/>
                      <w:u w:val="none"/>
                      <w:lang w:bidi="ar"/>
                    </w:rPr>
                    <w:t>雨污分流，</w:t>
                  </w:r>
                  <w:r>
                    <w:rPr>
                      <w:rFonts w:hint="eastAsia" w:hAnsi="宋体"/>
                      <w:bCs/>
                      <w:color w:val="auto"/>
                      <w:sz w:val="21"/>
                      <w:szCs w:val="21"/>
                      <w:highlight w:val="none"/>
                      <w:u w:val="none"/>
                      <w:lang w:eastAsia="zh-CN" w:bidi="ar"/>
                    </w:rPr>
                    <w:t>污水管网</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Ansi="宋体"/>
                      <w:bCs/>
                      <w:color w:val="auto"/>
                      <w:sz w:val="21"/>
                      <w:szCs w:val="21"/>
                      <w:highlight w:val="none"/>
                      <w:u w:val="none"/>
                      <w:lang w:bidi="ar"/>
                    </w:rPr>
                    <w:t>雨污分流，</w:t>
                  </w:r>
                  <w:r>
                    <w:rPr>
                      <w:rFonts w:hint="eastAsia" w:hAnsi="宋体"/>
                      <w:bCs/>
                      <w:color w:val="auto"/>
                      <w:sz w:val="21"/>
                      <w:szCs w:val="21"/>
                      <w:highlight w:val="none"/>
                      <w:u w:val="none"/>
                      <w:lang w:eastAsia="zh-CN" w:bidi="ar"/>
                    </w:rPr>
                    <w:t>污水管网</w:t>
                  </w:r>
                </w:p>
              </w:tc>
              <w:tc>
                <w:tcPr>
                  <w:tcW w:w="1328"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供电</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none"/>
                    </w:rPr>
                  </w:pPr>
                  <w:r>
                    <w:rPr>
                      <w:rFonts w:hint="eastAsia"/>
                      <w:color w:val="auto"/>
                      <w:kern w:val="2"/>
                      <w:sz w:val="21"/>
                      <w:szCs w:val="21"/>
                      <w:u w:val="none"/>
                    </w:rPr>
                    <w:t>供电</w:t>
                  </w:r>
                  <w:r>
                    <w:rPr>
                      <w:rFonts w:hint="eastAsia"/>
                      <w:color w:val="auto"/>
                      <w:kern w:val="2"/>
                      <w:sz w:val="21"/>
                      <w:szCs w:val="21"/>
                      <w:u w:val="none"/>
                      <w:lang w:eastAsia="zh-CN"/>
                    </w:rPr>
                    <w:t>由</w:t>
                  </w:r>
                  <w:r>
                    <w:rPr>
                      <w:rFonts w:hint="eastAsia"/>
                      <w:color w:val="auto"/>
                      <w:kern w:val="2"/>
                      <w:sz w:val="21"/>
                      <w:szCs w:val="21"/>
                      <w:u w:val="none"/>
                    </w:rPr>
                    <w:t>市政供电</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供电</w:t>
                  </w:r>
                  <w:r>
                    <w:rPr>
                      <w:rFonts w:hint="eastAsia"/>
                      <w:color w:val="auto"/>
                      <w:kern w:val="2"/>
                      <w:sz w:val="21"/>
                      <w:szCs w:val="21"/>
                      <w:u w:val="none"/>
                      <w:lang w:eastAsia="zh-CN"/>
                    </w:rPr>
                    <w:t>由</w:t>
                  </w:r>
                  <w:r>
                    <w:rPr>
                      <w:rFonts w:hint="eastAsia"/>
                      <w:color w:val="auto"/>
                      <w:kern w:val="2"/>
                      <w:sz w:val="21"/>
                      <w:szCs w:val="21"/>
                      <w:u w:val="none"/>
                    </w:rPr>
                    <w:t>市政供电</w:t>
                  </w:r>
                </w:p>
              </w:tc>
              <w:tc>
                <w:tcPr>
                  <w:tcW w:w="1328"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环保</w:t>
                  </w:r>
                </w:p>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kern w:val="2"/>
                      <w:sz w:val="21"/>
                      <w:szCs w:val="21"/>
                      <w:u w:val="none"/>
                    </w:rPr>
                  </w:pPr>
                  <w:r>
                    <w:rPr>
                      <w:rFonts w:hint="eastAsia"/>
                      <w:color w:val="auto"/>
                      <w:kern w:val="2"/>
                      <w:sz w:val="21"/>
                      <w:szCs w:val="21"/>
                      <w:u w:val="none"/>
                    </w:rPr>
                    <w:t>工程</w:t>
                  </w:r>
                </w:p>
              </w:tc>
              <w:tc>
                <w:tcPr>
                  <w:tcW w:w="1317" w:type="dxa"/>
                  <w:gridSpan w:val="2"/>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废气处理</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jc w:val="both"/>
                    <w:textAlignment w:val="auto"/>
                    <w:rPr>
                      <w:rFonts w:hint="eastAsia"/>
                      <w:color w:val="auto"/>
                      <w:kern w:val="2"/>
                      <w:sz w:val="21"/>
                      <w:szCs w:val="21"/>
                      <w:highlight w:val="none"/>
                      <w:u w:val="none"/>
                      <w:lang w:eastAsia="zh-CN"/>
                    </w:rPr>
                  </w:pPr>
                  <w:r>
                    <w:rPr>
                      <w:rFonts w:hint="eastAsia" w:cs="Times New Roman"/>
                      <w:color w:val="auto"/>
                      <w:kern w:val="2"/>
                      <w:sz w:val="21"/>
                      <w:szCs w:val="21"/>
                      <w:u w:val="none"/>
                      <w:lang w:eastAsia="zh-CN"/>
                    </w:rPr>
                    <w:t>不锈钢焊丝硫酸雾无组织排放</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default"/>
                      <w:color w:val="auto"/>
                      <w:lang w:val="en-US"/>
                    </w:rPr>
                  </w:pPr>
                  <w:r>
                    <w:rPr>
                      <w:rFonts w:hint="eastAsia"/>
                      <w:color w:val="auto"/>
                      <w:kern w:val="2"/>
                      <w:sz w:val="21"/>
                      <w:szCs w:val="21"/>
                      <w:highlight w:val="none"/>
                      <w:u w:val="none"/>
                      <w:lang w:eastAsia="zh-CN"/>
                    </w:rPr>
                    <w:t>加盖密闭，硫酸雾经设备上方连接的负压集气管道收集后汇入</w:t>
                  </w:r>
                  <w:r>
                    <w:rPr>
                      <w:rFonts w:hint="eastAsia"/>
                      <w:color w:val="auto"/>
                      <w:kern w:val="2"/>
                      <w:sz w:val="21"/>
                      <w:szCs w:val="21"/>
                      <w:highlight w:val="none"/>
                      <w:u w:val="none"/>
                      <w:lang w:val="en-US" w:eastAsia="zh-CN"/>
                    </w:rPr>
                    <w:t>1</w:t>
                  </w:r>
                  <w:r>
                    <w:rPr>
                      <w:rFonts w:hint="eastAsia"/>
                      <w:color w:val="auto"/>
                      <w:kern w:val="2"/>
                      <w:sz w:val="21"/>
                      <w:szCs w:val="21"/>
                      <w:highlight w:val="none"/>
                      <w:u w:val="none"/>
                      <w:lang w:eastAsia="zh-CN"/>
                    </w:rPr>
                    <w:t>套酸雾吸收塔净化处理，尾气经</w:t>
                  </w:r>
                  <w:r>
                    <w:rPr>
                      <w:rFonts w:hint="eastAsia"/>
                      <w:color w:val="auto"/>
                      <w:kern w:val="2"/>
                      <w:sz w:val="21"/>
                      <w:szCs w:val="21"/>
                      <w:highlight w:val="none"/>
                      <w:u w:val="none"/>
                      <w:lang w:val="en-US" w:eastAsia="zh-CN"/>
                    </w:rPr>
                    <w:t>1</w:t>
                  </w:r>
                  <w:r>
                    <w:rPr>
                      <w:rFonts w:hint="eastAsia"/>
                      <w:color w:val="auto"/>
                      <w:kern w:val="2"/>
                      <w:sz w:val="21"/>
                      <w:szCs w:val="21"/>
                      <w:highlight w:val="none"/>
                      <w:u w:val="none"/>
                      <w:lang w:eastAsia="zh-CN"/>
                    </w:rPr>
                    <w:t>根</w:t>
                  </w:r>
                  <w:r>
                    <w:rPr>
                      <w:rFonts w:hint="eastAsia"/>
                      <w:color w:val="auto"/>
                      <w:kern w:val="2"/>
                      <w:sz w:val="21"/>
                      <w:szCs w:val="21"/>
                      <w:highlight w:val="none"/>
                      <w:u w:val="none"/>
                      <w:lang w:val="en-US" w:eastAsia="zh-CN"/>
                    </w:rPr>
                    <w:t>15</w:t>
                  </w:r>
                  <w:r>
                    <w:rPr>
                      <w:rFonts w:hint="eastAsia"/>
                      <w:color w:val="auto"/>
                      <w:kern w:val="2"/>
                      <w:sz w:val="21"/>
                      <w:szCs w:val="21"/>
                      <w:highlight w:val="none"/>
                      <w:u w:val="none"/>
                      <w:lang w:eastAsia="zh-CN"/>
                    </w:rPr>
                    <w:t>m高排气筒（</w:t>
                  </w:r>
                  <w:r>
                    <w:rPr>
                      <w:rFonts w:hint="eastAsia"/>
                      <w:color w:val="auto"/>
                      <w:kern w:val="2"/>
                      <w:sz w:val="21"/>
                      <w:szCs w:val="21"/>
                      <w:highlight w:val="none"/>
                      <w:u w:val="none"/>
                      <w:lang w:val="en-US" w:eastAsia="zh-CN"/>
                    </w:rPr>
                    <w:t>DA007</w:t>
                  </w:r>
                  <w:r>
                    <w:rPr>
                      <w:rFonts w:hint="eastAsia"/>
                      <w:color w:val="auto"/>
                      <w:kern w:val="2"/>
                      <w:sz w:val="21"/>
                      <w:szCs w:val="21"/>
                      <w:highlight w:val="none"/>
                      <w:u w:val="none"/>
                      <w:lang w:eastAsia="zh-CN"/>
                    </w:rPr>
                    <w:t>）排放。</w:t>
                  </w:r>
                </w:p>
              </w:tc>
              <w:tc>
                <w:tcPr>
                  <w:tcW w:w="13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eastAsia="宋体"/>
                      <w:color w:val="auto"/>
                      <w:kern w:val="2"/>
                      <w:sz w:val="21"/>
                      <w:szCs w:val="21"/>
                      <w:u w:val="none"/>
                      <w:lang w:val="en-US" w:eastAsia="zh-CN"/>
                    </w:rPr>
                  </w:pPr>
                  <w:r>
                    <w:rPr>
                      <w:rFonts w:hint="eastAsia"/>
                      <w:color w:val="auto"/>
                      <w:kern w:val="2"/>
                      <w:sz w:val="21"/>
                      <w:szCs w:val="21"/>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rPr>
                  </w:pPr>
                </w:p>
              </w:tc>
              <w:tc>
                <w:tcPr>
                  <w:tcW w:w="1317"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rPr>
                  </w:pP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s="Times New Roman"/>
                      <w:color w:val="auto"/>
                      <w:kern w:val="2"/>
                      <w:sz w:val="21"/>
                      <w:szCs w:val="21"/>
                      <w:highlight w:val="none"/>
                      <w:u w:val="none"/>
                      <w:lang w:val="en-US" w:eastAsia="zh-CN"/>
                    </w:rPr>
                  </w:pPr>
                  <w:r>
                    <w:rPr>
                      <w:rFonts w:hint="eastAsia"/>
                      <w:color w:val="auto"/>
                      <w:kern w:val="2"/>
                      <w:sz w:val="21"/>
                      <w:szCs w:val="21"/>
                      <w:highlight w:val="none"/>
                      <w:u w:val="none"/>
                      <w:vertAlign w:val="baseli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s="Times New Roman"/>
                      <w:color w:val="auto"/>
                      <w:kern w:val="2"/>
                      <w:sz w:val="21"/>
                      <w:szCs w:val="21"/>
                      <w:highlight w:val="none"/>
                      <w:u w:val="none"/>
                      <w:lang w:eastAsia="zh-CN"/>
                    </w:rPr>
                  </w:pPr>
                  <w:r>
                    <w:rPr>
                      <w:rFonts w:hint="eastAsia"/>
                      <w:color w:val="auto"/>
                      <w:kern w:val="2"/>
                      <w:sz w:val="21"/>
                      <w:szCs w:val="21"/>
                      <w:highlight w:val="none"/>
                      <w:u w:val="none"/>
                      <w:vertAlign w:val="baseline"/>
                      <w:lang w:eastAsia="zh-CN"/>
                    </w:rPr>
                    <w:t>药芯焊丝、特种电焊条生产过程产生配粉粉尘经布袋除尘器处理后经</w:t>
                  </w:r>
                  <w:r>
                    <w:rPr>
                      <w:rFonts w:hint="eastAsia"/>
                      <w:color w:val="auto"/>
                      <w:kern w:val="2"/>
                      <w:sz w:val="21"/>
                      <w:szCs w:val="21"/>
                      <w:highlight w:val="none"/>
                      <w:u w:val="none"/>
                      <w:vertAlign w:val="baseline"/>
                      <w:lang w:val="en-US" w:eastAsia="zh-CN"/>
                    </w:rPr>
                    <w:t>15m高排气筒（DA008）排放</w:t>
                  </w:r>
                </w:p>
              </w:tc>
              <w:tc>
                <w:tcPr>
                  <w:tcW w:w="1328" w:type="dxa"/>
                  <w:noWrap w:val="0"/>
                  <w:vAlign w:val="center"/>
                </w:tcPr>
                <w:p>
                  <w:pPr>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eastAsia" w:cs="Times New Roman"/>
                      <w:color w:val="auto"/>
                      <w:kern w:val="2"/>
                      <w:sz w:val="21"/>
                      <w:szCs w:val="21"/>
                      <w:highlight w:val="none"/>
                      <w:u w:val="none"/>
                      <w:lang w:eastAsia="zh-CN"/>
                    </w:rPr>
                  </w:pPr>
                  <w:r>
                    <w:rPr>
                      <w:rFonts w:hint="eastAsia"/>
                      <w:color w:val="auto"/>
                      <w:kern w:val="2"/>
                      <w:sz w:val="21"/>
                      <w:szCs w:val="21"/>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rPr>
                  </w:pPr>
                </w:p>
              </w:tc>
              <w:tc>
                <w:tcPr>
                  <w:tcW w:w="1317"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rPr>
                  </w:pP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highlight w:val="none"/>
                      <w:u w:val="none"/>
                      <w:vertAlign w:val="baseline"/>
                      <w:lang w:val="en-US" w:eastAsia="zh-CN"/>
                    </w:rPr>
                  </w:pPr>
                  <w:r>
                    <w:rPr>
                      <w:rFonts w:hint="eastAsia"/>
                      <w:color w:val="auto"/>
                      <w:kern w:val="2"/>
                      <w:sz w:val="21"/>
                      <w:szCs w:val="21"/>
                      <w:highlight w:val="none"/>
                      <w:u w:val="none"/>
                      <w:vertAlign w:val="baseline"/>
                      <w:lang w:val="en-US" w:eastAsia="zh-CN"/>
                    </w:rPr>
                    <w:t>/</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highlight w:val="none"/>
                      <w:u w:val="none"/>
                      <w:vertAlign w:val="baseline"/>
                      <w:lang w:eastAsia="zh-CN"/>
                    </w:rPr>
                  </w:pPr>
                  <w:r>
                    <w:rPr>
                      <w:rFonts w:hint="eastAsia"/>
                      <w:color w:val="auto"/>
                      <w:kern w:val="2"/>
                      <w:sz w:val="21"/>
                      <w:szCs w:val="21"/>
                      <w:highlight w:val="none"/>
                      <w:u w:val="none"/>
                      <w:vertAlign w:val="baseline"/>
                      <w:lang w:val="en-US" w:eastAsia="zh-CN"/>
                    </w:rPr>
                    <w:t>注塑有机废气经两级活性炭吸附装置+15m高排气筒（DA009）排放</w:t>
                  </w:r>
                </w:p>
              </w:tc>
              <w:tc>
                <w:tcPr>
                  <w:tcW w:w="1328" w:type="dxa"/>
                  <w:noWrap w:val="0"/>
                  <w:vAlign w:val="center"/>
                </w:tcPr>
                <w:p>
                  <w:pPr>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eastAsia" w:cs="Times New Roman"/>
                      <w:color w:val="auto"/>
                      <w:kern w:val="2"/>
                      <w:sz w:val="21"/>
                      <w:szCs w:val="21"/>
                      <w:highlight w:val="none"/>
                      <w:u w:val="none"/>
                      <w:lang w:eastAsia="zh-CN"/>
                    </w:rPr>
                  </w:pPr>
                  <w:r>
                    <w:rPr>
                      <w:rFonts w:hint="eastAsia"/>
                      <w:color w:val="auto"/>
                      <w:kern w:val="2"/>
                      <w:sz w:val="21"/>
                      <w:szCs w:val="21"/>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rPr>
                  </w:pPr>
                </w:p>
              </w:tc>
              <w:tc>
                <w:tcPr>
                  <w:tcW w:w="1317"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rPr>
                  </w:pP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highlight w:val="none"/>
                      <w:u w:val="none"/>
                      <w:vertAlign w:val="baseline"/>
                      <w:lang w:val="en-US" w:eastAsia="zh-CN"/>
                    </w:rPr>
                  </w:pPr>
                  <w:r>
                    <w:rPr>
                      <w:rFonts w:hint="eastAsia"/>
                      <w:color w:val="auto"/>
                      <w:kern w:val="2"/>
                      <w:sz w:val="21"/>
                      <w:szCs w:val="21"/>
                      <w:highlight w:val="none"/>
                      <w:u w:val="none"/>
                      <w:vertAlign w:val="baseline"/>
                      <w:lang w:val="en-US" w:eastAsia="zh-CN"/>
                    </w:rPr>
                    <w:t>原批食堂油烟经抽油烟机净化器处理后引至食堂屋顶排放，实际未建设</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highlight w:val="none"/>
                      <w:u w:val="none"/>
                      <w:vertAlign w:val="baseline"/>
                      <w:lang w:val="en-US" w:eastAsia="zh-CN"/>
                    </w:rPr>
                  </w:pPr>
                  <w:r>
                    <w:rPr>
                      <w:rFonts w:hint="eastAsia"/>
                      <w:color w:val="auto"/>
                      <w:kern w:val="2"/>
                      <w:sz w:val="21"/>
                      <w:szCs w:val="21"/>
                      <w:highlight w:val="none"/>
                      <w:u w:val="none"/>
                      <w:vertAlign w:val="baseline"/>
                      <w:lang w:val="en-US" w:eastAsia="zh-CN"/>
                    </w:rPr>
                    <w:t>食堂油烟经抽油烟机净化器处理后引至食堂屋顶排放</w:t>
                  </w:r>
                </w:p>
              </w:tc>
              <w:tc>
                <w:tcPr>
                  <w:tcW w:w="1328" w:type="dxa"/>
                  <w:noWrap w:val="0"/>
                  <w:vAlign w:val="center"/>
                </w:tcPr>
                <w:p>
                  <w:pPr>
                    <w:keepNext w:val="0"/>
                    <w:keepLines w:val="0"/>
                    <w:pageBreakBefore w:val="0"/>
                    <w:widowControl/>
                    <w:kinsoku/>
                    <w:wordWrap/>
                    <w:overflowPunct/>
                    <w:topLinePunct w:val="0"/>
                    <w:autoSpaceDE/>
                    <w:autoSpaceDN/>
                    <w:bidi w:val="0"/>
                    <w:adjustRightInd/>
                    <w:spacing w:before="0" w:after="0"/>
                    <w:ind w:firstLine="0" w:firstLineChars="0"/>
                    <w:jc w:val="center"/>
                    <w:textAlignment w:val="auto"/>
                    <w:rPr>
                      <w:rFonts w:hint="eastAsia"/>
                      <w:color w:val="auto"/>
                      <w:kern w:val="2"/>
                      <w:sz w:val="21"/>
                      <w:szCs w:val="21"/>
                      <w:u w:val="none"/>
                      <w:lang w:eastAsia="zh-CN"/>
                    </w:rPr>
                  </w:pPr>
                  <w:r>
                    <w:rPr>
                      <w:rFonts w:hint="eastAsia"/>
                      <w:color w:val="auto"/>
                      <w:kern w:val="2"/>
                      <w:sz w:val="21"/>
                      <w:szCs w:val="21"/>
                      <w:u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废水处理</w:t>
                  </w: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①雨污分流；</w:t>
                  </w:r>
                </w:p>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none"/>
                      <w:lang w:bidi="ar"/>
                    </w:rPr>
                  </w:pPr>
                  <w:r>
                    <w:rPr>
                      <w:rFonts w:hint="eastAsia" w:ascii="Times New Roman" w:hAnsi="Times New Roman" w:eastAsia="宋体" w:cs="Times New Roman"/>
                      <w:color w:val="auto"/>
                      <w:szCs w:val="21"/>
                      <w:highlight w:val="none"/>
                      <w:u w:val="none"/>
                      <w:lang w:eastAsia="zh-CN"/>
                    </w:rPr>
                    <w:t>②</w:t>
                  </w:r>
                  <w:r>
                    <w:rPr>
                      <w:rFonts w:hint="eastAsia" w:cs="Times New Roman"/>
                      <w:color w:val="auto"/>
                      <w:szCs w:val="21"/>
                      <w:highlight w:val="none"/>
                      <w:u w:val="none"/>
                      <w:lang w:eastAsia="zh-CN"/>
                    </w:rPr>
                    <w:t>生产废水</w:t>
                  </w:r>
                  <w:r>
                    <w:rPr>
                      <w:rFonts w:hint="eastAsia" w:ascii="Times New Roman" w:hAnsi="Times New Roman" w:eastAsia="宋体" w:cs="Times New Roman"/>
                      <w:color w:val="auto"/>
                      <w:szCs w:val="21"/>
                      <w:highlight w:val="none"/>
                      <w:u w:val="none"/>
                      <w:lang w:eastAsia="zh-CN"/>
                    </w:rPr>
                    <w:t>：经依托现有污水处理系统（</w:t>
                  </w:r>
                  <w:r>
                    <w:rPr>
                      <w:rFonts w:hint="eastAsia" w:ascii="Times New Roman" w:hAnsi="Times New Roman" w:eastAsia="宋体" w:cs="Times New Roman"/>
                      <w:color w:val="auto"/>
                      <w:szCs w:val="21"/>
                      <w:highlight w:val="none"/>
                      <w:u w:val="none"/>
                      <w:lang w:val="en-US" w:eastAsia="zh-CN"/>
                    </w:rPr>
                    <w:t>位于厂区西北侧，设计处理规模200t/d，处理工艺为：</w:t>
                  </w:r>
                  <w:r>
                    <w:rPr>
                      <w:rFonts w:hint="eastAsia" w:ascii="Times New Roman" w:hAnsi="Times New Roman" w:eastAsia="宋体" w:cs="Times New Roman"/>
                      <w:color w:val="auto"/>
                      <w:szCs w:val="21"/>
                      <w:highlight w:val="none"/>
                      <w:u w:val="none"/>
                      <w:lang w:eastAsia="zh-CN"/>
                    </w:rPr>
                    <w:t>中和</w:t>
                  </w:r>
                  <w:r>
                    <w:rPr>
                      <w:rFonts w:hint="eastAsia" w:ascii="Times New Roman" w:hAnsi="Times New Roman" w:eastAsia="宋体" w:cs="Times New Roman"/>
                      <w:color w:val="auto"/>
                      <w:szCs w:val="21"/>
                      <w:highlight w:val="none"/>
                      <w:u w:val="none"/>
                      <w:lang w:val="en-US" w:eastAsia="zh-CN"/>
                    </w:rPr>
                    <w:t>+混凝+沉淀+砂滤</w:t>
                  </w:r>
                  <w:r>
                    <w:rPr>
                      <w:rFonts w:hint="eastAsia" w:ascii="Times New Roman" w:hAnsi="Times New Roman" w:eastAsia="宋体" w:cs="Times New Roman"/>
                      <w:color w:val="auto"/>
                      <w:szCs w:val="21"/>
                      <w:highlight w:val="none"/>
                      <w:u w:val="none"/>
                      <w:lang w:eastAsia="zh-CN"/>
                    </w:rPr>
                    <w:t>）处理后，大部分回用，小部分依托现有污水管网进入湘阴县第三污水处理厂处理</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eastAsia="zh-CN"/>
                    </w:rPr>
                    <w:t>①雨污分流；</w:t>
                  </w:r>
                </w:p>
                <w:p>
                  <w:pPr>
                    <w:keepNext w:val="0"/>
                    <w:keepLines w:val="0"/>
                    <w:pageBreakBefore w:val="0"/>
                    <w:widowControl/>
                    <w:kinsoku/>
                    <w:wordWrap/>
                    <w:overflowPunct/>
                    <w:topLinePunct w:val="0"/>
                    <w:autoSpaceDE/>
                    <w:autoSpaceDN/>
                    <w:bidi w:val="0"/>
                    <w:adjustRightInd/>
                    <w:ind w:firstLine="0" w:firstLineChars="0"/>
                    <w:jc w:val="both"/>
                    <w:textAlignment w:val="auto"/>
                    <w:rPr>
                      <w:rStyle w:val="35"/>
                      <w:rFonts w:hint="default"/>
                      <w:color w:val="auto"/>
                      <w:kern w:val="2"/>
                      <w:szCs w:val="21"/>
                      <w:highlight w:val="none"/>
                      <w:u w:val="none"/>
                      <w:lang w:val="en-US"/>
                    </w:rPr>
                  </w:pPr>
                  <w:r>
                    <w:rPr>
                      <w:rFonts w:hint="eastAsia" w:ascii="Times New Roman" w:hAnsi="Times New Roman" w:eastAsia="宋体" w:cs="Times New Roman"/>
                      <w:color w:val="auto"/>
                      <w:szCs w:val="21"/>
                      <w:highlight w:val="none"/>
                      <w:u w:val="none"/>
                      <w:lang w:eastAsia="zh-CN"/>
                    </w:rPr>
                    <w:t>②</w:t>
                  </w:r>
                  <w:r>
                    <w:rPr>
                      <w:rFonts w:hint="eastAsia" w:cs="Times New Roman"/>
                      <w:color w:val="auto"/>
                      <w:szCs w:val="21"/>
                      <w:highlight w:val="none"/>
                      <w:u w:val="none"/>
                      <w:lang w:eastAsia="zh-CN"/>
                    </w:rPr>
                    <w:t>生产废水（</w:t>
                  </w:r>
                  <w:r>
                    <w:rPr>
                      <w:rFonts w:hint="eastAsia" w:cs="Times New Roman"/>
                      <w:color w:val="auto"/>
                      <w:szCs w:val="21"/>
                      <w:highlight w:val="none"/>
                      <w:u w:val="none"/>
                      <w:lang w:val="en-US" w:eastAsia="zh-CN"/>
                    </w:rPr>
                    <w:t>酸洗废水、水洗废水、清洗废水</w:t>
                  </w:r>
                  <w:r>
                    <w:rPr>
                      <w:rFonts w:hint="eastAsia" w:cs="Times New Roman"/>
                      <w:color w:val="auto"/>
                      <w:szCs w:val="21"/>
                      <w:highlight w:val="none"/>
                      <w:u w:val="none"/>
                      <w:lang w:eastAsia="zh-CN"/>
                    </w:rPr>
                    <w:t>）</w:t>
                  </w:r>
                  <w:r>
                    <w:rPr>
                      <w:rFonts w:hint="eastAsia" w:ascii="Times New Roman" w:hAnsi="Times New Roman" w:eastAsia="宋体" w:cs="Times New Roman"/>
                      <w:color w:val="auto"/>
                      <w:szCs w:val="21"/>
                      <w:highlight w:val="none"/>
                      <w:u w:val="none"/>
                      <w:lang w:eastAsia="zh-CN"/>
                    </w:rPr>
                    <w:t>：经依托现有污水处理系统（</w:t>
                  </w:r>
                  <w:r>
                    <w:rPr>
                      <w:rFonts w:hint="eastAsia" w:ascii="Times New Roman" w:hAnsi="Times New Roman" w:eastAsia="宋体" w:cs="Times New Roman"/>
                      <w:color w:val="auto"/>
                      <w:szCs w:val="21"/>
                      <w:highlight w:val="none"/>
                      <w:u w:val="none"/>
                      <w:lang w:val="en-US" w:eastAsia="zh-CN"/>
                    </w:rPr>
                    <w:t>位于厂区西北侧，设计处理规模200t/d，处理工艺为：</w:t>
                  </w:r>
                  <w:r>
                    <w:rPr>
                      <w:rFonts w:hint="eastAsia" w:ascii="Times New Roman" w:hAnsi="Times New Roman" w:eastAsia="宋体" w:cs="Times New Roman"/>
                      <w:color w:val="auto"/>
                      <w:szCs w:val="21"/>
                      <w:highlight w:val="none"/>
                      <w:u w:val="none"/>
                      <w:lang w:eastAsia="zh-CN"/>
                    </w:rPr>
                    <w:t>中和</w:t>
                  </w:r>
                  <w:r>
                    <w:rPr>
                      <w:rFonts w:hint="eastAsia" w:ascii="Times New Roman" w:hAnsi="Times New Roman" w:eastAsia="宋体" w:cs="Times New Roman"/>
                      <w:color w:val="auto"/>
                      <w:szCs w:val="21"/>
                      <w:highlight w:val="none"/>
                      <w:u w:val="none"/>
                      <w:lang w:val="en-US" w:eastAsia="zh-CN"/>
                    </w:rPr>
                    <w:t>+混凝+沉淀+砂滤</w:t>
                  </w:r>
                  <w:r>
                    <w:rPr>
                      <w:rFonts w:hint="eastAsia" w:ascii="Times New Roman" w:hAnsi="Times New Roman" w:eastAsia="宋体" w:cs="Times New Roman"/>
                      <w:color w:val="auto"/>
                      <w:szCs w:val="21"/>
                      <w:highlight w:val="none"/>
                      <w:u w:val="none"/>
                      <w:lang w:eastAsia="zh-CN"/>
                    </w:rPr>
                    <w:t>处理</w:t>
                  </w:r>
                  <w:r>
                    <w:rPr>
                      <w:rFonts w:hint="eastAsia" w:cs="Times New Roman"/>
                      <w:color w:val="auto"/>
                      <w:szCs w:val="21"/>
                      <w:highlight w:val="none"/>
                      <w:u w:val="none"/>
                      <w:lang w:val="en-US" w:eastAsia="zh-CN"/>
                    </w:rPr>
                    <w:t>）</w:t>
                  </w:r>
                  <w:r>
                    <w:rPr>
                      <w:rFonts w:hint="eastAsia" w:ascii="Times New Roman" w:hAnsi="Times New Roman" w:eastAsia="宋体" w:cs="Times New Roman"/>
                      <w:color w:val="auto"/>
                      <w:szCs w:val="21"/>
                      <w:highlight w:val="none"/>
                      <w:u w:val="none"/>
                      <w:lang w:eastAsia="zh-CN"/>
                    </w:rPr>
                    <w:t>后，大部分回用，小部分废水依托现有污水管网进入湘阴县第三污水处理厂处理</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cs="宋体"/>
                      <w:color w:val="auto"/>
                      <w:szCs w:val="21"/>
                      <w:u w:val="none"/>
                      <w:lang w:bidi="ar"/>
                    </w:rPr>
                  </w:pPr>
                  <w:r>
                    <w:rPr>
                      <w:rFonts w:hint="eastAsia"/>
                      <w:color w:val="auto"/>
                      <w:szCs w:val="21"/>
                      <w:u w:val="none"/>
                      <w:lang w:eastAsia="zh-CN"/>
                    </w:rPr>
                    <w:t>依托现有废水处理设施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single"/>
                      <w:lang w:eastAsia="zh-CN"/>
                    </w:rPr>
                  </w:pPr>
                  <w:r>
                    <w:rPr>
                      <w:rFonts w:hint="eastAsia" w:cs="Times New Roman"/>
                      <w:color w:val="auto"/>
                      <w:szCs w:val="21"/>
                      <w:highlight w:val="none"/>
                      <w:u w:val="single"/>
                      <w:lang w:eastAsia="zh-CN"/>
                    </w:rPr>
                    <w:t>办公楼废水（食堂废水）经隔油池和化粪池处理后排</w:t>
                  </w:r>
                  <w:r>
                    <w:rPr>
                      <w:rFonts w:hint="eastAsia" w:ascii="Times New Roman" w:hAnsi="Times New Roman" w:eastAsia="宋体" w:cs="Times New Roman"/>
                      <w:color w:val="auto"/>
                      <w:szCs w:val="21"/>
                      <w:highlight w:val="none"/>
                      <w:u w:val="single"/>
                      <w:lang w:eastAsia="zh-CN"/>
                    </w:rPr>
                    <w:t>湘阴县第三污水处理厂处理</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single"/>
                      <w:lang w:eastAsia="zh-CN"/>
                    </w:rPr>
                  </w:pPr>
                  <w:r>
                    <w:rPr>
                      <w:rFonts w:hint="eastAsia"/>
                      <w:color w:val="auto"/>
                      <w:szCs w:val="21"/>
                      <w:u w:val="singl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color w:val="auto"/>
                    </w:rPr>
                  </w:pPr>
                </w:p>
              </w:tc>
              <w:tc>
                <w:tcPr>
                  <w:tcW w:w="1317" w:type="dxa"/>
                  <w:gridSpan w:val="2"/>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color w:val="auto"/>
                    </w:rPr>
                  </w:pP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u w:val="none"/>
                      <w:lang w:val="en-US" w:eastAsia="zh-CN"/>
                    </w:rPr>
                    <w:t>/</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宋体" w:hAnsi="宋体" w:eastAsia="宋体" w:cs="宋体"/>
                      <w:color w:val="auto"/>
                      <w:szCs w:val="21"/>
                      <w:highlight w:val="none"/>
                      <w:u w:val="single"/>
                      <w:lang w:eastAsia="zh-CN"/>
                    </w:rPr>
                  </w:pPr>
                  <w:r>
                    <w:rPr>
                      <w:rFonts w:hint="eastAsia" w:cs="Times New Roman"/>
                      <w:color w:val="auto"/>
                      <w:szCs w:val="21"/>
                      <w:highlight w:val="none"/>
                      <w:u w:val="single"/>
                      <w:lang w:eastAsia="zh-CN"/>
                    </w:rPr>
                    <w:t>喷淋废水</w:t>
                  </w:r>
                  <w:r>
                    <w:rPr>
                      <w:rFonts w:hint="eastAsia" w:ascii="Times New Roman" w:hAnsi="Times New Roman" w:eastAsia="宋体" w:cs="Times New Roman"/>
                      <w:color w:val="auto"/>
                      <w:szCs w:val="21"/>
                      <w:highlight w:val="none"/>
                      <w:u w:val="single"/>
                      <w:lang w:eastAsia="zh-CN"/>
                    </w:rPr>
                    <w:t>经循环后回用于</w:t>
                  </w:r>
                  <w:r>
                    <w:rPr>
                      <w:rFonts w:hint="eastAsia" w:cs="Times New Roman"/>
                      <w:color w:val="auto"/>
                      <w:szCs w:val="21"/>
                      <w:highlight w:val="none"/>
                      <w:u w:val="single"/>
                      <w:lang w:eastAsia="zh-CN"/>
                    </w:rPr>
                    <w:t>喷淋，</w:t>
                  </w:r>
                  <w:r>
                    <w:rPr>
                      <w:rFonts w:hint="eastAsia" w:cs="Times New Roman"/>
                      <w:color w:val="auto"/>
                      <w:szCs w:val="21"/>
                      <w:highlight w:val="none"/>
                      <w:u w:val="single"/>
                      <w:lang w:val="en-US" w:eastAsia="zh-CN"/>
                    </w:rPr>
                    <w:t>定期</w:t>
                  </w:r>
                  <w:r>
                    <w:rPr>
                      <w:rFonts w:hint="eastAsia" w:ascii="Times New Roman" w:hAnsi="Times New Roman" w:eastAsia="宋体" w:cs="Times New Roman"/>
                      <w:color w:val="auto"/>
                      <w:szCs w:val="21"/>
                      <w:highlight w:val="none"/>
                      <w:u w:val="single"/>
                      <w:lang w:eastAsia="zh-CN"/>
                    </w:rPr>
                    <w:t>依托现有污水处理系统</w:t>
                  </w:r>
                  <w:r>
                    <w:rPr>
                      <w:rFonts w:hint="eastAsia" w:cs="Times New Roman"/>
                      <w:color w:val="auto"/>
                      <w:szCs w:val="21"/>
                      <w:highlight w:val="none"/>
                      <w:u w:val="single"/>
                      <w:lang w:val="en-US" w:eastAsia="zh-CN"/>
                    </w:rPr>
                    <w:t>处理后外排</w:t>
                  </w:r>
                  <w:r>
                    <w:rPr>
                      <w:rFonts w:hint="eastAsia" w:cs="Times New Roman"/>
                      <w:color w:val="auto"/>
                      <w:szCs w:val="21"/>
                      <w:highlight w:val="none"/>
                      <w:u w:val="single"/>
                      <w:lang w:eastAsia="zh-CN"/>
                    </w:rPr>
                    <w:t>。</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single"/>
                      <w:lang w:eastAsia="zh-CN"/>
                    </w:rPr>
                  </w:pPr>
                  <w:r>
                    <w:rPr>
                      <w:rFonts w:hint="eastAsia"/>
                      <w:color w:val="auto"/>
                      <w:kern w:val="2"/>
                      <w:sz w:val="21"/>
                      <w:szCs w:val="21"/>
                      <w:u w:val="singl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none"/>
                      <w:lang w:eastAsia="zh-CN"/>
                    </w:rPr>
                  </w:pPr>
                </w:p>
              </w:tc>
              <w:tc>
                <w:tcPr>
                  <w:tcW w:w="1317" w:type="dxa"/>
                  <w:gridSpan w:val="2"/>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none"/>
                      <w:lang w:eastAsia="zh-CN"/>
                    </w:rPr>
                  </w:pP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u w:val="none"/>
                      <w:lang w:eastAsia="zh-CN"/>
                    </w:rPr>
                    <w:t>间接</w:t>
                  </w:r>
                  <w:r>
                    <w:rPr>
                      <w:rFonts w:hint="eastAsia" w:ascii="宋体" w:hAnsi="宋体" w:cs="宋体"/>
                      <w:color w:val="auto"/>
                      <w:szCs w:val="21"/>
                      <w:highlight w:val="none"/>
                      <w:u w:val="none"/>
                      <w:lang w:val="en-US" w:eastAsia="zh-CN"/>
                    </w:rPr>
                    <w:t>冷却水经循环后回用</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lang w:eastAsia="zh-CN"/>
                    </w:rPr>
                    <w:t>间接</w:t>
                  </w:r>
                  <w:r>
                    <w:rPr>
                      <w:rFonts w:hint="eastAsia" w:ascii="宋体" w:hAnsi="宋体" w:cs="宋体"/>
                      <w:color w:val="auto"/>
                      <w:szCs w:val="21"/>
                      <w:highlight w:val="none"/>
                      <w:u w:val="none"/>
                      <w:lang w:val="en-US" w:eastAsia="zh-CN"/>
                    </w:rPr>
                    <w:t>冷却水经循环后回用</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固体废物</w:t>
                  </w: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eastAsia="宋体"/>
                      <w:color w:val="auto"/>
                      <w:szCs w:val="21"/>
                      <w:u w:val="none"/>
                      <w:lang w:eastAsia="zh-CN"/>
                    </w:rPr>
                  </w:pPr>
                  <w:r>
                    <w:rPr>
                      <w:rFonts w:hint="eastAsia" w:eastAsia="宋体"/>
                      <w:color w:val="auto"/>
                      <w:szCs w:val="21"/>
                      <w:u w:val="none"/>
                      <w:lang w:eastAsia="zh-CN"/>
                    </w:rPr>
                    <w:t>一般工业固废：在</w:t>
                  </w:r>
                  <w:r>
                    <w:rPr>
                      <w:rFonts w:hint="eastAsia" w:eastAsia="宋体"/>
                      <w:color w:val="auto"/>
                      <w:szCs w:val="21"/>
                      <w:u w:val="none"/>
                      <w:lang w:val="en-US" w:eastAsia="zh-CN"/>
                    </w:rPr>
                    <w:t>厂区西北角</w:t>
                  </w:r>
                  <w:r>
                    <w:rPr>
                      <w:rFonts w:hint="eastAsia" w:eastAsia="宋体"/>
                      <w:color w:val="auto"/>
                      <w:szCs w:val="21"/>
                      <w:u w:val="none"/>
                      <w:lang w:eastAsia="zh-CN"/>
                    </w:rPr>
                    <w:t>设置</w:t>
                  </w:r>
                  <w:r>
                    <w:rPr>
                      <w:rFonts w:hint="eastAsia" w:eastAsia="宋体"/>
                      <w:color w:val="auto"/>
                      <w:szCs w:val="21"/>
                      <w:u w:val="none"/>
                      <w:lang w:val="en-US" w:eastAsia="zh-CN"/>
                    </w:rPr>
                    <w:t>一般工业固废暂存</w:t>
                  </w:r>
                  <w:r>
                    <w:rPr>
                      <w:rFonts w:hint="eastAsia" w:eastAsia="宋体"/>
                      <w:color w:val="auto"/>
                      <w:szCs w:val="21"/>
                      <w:u w:val="none"/>
                      <w:lang w:eastAsia="zh-CN"/>
                    </w:rPr>
                    <w:t>间，占地面积</w:t>
                  </w:r>
                  <w:r>
                    <w:rPr>
                      <w:rFonts w:hint="eastAsia" w:eastAsia="宋体"/>
                      <w:color w:val="auto"/>
                      <w:szCs w:val="21"/>
                      <w:u w:val="none"/>
                      <w:lang w:val="en-US" w:eastAsia="zh-CN"/>
                    </w:rPr>
                    <w:t>30</w:t>
                  </w:r>
                  <w:r>
                    <w:rPr>
                      <w:rFonts w:hint="eastAsia" w:eastAsia="宋体"/>
                      <w:color w:val="auto"/>
                      <w:szCs w:val="21"/>
                      <w:u w:val="none"/>
                      <w:lang w:eastAsia="zh-CN"/>
                    </w:rPr>
                    <w:t>m</w:t>
                  </w:r>
                  <w:r>
                    <w:rPr>
                      <w:rFonts w:hint="eastAsia" w:eastAsia="宋体"/>
                      <w:color w:val="auto"/>
                      <w:szCs w:val="21"/>
                      <w:u w:val="none"/>
                      <w:vertAlign w:val="superscript"/>
                      <w:lang w:eastAsia="zh-CN"/>
                    </w:rPr>
                    <w:t>2</w:t>
                  </w:r>
                  <w:r>
                    <w:rPr>
                      <w:rFonts w:hint="eastAsia" w:eastAsia="宋体"/>
                      <w:color w:val="auto"/>
                      <w:szCs w:val="21"/>
                      <w:u w:val="none"/>
                      <w:lang w:eastAsia="zh-CN"/>
                    </w:rPr>
                    <w:t>，一般固废暂存间集中收集后外售综合利用。</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eastAsia="宋体"/>
                      <w:color w:val="auto"/>
                      <w:szCs w:val="21"/>
                      <w:u w:val="none"/>
                      <w:lang w:eastAsia="zh-CN"/>
                    </w:rPr>
                  </w:pPr>
                  <w:r>
                    <w:rPr>
                      <w:rFonts w:hint="eastAsia" w:eastAsia="宋体"/>
                      <w:color w:val="auto"/>
                      <w:szCs w:val="21"/>
                      <w:u w:val="none"/>
                      <w:lang w:eastAsia="zh-CN"/>
                    </w:rPr>
                    <w:t>一般工业固废：在</w:t>
                  </w:r>
                  <w:r>
                    <w:rPr>
                      <w:rFonts w:hint="eastAsia" w:eastAsia="宋体"/>
                      <w:color w:val="auto"/>
                      <w:szCs w:val="21"/>
                      <w:u w:val="none"/>
                      <w:lang w:val="en-US" w:eastAsia="zh-CN"/>
                    </w:rPr>
                    <w:t>厂区西北角</w:t>
                  </w:r>
                  <w:r>
                    <w:rPr>
                      <w:rFonts w:hint="eastAsia" w:eastAsia="宋体"/>
                      <w:color w:val="auto"/>
                      <w:szCs w:val="21"/>
                      <w:u w:val="none"/>
                      <w:lang w:eastAsia="zh-CN"/>
                    </w:rPr>
                    <w:t>设置</w:t>
                  </w:r>
                  <w:r>
                    <w:rPr>
                      <w:rFonts w:hint="eastAsia" w:eastAsia="宋体"/>
                      <w:color w:val="auto"/>
                      <w:szCs w:val="21"/>
                      <w:u w:val="none"/>
                      <w:lang w:val="en-US" w:eastAsia="zh-CN"/>
                    </w:rPr>
                    <w:t>一般工业固废暂存</w:t>
                  </w:r>
                  <w:r>
                    <w:rPr>
                      <w:rFonts w:hint="eastAsia" w:eastAsia="宋体"/>
                      <w:color w:val="auto"/>
                      <w:szCs w:val="21"/>
                      <w:u w:val="none"/>
                      <w:lang w:eastAsia="zh-CN"/>
                    </w:rPr>
                    <w:t>间，占地面积</w:t>
                  </w:r>
                  <w:r>
                    <w:rPr>
                      <w:rFonts w:hint="eastAsia" w:eastAsia="宋体"/>
                      <w:color w:val="auto"/>
                      <w:szCs w:val="21"/>
                      <w:u w:val="none"/>
                      <w:lang w:val="en-US" w:eastAsia="zh-CN"/>
                    </w:rPr>
                    <w:t>30</w:t>
                  </w:r>
                  <w:r>
                    <w:rPr>
                      <w:rFonts w:hint="eastAsia" w:eastAsia="宋体"/>
                      <w:color w:val="auto"/>
                      <w:szCs w:val="21"/>
                      <w:u w:val="none"/>
                      <w:lang w:eastAsia="zh-CN"/>
                    </w:rPr>
                    <w:t>m</w:t>
                  </w:r>
                  <w:r>
                    <w:rPr>
                      <w:rFonts w:hint="eastAsia" w:eastAsia="宋体"/>
                      <w:color w:val="auto"/>
                      <w:szCs w:val="21"/>
                      <w:u w:val="none"/>
                      <w:vertAlign w:val="superscript"/>
                      <w:lang w:eastAsia="zh-CN"/>
                    </w:rPr>
                    <w:t>2</w:t>
                  </w:r>
                  <w:r>
                    <w:rPr>
                      <w:rFonts w:hint="eastAsia" w:eastAsia="宋体"/>
                      <w:color w:val="auto"/>
                      <w:szCs w:val="21"/>
                      <w:u w:val="none"/>
                      <w:lang w:eastAsia="zh-CN"/>
                    </w:rPr>
                    <w:t>，一般固废暂存间集中收集后外售综合利用。</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cs="宋体"/>
                      <w:color w:val="auto"/>
                      <w:szCs w:val="21"/>
                      <w:u w:val="none"/>
                      <w:lang w:bidi="ar"/>
                    </w:rPr>
                  </w:pPr>
                  <w:r>
                    <w:rPr>
                      <w:rFonts w:hint="eastAsia"/>
                      <w:color w:val="auto"/>
                      <w:szCs w:val="21"/>
                      <w:u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none"/>
                    </w:rPr>
                  </w:pPr>
                  <w:r>
                    <w:rPr>
                      <w:rFonts w:hint="eastAsia"/>
                      <w:color w:val="auto"/>
                      <w:szCs w:val="21"/>
                      <w:u w:val="none"/>
                    </w:rPr>
                    <w:t>在</w:t>
                  </w:r>
                  <w:r>
                    <w:rPr>
                      <w:rFonts w:hint="eastAsia"/>
                      <w:color w:val="auto"/>
                      <w:szCs w:val="21"/>
                      <w:u w:val="none"/>
                      <w:lang w:val="en-US" w:eastAsia="zh-CN"/>
                    </w:rPr>
                    <w:t>厂区</w:t>
                  </w:r>
                  <w:r>
                    <w:rPr>
                      <w:rFonts w:hint="eastAsia" w:eastAsia="宋体"/>
                      <w:color w:val="auto"/>
                      <w:szCs w:val="21"/>
                      <w:u w:val="none"/>
                      <w:lang w:val="en-US" w:eastAsia="zh-CN"/>
                    </w:rPr>
                    <w:t>西北角</w:t>
                  </w:r>
                  <w:r>
                    <w:rPr>
                      <w:rFonts w:hint="eastAsia"/>
                      <w:color w:val="auto"/>
                      <w:szCs w:val="21"/>
                      <w:u w:val="none"/>
                      <w:lang w:val="en-US" w:eastAsia="zh-CN"/>
                    </w:rPr>
                    <w:t>设2间</w:t>
                  </w:r>
                  <w:r>
                    <w:rPr>
                      <w:rFonts w:hint="eastAsia"/>
                      <w:color w:val="auto"/>
                      <w:szCs w:val="21"/>
                      <w:u w:val="none"/>
                    </w:rPr>
                    <w:t>危废</w:t>
                  </w:r>
                  <w:r>
                    <w:rPr>
                      <w:rFonts w:hint="eastAsia"/>
                      <w:color w:val="auto"/>
                      <w:szCs w:val="21"/>
                      <w:u w:val="none"/>
                      <w:lang w:val="en-US" w:eastAsia="zh-CN"/>
                    </w:rPr>
                    <w:t>暂存</w:t>
                  </w:r>
                  <w:r>
                    <w:rPr>
                      <w:rFonts w:hint="eastAsia"/>
                      <w:color w:val="auto"/>
                      <w:szCs w:val="21"/>
                      <w:u w:val="none"/>
                    </w:rPr>
                    <w:t>间，占地面积</w:t>
                  </w:r>
                  <w:r>
                    <w:rPr>
                      <w:rFonts w:hint="eastAsia"/>
                      <w:color w:val="auto"/>
                      <w:szCs w:val="21"/>
                      <w:u w:val="none"/>
                      <w:lang w:eastAsia="zh-CN"/>
                    </w:rPr>
                    <w:t>为</w:t>
                  </w:r>
                  <w:r>
                    <w:rPr>
                      <w:rFonts w:hint="eastAsia"/>
                      <w:color w:val="auto"/>
                      <w:szCs w:val="21"/>
                      <w:u w:val="none"/>
                      <w:lang w:val="en-US" w:eastAsia="zh-CN"/>
                    </w:rPr>
                    <w:t>60</w:t>
                  </w:r>
                  <w:r>
                    <w:rPr>
                      <w:rFonts w:hint="eastAsia"/>
                      <w:color w:val="auto"/>
                      <w:szCs w:val="21"/>
                      <w:u w:val="none"/>
                    </w:rPr>
                    <w:t>m</w:t>
                  </w:r>
                  <w:r>
                    <w:rPr>
                      <w:rFonts w:hint="eastAsia"/>
                      <w:color w:val="auto"/>
                      <w:szCs w:val="21"/>
                      <w:u w:val="none"/>
                      <w:vertAlign w:val="superscript"/>
                    </w:rPr>
                    <w:t>2</w:t>
                  </w:r>
                  <w:r>
                    <w:rPr>
                      <w:rFonts w:hint="eastAsia"/>
                      <w:color w:val="auto"/>
                      <w:szCs w:val="21"/>
                      <w:u w:val="none"/>
                    </w:rPr>
                    <w:t>，交由有资质的单位处置。</w:t>
                  </w:r>
                </w:p>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none"/>
                      <w:lang w:eastAsia="zh-CN"/>
                    </w:rPr>
                  </w:pPr>
                  <w:r>
                    <w:rPr>
                      <w:rFonts w:hint="eastAsia"/>
                      <w:color w:val="auto"/>
                      <w:szCs w:val="21"/>
                      <w:u w:val="none"/>
                      <w:lang w:eastAsia="zh-CN"/>
                    </w:rPr>
                    <w:t>在生产车间北侧设</w:t>
                  </w:r>
                  <w:r>
                    <w:rPr>
                      <w:rFonts w:hint="eastAsia"/>
                      <w:color w:val="auto"/>
                      <w:szCs w:val="21"/>
                      <w:u w:val="none"/>
                      <w:lang w:val="en-US" w:eastAsia="zh-CN"/>
                    </w:rPr>
                    <w:t>1间</w:t>
                  </w:r>
                  <w:r>
                    <w:rPr>
                      <w:rFonts w:hint="eastAsia"/>
                      <w:color w:val="auto"/>
                      <w:szCs w:val="21"/>
                      <w:u w:val="none"/>
                      <w:lang w:eastAsia="zh-CN"/>
                    </w:rPr>
                    <w:t>污泥暂存间，</w:t>
                  </w:r>
                  <w:r>
                    <w:rPr>
                      <w:rFonts w:hint="eastAsia"/>
                      <w:color w:val="auto"/>
                      <w:szCs w:val="21"/>
                      <w:u w:val="none"/>
                    </w:rPr>
                    <w:t>占地面积</w:t>
                  </w:r>
                  <w:r>
                    <w:rPr>
                      <w:rFonts w:hint="eastAsia"/>
                      <w:color w:val="auto"/>
                      <w:szCs w:val="21"/>
                      <w:u w:val="none"/>
                      <w:lang w:eastAsia="zh-CN"/>
                    </w:rPr>
                    <w:t>为</w:t>
                  </w:r>
                  <w:r>
                    <w:rPr>
                      <w:rFonts w:hint="eastAsia"/>
                      <w:color w:val="auto"/>
                      <w:szCs w:val="21"/>
                      <w:u w:val="none"/>
                      <w:lang w:val="en-US" w:eastAsia="zh-CN"/>
                    </w:rPr>
                    <w:t>770</w:t>
                  </w:r>
                  <w:r>
                    <w:rPr>
                      <w:rFonts w:hint="eastAsia"/>
                      <w:color w:val="auto"/>
                      <w:szCs w:val="21"/>
                      <w:u w:val="none"/>
                    </w:rPr>
                    <w:t>m</w:t>
                  </w:r>
                  <w:r>
                    <w:rPr>
                      <w:rFonts w:hint="eastAsia"/>
                      <w:color w:val="auto"/>
                      <w:szCs w:val="21"/>
                      <w:u w:val="none"/>
                      <w:vertAlign w:val="superscript"/>
                    </w:rPr>
                    <w:t>2</w:t>
                  </w:r>
                  <w:r>
                    <w:rPr>
                      <w:rFonts w:hint="eastAsia"/>
                      <w:color w:val="auto"/>
                      <w:szCs w:val="21"/>
                      <w:u w:val="none"/>
                    </w:rPr>
                    <w:t>，交由有资质的单位处置。</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none"/>
                    </w:rPr>
                  </w:pPr>
                  <w:r>
                    <w:rPr>
                      <w:rFonts w:hint="eastAsia"/>
                      <w:color w:val="auto"/>
                      <w:szCs w:val="21"/>
                      <w:u w:val="none"/>
                    </w:rPr>
                    <w:t>在</w:t>
                  </w:r>
                  <w:r>
                    <w:rPr>
                      <w:rFonts w:hint="eastAsia"/>
                      <w:color w:val="auto"/>
                      <w:szCs w:val="21"/>
                      <w:u w:val="none"/>
                      <w:lang w:val="en-US" w:eastAsia="zh-CN"/>
                    </w:rPr>
                    <w:t>厂区</w:t>
                  </w:r>
                  <w:r>
                    <w:rPr>
                      <w:rFonts w:hint="eastAsia" w:eastAsia="宋体"/>
                      <w:color w:val="auto"/>
                      <w:szCs w:val="21"/>
                      <w:u w:val="none"/>
                      <w:lang w:val="en-US" w:eastAsia="zh-CN"/>
                    </w:rPr>
                    <w:t>西北角</w:t>
                  </w:r>
                  <w:r>
                    <w:rPr>
                      <w:rFonts w:hint="eastAsia"/>
                      <w:color w:val="auto"/>
                      <w:szCs w:val="21"/>
                      <w:u w:val="none"/>
                      <w:lang w:val="en-US" w:eastAsia="zh-CN"/>
                    </w:rPr>
                    <w:t>设2间</w:t>
                  </w:r>
                  <w:r>
                    <w:rPr>
                      <w:rFonts w:hint="eastAsia"/>
                      <w:color w:val="auto"/>
                      <w:szCs w:val="21"/>
                      <w:u w:val="none"/>
                    </w:rPr>
                    <w:t>危废</w:t>
                  </w:r>
                  <w:r>
                    <w:rPr>
                      <w:rFonts w:hint="eastAsia"/>
                      <w:color w:val="auto"/>
                      <w:szCs w:val="21"/>
                      <w:u w:val="none"/>
                      <w:lang w:val="en-US" w:eastAsia="zh-CN"/>
                    </w:rPr>
                    <w:t>暂存</w:t>
                  </w:r>
                  <w:r>
                    <w:rPr>
                      <w:rFonts w:hint="eastAsia"/>
                      <w:color w:val="auto"/>
                      <w:szCs w:val="21"/>
                      <w:u w:val="none"/>
                    </w:rPr>
                    <w:t>间，占地面积</w:t>
                  </w:r>
                  <w:r>
                    <w:rPr>
                      <w:rFonts w:hint="eastAsia"/>
                      <w:color w:val="auto"/>
                      <w:szCs w:val="21"/>
                      <w:u w:val="none"/>
                      <w:lang w:eastAsia="zh-CN"/>
                    </w:rPr>
                    <w:t>为</w:t>
                  </w:r>
                  <w:r>
                    <w:rPr>
                      <w:rFonts w:hint="eastAsia"/>
                      <w:color w:val="auto"/>
                      <w:szCs w:val="21"/>
                      <w:u w:val="none"/>
                      <w:lang w:val="en-US" w:eastAsia="zh-CN"/>
                    </w:rPr>
                    <w:t>60</w:t>
                  </w:r>
                  <w:r>
                    <w:rPr>
                      <w:rFonts w:hint="eastAsia"/>
                      <w:color w:val="auto"/>
                      <w:szCs w:val="21"/>
                      <w:u w:val="none"/>
                    </w:rPr>
                    <w:t>m</w:t>
                  </w:r>
                  <w:r>
                    <w:rPr>
                      <w:rFonts w:hint="eastAsia"/>
                      <w:color w:val="auto"/>
                      <w:szCs w:val="21"/>
                      <w:u w:val="none"/>
                      <w:vertAlign w:val="superscript"/>
                    </w:rPr>
                    <w:t>2</w:t>
                  </w:r>
                  <w:r>
                    <w:rPr>
                      <w:rFonts w:hint="eastAsia"/>
                      <w:color w:val="auto"/>
                      <w:szCs w:val="21"/>
                      <w:u w:val="none"/>
                    </w:rPr>
                    <w:t>，交由有资质的单位处置。</w:t>
                  </w:r>
                </w:p>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eastAsia="宋体"/>
                      <w:color w:val="auto"/>
                      <w:szCs w:val="21"/>
                      <w:u w:val="none"/>
                      <w:lang w:eastAsia="zh-CN"/>
                    </w:rPr>
                  </w:pPr>
                  <w:r>
                    <w:rPr>
                      <w:rFonts w:hint="eastAsia"/>
                      <w:color w:val="auto"/>
                      <w:szCs w:val="21"/>
                      <w:u w:val="none"/>
                      <w:lang w:eastAsia="zh-CN"/>
                    </w:rPr>
                    <w:t>在生产车间北侧设</w:t>
                  </w:r>
                  <w:r>
                    <w:rPr>
                      <w:rFonts w:hint="eastAsia"/>
                      <w:color w:val="auto"/>
                      <w:szCs w:val="21"/>
                      <w:u w:val="none"/>
                      <w:lang w:val="en-US" w:eastAsia="zh-CN"/>
                    </w:rPr>
                    <w:t>1间</w:t>
                  </w:r>
                  <w:r>
                    <w:rPr>
                      <w:rFonts w:hint="eastAsia"/>
                      <w:color w:val="auto"/>
                      <w:szCs w:val="21"/>
                      <w:u w:val="none"/>
                      <w:lang w:eastAsia="zh-CN"/>
                    </w:rPr>
                    <w:t>污泥暂存间，</w:t>
                  </w:r>
                  <w:r>
                    <w:rPr>
                      <w:rFonts w:hint="eastAsia"/>
                      <w:color w:val="auto"/>
                      <w:szCs w:val="21"/>
                      <w:u w:val="none"/>
                    </w:rPr>
                    <w:t>占地面积</w:t>
                  </w:r>
                  <w:r>
                    <w:rPr>
                      <w:rFonts w:hint="eastAsia"/>
                      <w:color w:val="auto"/>
                      <w:szCs w:val="21"/>
                      <w:u w:val="none"/>
                      <w:lang w:eastAsia="zh-CN"/>
                    </w:rPr>
                    <w:t>为</w:t>
                  </w:r>
                  <w:r>
                    <w:rPr>
                      <w:rFonts w:hint="eastAsia"/>
                      <w:color w:val="auto"/>
                      <w:szCs w:val="21"/>
                      <w:u w:val="none"/>
                      <w:lang w:val="en-US" w:eastAsia="zh-CN"/>
                    </w:rPr>
                    <w:t>770</w:t>
                  </w:r>
                  <w:r>
                    <w:rPr>
                      <w:rFonts w:hint="eastAsia"/>
                      <w:color w:val="auto"/>
                      <w:szCs w:val="21"/>
                      <w:u w:val="none"/>
                    </w:rPr>
                    <w:t>m</w:t>
                  </w:r>
                  <w:r>
                    <w:rPr>
                      <w:rFonts w:hint="eastAsia"/>
                      <w:color w:val="auto"/>
                      <w:szCs w:val="21"/>
                      <w:u w:val="none"/>
                      <w:vertAlign w:val="superscript"/>
                    </w:rPr>
                    <w:t>2</w:t>
                  </w:r>
                  <w:r>
                    <w:rPr>
                      <w:rFonts w:hint="eastAsia"/>
                      <w:color w:val="auto"/>
                      <w:szCs w:val="21"/>
                      <w:u w:val="none"/>
                    </w:rPr>
                    <w:t>，交由有资质的单位处置。</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eastAsia="宋体"/>
                      <w:color w:val="auto"/>
                      <w:szCs w:val="21"/>
                      <w:u w:val="none"/>
                      <w:lang w:eastAsia="zh-CN" w:bidi="ar"/>
                    </w:rPr>
                  </w:pPr>
                  <w:r>
                    <w:rPr>
                      <w:rFonts w:hint="eastAsia"/>
                      <w:color w:val="auto"/>
                      <w:szCs w:val="21"/>
                      <w:u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2990"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none"/>
                      <w:lang w:eastAsia="zh-CN"/>
                    </w:rPr>
                  </w:pPr>
                  <w:r>
                    <w:rPr>
                      <w:rFonts w:hint="eastAsia"/>
                      <w:color w:val="auto"/>
                      <w:szCs w:val="21"/>
                      <w:u w:val="none"/>
                      <w:lang w:eastAsia="zh-CN"/>
                    </w:rPr>
                    <w:t>生活垃圾由</w:t>
                  </w:r>
                  <w:r>
                    <w:rPr>
                      <w:rFonts w:hint="eastAsia"/>
                      <w:color w:val="auto"/>
                      <w:szCs w:val="21"/>
                      <w:u w:val="none"/>
                      <w:lang w:val="en-US" w:eastAsia="zh-CN"/>
                    </w:rPr>
                    <w:t>垃圾桶</w:t>
                  </w:r>
                  <w:r>
                    <w:rPr>
                      <w:rFonts w:hint="eastAsia"/>
                      <w:color w:val="auto"/>
                      <w:szCs w:val="21"/>
                      <w:u w:val="none"/>
                      <w:lang w:eastAsia="zh-CN"/>
                    </w:rPr>
                    <w:t>收集后由环卫部门统一清运。</w:t>
                  </w:r>
                </w:p>
              </w:tc>
              <w:tc>
                <w:tcPr>
                  <w:tcW w:w="3128"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none"/>
                      <w:lang w:eastAsia="zh-CN"/>
                    </w:rPr>
                  </w:pPr>
                  <w:r>
                    <w:rPr>
                      <w:rFonts w:hint="eastAsia"/>
                      <w:color w:val="auto"/>
                      <w:szCs w:val="21"/>
                      <w:u w:val="none"/>
                      <w:lang w:eastAsia="zh-CN"/>
                    </w:rPr>
                    <w:t>生活垃圾由</w:t>
                  </w:r>
                  <w:r>
                    <w:rPr>
                      <w:rFonts w:hint="eastAsia"/>
                      <w:color w:val="auto"/>
                      <w:szCs w:val="21"/>
                      <w:u w:val="none"/>
                      <w:lang w:val="en-US" w:eastAsia="zh-CN"/>
                    </w:rPr>
                    <w:t>垃圾桶</w:t>
                  </w:r>
                  <w:r>
                    <w:rPr>
                      <w:rFonts w:hint="eastAsia"/>
                      <w:color w:val="auto"/>
                      <w:szCs w:val="21"/>
                      <w:u w:val="none"/>
                      <w:lang w:eastAsia="zh-CN"/>
                    </w:rPr>
                    <w:t>收集后由环卫部门统一清运。</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szCs w:val="21"/>
                      <w:u w:val="none"/>
                      <w:lang w:eastAsia="zh-CN"/>
                    </w:rPr>
                  </w:pPr>
                  <w:r>
                    <w:rPr>
                      <w:rFonts w:hint="eastAsia"/>
                      <w:color w:val="auto"/>
                      <w:szCs w:val="21"/>
                      <w:u w:val="none"/>
                      <w:lang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r>
                    <w:rPr>
                      <w:rFonts w:hint="eastAsia"/>
                      <w:color w:val="auto"/>
                      <w:kern w:val="2"/>
                      <w:sz w:val="21"/>
                      <w:szCs w:val="21"/>
                      <w:u w:val="none"/>
                    </w:rPr>
                    <w:t>噪声</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优先选用低噪声设备，合理布局高噪声设备，同时对高噪声设备采取</w:t>
                  </w:r>
                  <w:r>
                    <w:rPr>
                      <w:rFonts w:hint="eastAsia"/>
                      <w:color w:val="auto"/>
                      <w:kern w:val="2"/>
                      <w:sz w:val="21"/>
                      <w:szCs w:val="21"/>
                      <w:u w:val="none"/>
                    </w:rPr>
                    <w:t>基础减振、厂房隔声等</w:t>
                  </w:r>
                  <w:r>
                    <w:rPr>
                      <w:rFonts w:hint="eastAsia"/>
                      <w:color w:val="auto"/>
                      <w:kern w:val="2"/>
                      <w:sz w:val="21"/>
                      <w:szCs w:val="21"/>
                      <w:u w:val="none"/>
                      <w:lang w:val="en-US" w:eastAsia="zh-CN"/>
                    </w:rPr>
                    <w:t>降噪措施。</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none"/>
                    </w:rPr>
                  </w:pPr>
                  <w:r>
                    <w:rPr>
                      <w:rFonts w:hint="eastAsia"/>
                      <w:color w:val="auto"/>
                      <w:kern w:val="2"/>
                      <w:sz w:val="21"/>
                      <w:szCs w:val="21"/>
                      <w:u w:val="none"/>
                      <w:lang w:val="en-US" w:eastAsia="zh-CN"/>
                    </w:rPr>
                    <w:t>优先选用低噪声设备，合理布局高噪声设备，同时对高噪声设备采取</w:t>
                  </w:r>
                  <w:r>
                    <w:rPr>
                      <w:rFonts w:hint="eastAsia"/>
                      <w:color w:val="auto"/>
                      <w:kern w:val="2"/>
                      <w:sz w:val="21"/>
                      <w:szCs w:val="21"/>
                      <w:u w:val="none"/>
                    </w:rPr>
                    <w:t>基础减振、厂房隔声等</w:t>
                  </w:r>
                  <w:r>
                    <w:rPr>
                      <w:rFonts w:hint="eastAsia"/>
                      <w:color w:val="auto"/>
                      <w:kern w:val="2"/>
                      <w:sz w:val="21"/>
                      <w:szCs w:val="21"/>
                      <w:u w:val="none"/>
                      <w:lang w:val="en-US" w:eastAsia="zh-CN"/>
                    </w:rPr>
                    <w:t>降噪措施。</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default" w:eastAsia="宋体"/>
                      <w:color w:val="auto"/>
                      <w:szCs w:val="21"/>
                      <w:u w:val="none"/>
                      <w:lang w:val="en-US" w:eastAsia="zh-CN"/>
                    </w:rPr>
                  </w:pPr>
                  <w:r>
                    <w:rPr>
                      <w:rFonts w:hint="eastAsia"/>
                      <w:color w:val="auto"/>
                      <w:kern w:val="2"/>
                      <w:sz w:val="21"/>
                      <w:szCs w:val="21"/>
                      <w:u w:val="none"/>
                      <w:lang w:eastAsia="zh-CN"/>
                    </w:rPr>
                    <w:t>部分新建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5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none"/>
                    </w:rPr>
                  </w:pPr>
                </w:p>
              </w:tc>
              <w:tc>
                <w:tcPr>
                  <w:tcW w:w="1317"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none"/>
                      <w:lang w:eastAsia="zh-CN"/>
                    </w:rPr>
                  </w:pPr>
                  <w:r>
                    <w:rPr>
                      <w:rFonts w:hint="eastAsia"/>
                      <w:color w:val="auto"/>
                      <w:kern w:val="2"/>
                      <w:sz w:val="21"/>
                      <w:szCs w:val="21"/>
                      <w:u w:val="none"/>
                      <w:lang w:eastAsia="zh-CN"/>
                    </w:rPr>
                    <w:t>风险防范</w:t>
                  </w:r>
                </w:p>
              </w:tc>
              <w:tc>
                <w:tcPr>
                  <w:tcW w:w="2990"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default"/>
                      <w:color w:val="auto"/>
                      <w:kern w:val="2"/>
                      <w:sz w:val="21"/>
                      <w:szCs w:val="21"/>
                      <w:u w:val="none"/>
                      <w:lang w:val="en-US" w:eastAsia="zh-CN"/>
                    </w:rPr>
                  </w:pPr>
                  <w:r>
                    <w:rPr>
                      <w:rFonts w:hint="eastAsia"/>
                      <w:color w:val="auto"/>
                      <w:kern w:val="2"/>
                      <w:sz w:val="21"/>
                      <w:szCs w:val="21"/>
                      <w:u w:val="none"/>
                      <w:lang w:val="en-US" w:eastAsia="zh-CN"/>
                    </w:rPr>
                    <w:t>在厂区西北角设200m</w:t>
                  </w:r>
                  <w:r>
                    <w:rPr>
                      <w:rFonts w:hint="eastAsia"/>
                      <w:color w:val="auto"/>
                      <w:kern w:val="2"/>
                      <w:sz w:val="21"/>
                      <w:szCs w:val="21"/>
                      <w:u w:val="none"/>
                      <w:vertAlign w:val="superscript"/>
                      <w:lang w:val="en-US" w:eastAsia="zh-CN"/>
                    </w:rPr>
                    <w:t>3</w:t>
                  </w:r>
                  <w:r>
                    <w:rPr>
                      <w:rFonts w:hint="eastAsia"/>
                      <w:color w:val="auto"/>
                      <w:kern w:val="2"/>
                      <w:sz w:val="21"/>
                      <w:szCs w:val="21"/>
                      <w:u w:val="none"/>
                      <w:lang w:val="en-US" w:eastAsia="zh-CN"/>
                    </w:rPr>
                    <w:t>应急池；</w:t>
                  </w:r>
                  <w:r>
                    <w:rPr>
                      <w:rFonts w:hint="eastAsia" w:ascii="Times New Roman" w:hAnsi="Times New Roman"/>
                      <w:color w:val="auto"/>
                      <w:sz w:val="21"/>
                      <w:szCs w:val="21"/>
                      <w:highlight w:val="none"/>
                      <w:u w:val="none"/>
                      <w:lang w:val="en-US" w:eastAsia="zh-CN" w:bidi="ar"/>
                    </w:rPr>
                    <w:t>硫酸库区设5m*5m*1m的围堰</w:t>
                  </w:r>
                </w:p>
              </w:tc>
              <w:tc>
                <w:tcPr>
                  <w:tcW w:w="3128"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none"/>
                      <w:lang w:val="en-US" w:eastAsia="zh-CN"/>
                    </w:rPr>
                  </w:pPr>
                  <w:r>
                    <w:rPr>
                      <w:rFonts w:hint="eastAsia"/>
                      <w:color w:val="auto"/>
                      <w:kern w:val="2"/>
                      <w:sz w:val="21"/>
                      <w:szCs w:val="21"/>
                      <w:u w:val="none"/>
                      <w:lang w:val="en-US" w:eastAsia="zh-CN"/>
                    </w:rPr>
                    <w:t>依托现有厂区西北角200m</w:t>
                  </w:r>
                  <w:r>
                    <w:rPr>
                      <w:rFonts w:hint="eastAsia"/>
                      <w:color w:val="auto"/>
                      <w:kern w:val="2"/>
                      <w:sz w:val="21"/>
                      <w:szCs w:val="21"/>
                      <w:u w:val="none"/>
                      <w:vertAlign w:val="superscript"/>
                      <w:lang w:val="en-US" w:eastAsia="zh-CN"/>
                    </w:rPr>
                    <w:t>3</w:t>
                  </w:r>
                  <w:r>
                    <w:rPr>
                      <w:rFonts w:hint="eastAsia"/>
                      <w:color w:val="auto"/>
                      <w:kern w:val="2"/>
                      <w:sz w:val="21"/>
                      <w:szCs w:val="21"/>
                      <w:u w:val="none"/>
                      <w:lang w:val="en-US" w:eastAsia="zh-CN"/>
                    </w:rPr>
                    <w:t>应急池；</w:t>
                  </w:r>
                  <w:r>
                    <w:rPr>
                      <w:rFonts w:hint="eastAsia" w:ascii="Times New Roman" w:hAnsi="Times New Roman"/>
                      <w:color w:val="auto"/>
                      <w:sz w:val="21"/>
                      <w:szCs w:val="21"/>
                      <w:highlight w:val="none"/>
                      <w:u w:val="none"/>
                      <w:lang w:val="en-US" w:eastAsia="zh-CN" w:bidi="ar"/>
                    </w:rPr>
                    <w:t>硫酸库区依托现有5m*5m*1m的围堰</w:t>
                  </w:r>
                </w:p>
              </w:tc>
              <w:tc>
                <w:tcPr>
                  <w:tcW w:w="1328"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color w:val="auto"/>
                      <w:kern w:val="2"/>
                      <w:sz w:val="21"/>
                      <w:szCs w:val="21"/>
                      <w:u w:val="none"/>
                      <w:lang w:eastAsia="zh-CN"/>
                    </w:rPr>
                  </w:pPr>
                  <w:r>
                    <w:rPr>
                      <w:rFonts w:hint="eastAsia"/>
                      <w:color w:val="auto"/>
                      <w:szCs w:val="21"/>
                      <w:u w:val="none"/>
                      <w:lang w:eastAsia="zh-CN"/>
                    </w:rPr>
                    <w:t>依托现有</w:t>
                  </w:r>
                </w:p>
              </w:tc>
            </w:tr>
          </w:tbl>
          <w:p>
            <w:pPr>
              <w:pStyle w:val="56"/>
              <w:bidi w:val="0"/>
              <w:rPr>
                <w:rFonts w:hint="default"/>
                <w:color w:val="auto"/>
                <w:sz w:val="24"/>
                <w:szCs w:val="24"/>
                <w:highlight w:val="none"/>
                <w:u w:val="none"/>
                <w:lang w:val="en-US" w:eastAsia="zh-CN"/>
              </w:rPr>
            </w:pPr>
            <w:r>
              <w:rPr>
                <w:rFonts w:hint="eastAsia"/>
                <w:color w:val="auto"/>
                <w:sz w:val="24"/>
                <w:szCs w:val="24"/>
                <w:highlight w:val="none"/>
                <w:u w:val="none"/>
                <w:lang w:val="en-US" w:eastAsia="zh-CN"/>
              </w:rPr>
              <w:t>2.3产品规模</w:t>
            </w:r>
          </w:p>
          <w:p>
            <w:pPr>
              <w:pStyle w:val="62"/>
              <w:ind w:firstLine="480"/>
              <w:rPr>
                <w:rStyle w:val="31"/>
                <w:rFonts w:hint="eastAsia" w:eastAsia="宋体" w:cs="Times New Roman"/>
                <w:color w:val="auto"/>
                <w:sz w:val="24"/>
                <w:szCs w:val="24"/>
                <w:highlight w:val="none"/>
                <w:u w:val="single"/>
                <w:vertAlign w:val="baseline"/>
                <w:lang w:val="en-US" w:eastAsia="zh-CN"/>
              </w:rPr>
            </w:pPr>
            <w:r>
              <w:rPr>
                <w:rFonts w:hint="eastAsia" w:hAnsi="宋体"/>
                <w:color w:val="auto"/>
                <w:sz w:val="24"/>
                <w:szCs w:val="24"/>
                <w:highlight w:val="none"/>
                <w:u w:val="single"/>
                <w:lang w:val="en-US" w:eastAsia="zh-CN"/>
              </w:rPr>
              <w:t>本次改扩建项目不涉及气保焊丝、高强钢焊丝、埋弧焊丝、铝焊丝等生产线，本次改扩建项目</w:t>
            </w:r>
            <w:r>
              <w:rPr>
                <w:rFonts w:hint="default" w:hAnsi="宋体"/>
                <w:color w:val="auto"/>
                <w:sz w:val="24"/>
                <w:szCs w:val="24"/>
                <w:highlight w:val="none"/>
                <w:u w:val="single"/>
                <w:lang w:val="en-US" w:eastAsia="zh-CN"/>
              </w:rPr>
              <w:t>新增</w:t>
            </w:r>
            <w:r>
              <w:rPr>
                <w:rFonts w:hAnsi="宋体"/>
                <w:color w:val="auto"/>
                <w:sz w:val="24"/>
                <w:szCs w:val="24"/>
                <w:highlight w:val="none"/>
                <w:u w:val="single"/>
                <w:lang w:val="zh-CN"/>
              </w:rPr>
              <w:t>药芯焊丝</w:t>
            </w:r>
            <w:r>
              <w:rPr>
                <w:rFonts w:hint="eastAsia"/>
                <w:color w:val="auto"/>
                <w:sz w:val="24"/>
                <w:szCs w:val="24"/>
                <w:highlight w:val="none"/>
                <w:u w:val="single"/>
                <w:lang w:val="en-US" w:eastAsia="zh-CN"/>
              </w:rPr>
              <w:t>3</w:t>
            </w:r>
            <w:r>
              <w:rPr>
                <w:rFonts w:hAnsi="宋体"/>
                <w:color w:val="auto"/>
                <w:sz w:val="24"/>
                <w:szCs w:val="24"/>
                <w:highlight w:val="none"/>
                <w:u w:val="single"/>
                <w:lang w:val="zh-CN"/>
              </w:rPr>
              <w:t>万吨、特种电焊条</w:t>
            </w:r>
            <w:r>
              <w:rPr>
                <w:color w:val="auto"/>
                <w:sz w:val="24"/>
                <w:szCs w:val="24"/>
                <w:highlight w:val="none"/>
                <w:u w:val="single"/>
                <w:lang w:val="zh-CN"/>
              </w:rPr>
              <w:t>0.</w:t>
            </w:r>
            <w:r>
              <w:rPr>
                <w:rFonts w:hint="eastAsia"/>
                <w:color w:val="auto"/>
                <w:sz w:val="24"/>
                <w:szCs w:val="24"/>
                <w:highlight w:val="none"/>
                <w:u w:val="single"/>
                <w:lang w:val="en-US" w:eastAsia="zh-CN"/>
              </w:rPr>
              <w:t>5</w:t>
            </w:r>
            <w:r>
              <w:rPr>
                <w:rFonts w:hAnsi="宋体"/>
                <w:color w:val="auto"/>
                <w:sz w:val="24"/>
                <w:szCs w:val="24"/>
                <w:highlight w:val="none"/>
                <w:u w:val="single"/>
                <w:lang w:val="zh-CN"/>
              </w:rPr>
              <w:t>万</w:t>
            </w:r>
            <w:r>
              <w:rPr>
                <w:rFonts w:hAnsi="宋体"/>
                <w:color w:val="auto"/>
                <w:sz w:val="24"/>
                <w:szCs w:val="24"/>
                <w:highlight w:val="none"/>
                <w:u w:val="single"/>
              </w:rPr>
              <w:t>吨</w:t>
            </w:r>
            <w:r>
              <w:rPr>
                <w:rFonts w:hint="eastAsia" w:hAnsi="宋体"/>
                <w:color w:val="auto"/>
                <w:sz w:val="24"/>
                <w:szCs w:val="24"/>
                <w:highlight w:val="none"/>
                <w:u w:val="single"/>
                <w:lang w:eastAsia="zh-CN"/>
              </w:rPr>
              <w:t>、塑料盘</w:t>
            </w:r>
            <w:r>
              <w:rPr>
                <w:rFonts w:hint="eastAsia" w:hAnsi="宋体"/>
                <w:color w:val="auto"/>
                <w:sz w:val="24"/>
                <w:szCs w:val="24"/>
                <w:highlight w:val="none"/>
                <w:u w:val="single"/>
                <w:lang w:val="en-US" w:eastAsia="zh-CN"/>
              </w:rPr>
              <w:t>0.3万</w:t>
            </w:r>
            <w:r>
              <w:rPr>
                <w:rFonts w:hint="eastAsia" w:ascii="Times New Roman" w:hAnsi="Times New Roman" w:eastAsia="宋体" w:cs="Times New Roman"/>
                <w:b w:val="0"/>
                <w:bCs w:val="0"/>
                <w:color w:val="auto"/>
                <w:sz w:val="24"/>
                <w:szCs w:val="24"/>
                <w:highlight w:val="none"/>
                <w:u w:val="single"/>
                <w:lang w:val="en-US" w:eastAsia="zh-CN" w:bidi="ar"/>
              </w:rPr>
              <w:t>吨</w:t>
            </w:r>
            <w:r>
              <w:rPr>
                <w:rFonts w:hint="eastAsia" w:cs="Times New Roman"/>
                <w:b w:val="0"/>
                <w:bCs w:val="0"/>
                <w:color w:val="auto"/>
                <w:sz w:val="24"/>
                <w:szCs w:val="24"/>
                <w:highlight w:val="none"/>
                <w:u w:val="single"/>
                <w:lang w:val="en-US" w:eastAsia="zh-CN" w:bidi="ar"/>
              </w:rPr>
              <w:t>，</w:t>
            </w:r>
            <w:r>
              <w:rPr>
                <w:rFonts w:hint="default" w:hAnsi="宋体"/>
                <w:color w:val="auto"/>
                <w:sz w:val="24"/>
                <w:szCs w:val="24"/>
                <w:highlight w:val="none"/>
                <w:u w:val="single"/>
                <w:lang w:val="en-US" w:eastAsia="zh-CN"/>
              </w:rPr>
              <w:t>不锈钢焊丝</w:t>
            </w:r>
            <w:r>
              <w:rPr>
                <w:rFonts w:hint="eastAsia" w:hAnsi="宋体"/>
                <w:color w:val="auto"/>
                <w:sz w:val="24"/>
                <w:szCs w:val="24"/>
                <w:highlight w:val="none"/>
                <w:u w:val="single"/>
                <w:lang w:val="en-US" w:eastAsia="zh-CN"/>
              </w:rPr>
              <w:t>改扩建</w:t>
            </w:r>
            <w:r>
              <w:rPr>
                <w:rFonts w:hint="default" w:hAnsi="宋体"/>
                <w:color w:val="auto"/>
                <w:sz w:val="24"/>
                <w:szCs w:val="24"/>
                <w:highlight w:val="none"/>
                <w:u w:val="single"/>
                <w:lang w:val="en-US" w:eastAsia="zh-CN"/>
              </w:rPr>
              <w:t>前后</w:t>
            </w:r>
            <w:r>
              <w:rPr>
                <w:rFonts w:hint="eastAsia" w:hAnsi="宋体"/>
                <w:color w:val="auto"/>
                <w:sz w:val="24"/>
                <w:szCs w:val="24"/>
                <w:highlight w:val="none"/>
                <w:u w:val="single"/>
                <w:lang w:val="en-US" w:eastAsia="zh-CN"/>
              </w:rPr>
              <w:t>生产</w:t>
            </w:r>
            <w:r>
              <w:rPr>
                <w:rFonts w:hint="default" w:hAnsi="宋体"/>
                <w:color w:val="auto"/>
                <w:sz w:val="24"/>
                <w:szCs w:val="24"/>
                <w:highlight w:val="none"/>
                <w:u w:val="single"/>
                <w:lang w:val="en-US" w:eastAsia="zh-CN"/>
              </w:rPr>
              <w:t>规模</w:t>
            </w:r>
            <w:r>
              <w:rPr>
                <w:rFonts w:hint="eastAsia" w:hAnsi="宋体"/>
                <w:color w:val="auto"/>
                <w:sz w:val="24"/>
                <w:szCs w:val="24"/>
                <w:highlight w:val="none"/>
                <w:u w:val="single"/>
                <w:lang w:val="en-US" w:eastAsia="zh-CN"/>
              </w:rPr>
              <w:t>无变化</w:t>
            </w:r>
            <w:r>
              <w:rPr>
                <w:rFonts w:hint="default" w:hAnsi="宋体"/>
                <w:color w:val="auto"/>
                <w:sz w:val="24"/>
                <w:szCs w:val="24"/>
                <w:highlight w:val="none"/>
                <w:u w:val="single"/>
                <w:lang w:val="en-US" w:eastAsia="zh-CN"/>
              </w:rPr>
              <w:t>。</w:t>
            </w:r>
            <w:r>
              <w:rPr>
                <w:rFonts w:hint="eastAsia" w:hAnsi="宋体"/>
                <w:color w:val="auto"/>
                <w:sz w:val="24"/>
                <w:szCs w:val="24"/>
                <w:highlight w:val="none"/>
                <w:u w:val="single"/>
                <w:lang w:val="zh-CN"/>
              </w:rPr>
              <w:t>产品方案变化情况具体见</w:t>
            </w:r>
            <w:r>
              <w:rPr>
                <w:rFonts w:hint="eastAsia" w:hAnsi="宋体"/>
                <w:color w:val="auto"/>
                <w:sz w:val="24"/>
                <w:szCs w:val="24"/>
                <w:highlight w:val="none"/>
                <w:u w:val="single"/>
                <w:lang w:val="zh-CN" w:eastAsia="zh-CN"/>
              </w:rPr>
              <w:t>下</w:t>
            </w:r>
            <w:r>
              <w:rPr>
                <w:rFonts w:hint="eastAsia" w:hAnsi="宋体"/>
                <w:color w:val="auto"/>
                <w:sz w:val="24"/>
                <w:szCs w:val="24"/>
                <w:highlight w:val="none"/>
                <w:u w:val="single"/>
                <w:lang w:val="zh-CN"/>
              </w:rPr>
              <w:t>表。</w:t>
            </w:r>
          </w:p>
          <w:p>
            <w:pPr>
              <w:spacing w:line="240" w:lineRule="auto"/>
              <w:jc w:val="center"/>
              <w:rPr>
                <w:rFonts w:hAnsi="宋体"/>
                <w:b/>
                <w:color w:val="auto"/>
                <w:sz w:val="24"/>
                <w:szCs w:val="24"/>
                <w:highlight w:val="none"/>
                <w:u w:val="single"/>
              </w:rPr>
            </w:pPr>
          </w:p>
          <w:p>
            <w:pPr>
              <w:spacing w:line="240" w:lineRule="auto"/>
              <w:jc w:val="center"/>
              <w:rPr>
                <w:rFonts w:hint="eastAsia" w:eastAsia="宋体"/>
                <w:b/>
                <w:color w:val="auto"/>
                <w:sz w:val="24"/>
                <w:szCs w:val="24"/>
                <w:highlight w:val="none"/>
                <w:u w:val="single"/>
                <w:lang w:eastAsia="zh-CN"/>
              </w:rPr>
            </w:pPr>
            <w:r>
              <w:rPr>
                <w:rFonts w:hAnsi="宋体"/>
                <w:b/>
                <w:color w:val="auto"/>
                <w:sz w:val="24"/>
                <w:szCs w:val="24"/>
                <w:highlight w:val="none"/>
                <w:u w:val="single"/>
              </w:rPr>
              <w:t>表</w:t>
            </w:r>
            <w:r>
              <w:rPr>
                <w:rFonts w:hint="eastAsia"/>
                <w:b/>
                <w:color w:val="auto"/>
                <w:sz w:val="24"/>
                <w:szCs w:val="24"/>
                <w:highlight w:val="none"/>
                <w:u w:val="single"/>
                <w:lang w:val="en-US" w:eastAsia="zh-CN"/>
              </w:rPr>
              <w:t>2.3-1</w:t>
            </w:r>
            <w:r>
              <w:rPr>
                <w:rFonts w:hint="eastAsia" w:hAnsi="宋体"/>
                <w:b/>
                <w:color w:val="auto"/>
                <w:sz w:val="24"/>
                <w:szCs w:val="24"/>
                <w:highlight w:val="none"/>
                <w:u w:val="single"/>
                <w:lang w:eastAsia="zh-CN"/>
              </w:rPr>
              <w:t>改扩建前后主要产品规模变化情况表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635"/>
              <w:gridCol w:w="859"/>
              <w:gridCol w:w="1305"/>
              <w:gridCol w:w="1095"/>
              <w:gridCol w:w="1500"/>
              <w:gridCol w:w="915"/>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ascii="Times New Roman" w:hAnsi="Times New Roman" w:eastAsia="宋体" w:cs="Times New Roman"/>
                      <w:b/>
                      <w:bCs w:val="0"/>
                      <w:color w:val="auto"/>
                      <w:highlight w:val="none"/>
                      <w:u w:val="single"/>
                      <w:lang w:val="zh-CN" w:eastAsia="zh-CN"/>
                    </w:rPr>
                    <w:t>序号</w:t>
                  </w:r>
                </w:p>
              </w:tc>
              <w:tc>
                <w:tcPr>
                  <w:tcW w:w="1635"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ascii="Times New Roman" w:hAnsi="Times New Roman" w:eastAsia="宋体" w:cs="Times New Roman"/>
                      <w:b/>
                      <w:bCs w:val="0"/>
                      <w:color w:val="auto"/>
                      <w:highlight w:val="none"/>
                      <w:u w:val="single"/>
                      <w:lang w:val="zh-CN" w:eastAsia="zh-CN"/>
                    </w:rPr>
                    <w:t>产品品种</w:t>
                  </w:r>
                </w:p>
              </w:tc>
              <w:tc>
                <w:tcPr>
                  <w:tcW w:w="859" w:type="dxa"/>
                  <w:noWrap w:val="0"/>
                  <w:vAlign w:val="center"/>
                </w:tcPr>
                <w:p>
                  <w:pPr>
                    <w:pStyle w:val="55"/>
                    <w:bidi w:val="0"/>
                    <w:spacing w:line="240" w:lineRule="auto"/>
                    <w:jc w:val="center"/>
                    <w:rPr>
                      <w:rFonts w:hint="default" w:ascii="Times New Roman" w:hAnsi="Times New Roman" w:eastAsia="宋体" w:cs="Times New Roman"/>
                      <w:b/>
                      <w:bCs w:val="0"/>
                      <w:color w:val="auto"/>
                      <w:highlight w:val="none"/>
                      <w:u w:val="single"/>
                      <w:lang w:val="en-US" w:eastAsia="zh-CN"/>
                    </w:rPr>
                  </w:pPr>
                  <w:r>
                    <w:rPr>
                      <w:rFonts w:hint="eastAsia" w:cs="Times New Roman"/>
                      <w:b/>
                      <w:bCs w:val="0"/>
                      <w:color w:val="auto"/>
                      <w:highlight w:val="none"/>
                      <w:u w:val="single"/>
                      <w:lang w:val="en-US" w:eastAsia="zh-CN"/>
                    </w:rPr>
                    <w:t>改扩建前</w:t>
                  </w:r>
                </w:p>
              </w:tc>
              <w:tc>
                <w:tcPr>
                  <w:tcW w:w="1305"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cs="Times New Roman"/>
                      <w:b/>
                      <w:bCs w:val="0"/>
                      <w:color w:val="auto"/>
                      <w:highlight w:val="none"/>
                      <w:u w:val="single"/>
                      <w:lang w:val="zh-CN" w:eastAsia="zh-CN"/>
                    </w:rPr>
                    <w:t>本次改扩建</w:t>
                  </w:r>
                </w:p>
              </w:tc>
              <w:tc>
                <w:tcPr>
                  <w:tcW w:w="1095"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cs="Times New Roman"/>
                      <w:b/>
                      <w:bCs w:val="0"/>
                      <w:color w:val="auto"/>
                      <w:highlight w:val="none"/>
                      <w:u w:val="single"/>
                      <w:lang w:val="zh-CN" w:eastAsia="zh-CN"/>
                    </w:rPr>
                    <w:t>增减量</w:t>
                  </w:r>
                </w:p>
              </w:tc>
              <w:tc>
                <w:tcPr>
                  <w:tcW w:w="1500"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cs="Times New Roman"/>
                      <w:b/>
                      <w:bCs w:val="0"/>
                      <w:color w:val="auto"/>
                      <w:highlight w:val="none"/>
                      <w:u w:val="single"/>
                      <w:lang w:val="zh-CN" w:eastAsia="zh-CN"/>
                    </w:rPr>
                    <w:t>改扩建后全厂</w:t>
                  </w:r>
                </w:p>
              </w:tc>
              <w:tc>
                <w:tcPr>
                  <w:tcW w:w="915"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ascii="Times New Roman" w:hAnsi="Times New Roman" w:eastAsia="宋体" w:cs="Times New Roman"/>
                      <w:b/>
                      <w:bCs w:val="0"/>
                      <w:color w:val="auto"/>
                      <w:highlight w:val="none"/>
                      <w:u w:val="single"/>
                      <w:lang w:val="zh-CN" w:eastAsia="zh-CN"/>
                    </w:rPr>
                    <w:t>单位</w:t>
                  </w:r>
                </w:p>
              </w:tc>
              <w:tc>
                <w:tcPr>
                  <w:tcW w:w="1066" w:type="dxa"/>
                  <w:noWrap w:val="0"/>
                  <w:vAlign w:val="center"/>
                </w:tcPr>
                <w:p>
                  <w:pPr>
                    <w:pStyle w:val="55"/>
                    <w:bidi w:val="0"/>
                    <w:spacing w:line="240" w:lineRule="auto"/>
                    <w:jc w:val="center"/>
                    <w:rPr>
                      <w:rFonts w:hint="eastAsia" w:ascii="Times New Roman" w:hAnsi="Times New Roman" w:eastAsia="宋体" w:cs="Times New Roman"/>
                      <w:b/>
                      <w:bCs w:val="0"/>
                      <w:color w:val="auto"/>
                      <w:highlight w:val="none"/>
                      <w:u w:val="single"/>
                      <w:lang w:val="zh-CN" w:eastAsia="zh-CN"/>
                    </w:rPr>
                  </w:pPr>
                  <w:r>
                    <w:rPr>
                      <w:rFonts w:hint="eastAsia" w:cs="Times New Roman"/>
                      <w:b/>
                      <w:bCs w:val="0"/>
                      <w:color w:val="auto"/>
                      <w:highlight w:val="none"/>
                      <w:u w:val="single"/>
                      <w:lang w:val="zh-CN"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eastAsia" w:ascii="Times New Roman" w:hAnsi="Times New Roman" w:eastAsia="宋体" w:cs="Times New Roman"/>
                      <w:b w:val="0"/>
                      <w:bCs/>
                      <w:color w:val="auto"/>
                      <w:highlight w:val="none"/>
                      <w:u w:val="single"/>
                      <w:lang w:val="zh-CN" w:eastAsia="zh-CN"/>
                    </w:rPr>
                  </w:pPr>
                </w:p>
              </w:tc>
              <w:tc>
                <w:tcPr>
                  <w:tcW w:w="1635" w:type="dxa"/>
                  <w:noWrap w:val="0"/>
                  <w:vAlign w:val="center"/>
                </w:tcPr>
                <w:p>
                  <w:pPr>
                    <w:autoSpaceDE w:val="0"/>
                    <w:autoSpaceDN w:val="0"/>
                    <w:adjustRightInd w:val="0"/>
                    <w:snapToGrid w:val="0"/>
                    <w:spacing w:line="400" w:lineRule="exact"/>
                    <w:jc w:val="center"/>
                    <w:rPr>
                      <w:rFonts w:hint="eastAsia" w:ascii="Times New Roman" w:hAnsi="Times New Roman" w:eastAsia="宋体" w:cs="Times New Roman"/>
                      <w:b/>
                      <w:bCs w:val="0"/>
                      <w:color w:val="auto"/>
                      <w:highlight w:val="none"/>
                      <w:u w:val="single"/>
                      <w:lang w:val="zh-CN" w:eastAsia="zh-CN"/>
                    </w:rPr>
                  </w:pPr>
                  <w:r>
                    <w:rPr>
                      <w:rFonts w:hAnsi="宋体"/>
                      <w:color w:val="auto"/>
                      <w:sz w:val="21"/>
                      <w:szCs w:val="21"/>
                      <w:lang w:val="zh-CN"/>
                    </w:rPr>
                    <w:t>气保焊丝</w:t>
                  </w:r>
                </w:p>
              </w:tc>
              <w:tc>
                <w:tcPr>
                  <w:tcW w:w="859" w:type="dxa"/>
                  <w:noWrap w:val="0"/>
                  <w:vAlign w:val="center"/>
                </w:tcPr>
                <w:p>
                  <w:pPr>
                    <w:autoSpaceDE w:val="0"/>
                    <w:autoSpaceDN w:val="0"/>
                    <w:adjustRightInd w:val="0"/>
                    <w:snapToGrid w:val="0"/>
                    <w:spacing w:line="400" w:lineRule="exact"/>
                    <w:jc w:val="center"/>
                    <w:rPr>
                      <w:rFonts w:hint="eastAsia" w:cs="Times New Roman"/>
                      <w:b/>
                      <w:bCs w:val="0"/>
                      <w:color w:val="auto"/>
                      <w:highlight w:val="none"/>
                      <w:u w:val="single"/>
                      <w:lang w:val="en-US" w:eastAsia="zh-CN"/>
                    </w:rPr>
                  </w:pPr>
                  <w:r>
                    <w:rPr>
                      <w:color w:val="auto"/>
                      <w:sz w:val="21"/>
                      <w:szCs w:val="21"/>
                      <w:lang w:val="zh-CN"/>
                    </w:rPr>
                    <w:t>8</w:t>
                  </w:r>
                </w:p>
              </w:tc>
              <w:tc>
                <w:tcPr>
                  <w:tcW w:w="130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cs="Times New Roman"/>
                      <w:b w:val="0"/>
                      <w:bCs/>
                      <w:color w:val="auto"/>
                      <w:highlight w:val="none"/>
                      <w:u w:val="single"/>
                      <w:lang w:val="en-US" w:eastAsia="zh-CN"/>
                    </w:rPr>
                    <w:t>0</w:t>
                  </w:r>
                </w:p>
              </w:tc>
              <w:tc>
                <w:tcPr>
                  <w:tcW w:w="109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cs="Times New Roman"/>
                      <w:b w:val="0"/>
                      <w:bCs/>
                      <w:color w:val="auto"/>
                      <w:highlight w:val="none"/>
                      <w:u w:val="single"/>
                      <w:lang w:val="en-US" w:eastAsia="zh-CN"/>
                    </w:rPr>
                    <w:t>0</w:t>
                  </w:r>
                </w:p>
              </w:tc>
              <w:tc>
                <w:tcPr>
                  <w:tcW w:w="1500" w:type="dxa"/>
                  <w:noWrap w:val="0"/>
                  <w:vAlign w:val="center"/>
                </w:tcPr>
                <w:p>
                  <w:pPr>
                    <w:autoSpaceDE w:val="0"/>
                    <w:autoSpaceDN w:val="0"/>
                    <w:adjustRightInd w:val="0"/>
                    <w:snapToGrid w:val="0"/>
                    <w:spacing w:line="400" w:lineRule="exact"/>
                    <w:jc w:val="center"/>
                    <w:rPr>
                      <w:rFonts w:hint="eastAsia" w:cs="Times New Roman"/>
                      <w:b w:val="0"/>
                      <w:bCs/>
                      <w:color w:val="auto"/>
                      <w:highlight w:val="none"/>
                      <w:u w:val="single"/>
                      <w:lang w:val="zh-CN" w:eastAsia="zh-CN"/>
                    </w:rPr>
                  </w:pPr>
                  <w:r>
                    <w:rPr>
                      <w:color w:val="auto"/>
                      <w:sz w:val="21"/>
                      <w:szCs w:val="21"/>
                      <w:lang w:val="zh-CN"/>
                    </w:rPr>
                    <w:t>8</w:t>
                  </w:r>
                </w:p>
              </w:tc>
              <w:tc>
                <w:tcPr>
                  <w:tcW w:w="91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eastAsia" w:cs="Times New Roman"/>
                      <w:b w:val="0"/>
                      <w:bCs/>
                      <w:color w:val="auto"/>
                      <w:highlight w:val="none"/>
                      <w:u w:val="single"/>
                      <w:lang w:val="zh-CN"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eastAsia" w:ascii="Times New Roman" w:hAnsi="Times New Roman" w:eastAsia="宋体" w:cs="Times New Roman"/>
                      <w:b w:val="0"/>
                      <w:bCs/>
                      <w:color w:val="auto"/>
                      <w:highlight w:val="none"/>
                      <w:u w:val="single"/>
                      <w:lang w:val="zh-CN" w:eastAsia="zh-CN"/>
                    </w:rPr>
                  </w:pPr>
                </w:p>
              </w:tc>
              <w:tc>
                <w:tcPr>
                  <w:tcW w:w="1635" w:type="dxa"/>
                  <w:noWrap w:val="0"/>
                  <w:vAlign w:val="center"/>
                </w:tcPr>
                <w:p>
                  <w:pPr>
                    <w:autoSpaceDE w:val="0"/>
                    <w:autoSpaceDN w:val="0"/>
                    <w:adjustRightInd w:val="0"/>
                    <w:snapToGrid w:val="0"/>
                    <w:spacing w:line="400" w:lineRule="exact"/>
                    <w:jc w:val="center"/>
                    <w:rPr>
                      <w:rFonts w:hint="eastAsia" w:ascii="Times New Roman" w:hAnsi="Times New Roman" w:eastAsia="宋体" w:cs="Times New Roman"/>
                      <w:b/>
                      <w:bCs w:val="0"/>
                      <w:color w:val="auto"/>
                      <w:highlight w:val="none"/>
                      <w:u w:val="single"/>
                      <w:lang w:val="zh-CN" w:eastAsia="zh-CN"/>
                    </w:rPr>
                  </w:pPr>
                  <w:r>
                    <w:rPr>
                      <w:rFonts w:hAnsi="宋体"/>
                      <w:color w:val="auto"/>
                      <w:sz w:val="21"/>
                      <w:szCs w:val="21"/>
                      <w:lang w:val="zh-CN"/>
                    </w:rPr>
                    <w:t>高强钢焊丝</w:t>
                  </w:r>
                </w:p>
              </w:tc>
              <w:tc>
                <w:tcPr>
                  <w:tcW w:w="859" w:type="dxa"/>
                  <w:noWrap w:val="0"/>
                  <w:vAlign w:val="center"/>
                </w:tcPr>
                <w:p>
                  <w:pPr>
                    <w:autoSpaceDE w:val="0"/>
                    <w:autoSpaceDN w:val="0"/>
                    <w:adjustRightInd w:val="0"/>
                    <w:snapToGrid w:val="0"/>
                    <w:spacing w:line="400" w:lineRule="exact"/>
                    <w:jc w:val="center"/>
                    <w:rPr>
                      <w:rFonts w:hint="eastAsia" w:cs="Times New Roman"/>
                      <w:b/>
                      <w:bCs w:val="0"/>
                      <w:color w:val="auto"/>
                      <w:highlight w:val="none"/>
                      <w:u w:val="single"/>
                      <w:lang w:val="en-US" w:eastAsia="zh-CN"/>
                    </w:rPr>
                  </w:pPr>
                  <w:r>
                    <w:rPr>
                      <w:color w:val="auto"/>
                      <w:sz w:val="21"/>
                      <w:szCs w:val="21"/>
                      <w:lang w:val="zh-CN"/>
                    </w:rPr>
                    <w:t>0.1</w:t>
                  </w:r>
                </w:p>
              </w:tc>
              <w:tc>
                <w:tcPr>
                  <w:tcW w:w="130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cs="Times New Roman"/>
                      <w:b w:val="0"/>
                      <w:bCs/>
                      <w:color w:val="auto"/>
                      <w:highlight w:val="none"/>
                      <w:u w:val="single"/>
                      <w:lang w:val="en-US" w:eastAsia="zh-CN"/>
                    </w:rPr>
                    <w:t>0</w:t>
                  </w:r>
                </w:p>
              </w:tc>
              <w:tc>
                <w:tcPr>
                  <w:tcW w:w="1095" w:type="dxa"/>
                  <w:noWrap w:val="0"/>
                  <w:vAlign w:val="center"/>
                </w:tcPr>
                <w:p>
                  <w:pPr>
                    <w:bidi w:val="0"/>
                    <w:spacing w:line="240" w:lineRule="auto"/>
                    <w:jc w:val="center"/>
                    <w:rPr>
                      <w:rFonts w:hint="eastAsia" w:cs="Times New Roman"/>
                      <w:b w:val="0"/>
                      <w:bCs/>
                      <w:color w:val="auto"/>
                      <w:highlight w:val="none"/>
                      <w:u w:val="single"/>
                      <w:lang w:val="zh-CN" w:eastAsia="zh-CN"/>
                    </w:rPr>
                  </w:pPr>
                  <w:r>
                    <w:rPr>
                      <w:rFonts w:hint="eastAsia" w:cs="Times New Roman"/>
                      <w:b w:val="0"/>
                      <w:bCs/>
                      <w:color w:val="auto"/>
                      <w:highlight w:val="none"/>
                      <w:u w:val="single"/>
                      <w:lang w:val="en-US" w:eastAsia="zh-CN"/>
                    </w:rPr>
                    <w:t>0</w:t>
                  </w:r>
                </w:p>
              </w:tc>
              <w:tc>
                <w:tcPr>
                  <w:tcW w:w="1500" w:type="dxa"/>
                  <w:noWrap w:val="0"/>
                  <w:vAlign w:val="center"/>
                </w:tcPr>
                <w:p>
                  <w:pPr>
                    <w:autoSpaceDE w:val="0"/>
                    <w:autoSpaceDN w:val="0"/>
                    <w:adjustRightInd w:val="0"/>
                    <w:snapToGrid w:val="0"/>
                    <w:spacing w:line="400" w:lineRule="exact"/>
                    <w:jc w:val="center"/>
                    <w:rPr>
                      <w:rFonts w:hint="eastAsia" w:cs="Times New Roman"/>
                      <w:b w:val="0"/>
                      <w:bCs/>
                      <w:color w:val="auto"/>
                      <w:highlight w:val="none"/>
                      <w:u w:val="single"/>
                      <w:lang w:val="zh-CN" w:eastAsia="zh-CN"/>
                    </w:rPr>
                  </w:pPr>
                  <w:r>
                    <w:rPr>
                      <w:color w:val="auto"/>
                      <w:sz w:val="21"/>
                      <w:szCs w:val="21"/>
                      <w:lang w:val="zh-CN"/>
                    </w:rPr>
                    <w:t>0.1</w:t>
                  </w:r>
                </w:p>
              </w:tc>
              <w:tc>
                <w:tcPr>
                  <w:tcW w:w="91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eastAsia" w:cs="Times New Roman"/>
                      <w:b w:val="0"/>
                      <w:bCs/>
                      <w:color w:val="auto"/>
                      <w:highlight w:val="none"/>
                      <w:u w:val="single"/>
                      <w:lang w:val="zh-CN"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eastAsia" w:ascii="Times New Roman" w:hAnsi="Times New Roman" w:eastAsia="宋体" w:cs="Times New Roman"/>
                      <w:b w:val="0"/>
                      <w:bCs/>
                      <w:color w:val="auto"/>
                      <w:highlight w:val="none"/>
                      <w:u w:val="single"/>
                      <w:lang w:val="zh-CN" w:eastAsia="zh-CN"/>
                    </w:rPr>
                  </w:pPr>
                </w:p>
              </w:tc>
              <w:tc>
                <w:tcPr>
                  <w:tcW w:w="1635" w:type="dxa"/>
                  <w:noWrap w:val="0"/>
                  <w:vAlign w:val="center"/>
                </w:tcPr>
                <w:p>
                  <w:pPr>
                    <w:autoSpaceDE w:val="0"/>
                    <w:autoSpaceDN w:val="0"/>
                    <w:adjustRightInd w:val="0"/>
                    <w:snapToGrid w:val="0"/>
                    <w:spacing w:line="400" w:lineRule="exact"/>
                    <w:jc w:val="center"/>
                    <w:rPr>
                      <w:rFonts w:hint="eastAsia" w:ascii="Times New Roman" w:hAnsi="Times New Roman" w:eastAsia="宋体" w:cs="Times New Roman"/>
                      <w:b/>
                      <w:bCs w:val="0"/>
                      <w:color w:val="auto"/>
                      <w:highlight w:val="none"/>
                      <w:u w:val="single"/>
                      <w:lang w:val="zh-CN" w:eastAsia="zh-CN"/>
                    </w:rPr>
                  </w:pPr>
                  <w:r>
                    <w:rPr>
                      <w:rFonts w:hAnsi="宋体"/>
                      <w:color w:val="auto"/>
                      <w:sz w:val="21"/>
                      <w:szCs w:val="21"/>
                      <w:lang w:val="zh-CN"/>
                    </w:rPr>
                    <w:t>埋弧焊丝</w:t>
                  </w:r>
                </w:p>
              </w:tc>
              <w:tc>
                <w:tcPr>
                  <w:tcW w:w="859" w:type="dxa"/>
                  <w:noWrap w:val="0"/>
                  <w:vAlign w:val="center"/>
                </w:tcPr>
                <w:p>
                  <w:pPr>
                    <w:autoSpaceDE w:val="0"/>
                    <w:autoSpaceDN w:val="0"/>
                    <w:adjustRightInd w:val="0"/>
                    <w:snapToGrid w:val="0"/>
                    <w:spacing w:line="400" w:lineRule="exact"/>
                    <w:jc w:val="center"/>
                    <w:rPr>
                      <w:rFonts w:hint="eastAsia" w:cs="Times New Roman"/>
                      <w:b/>
                      <w:bCs w:val="0"/>
                      <w:color w:val="auto"/>
                      <w:highlight w:val="none"/>
                      <w:u w:val="single"/>
                      <w:lang w:val="en-US" w:eastAsia="zh-CN"/>
                    </w:rPr>
                  </w:pPr>
                  <w:r>
                    <w:rPr>
                      <w:color w:val="auto"/>
                      <w:sz w:val="21"/>
                      <w:szCs w:val="21"/>
                      <w:lang w:val="zh-CN"/>
                    </w:rPr>
                    <w:t>0.6</w:t>
                  </w:r>
                </w:p>
              </w:tc>
              <w:tc>
                <w:tcPr>
                  <w:tcW w:w="130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cs="Times New Roman"/>
                      <w:b w:val="0"/>
                      <w:bCs/>
                      <w:color w:val="auto"/>
                      <w:highlight w:val="none"/>
                      <w:u w:val="single"/>
                      <w:lang w:val="en-US" w:eastAsia="zh-CN"/>
                    </w:rPr>
                    <w:t>0</w:t>
                  </w:r>
                </w:p>
              </w:tc>
              <w:tc>
                <w:tcPr>
                  <w:tcW w:w="1095" w:type="dxa"/>
                  <w:noWrap w:val="0"/>
                  <w:vAlign w:val="center"/>
                </w:tcPr>
                <w:p>
                  <w:pPr>
                    <w:bidi w:val="0"/>
                    <w:spacing w:line="240" w:lineRule="auto"/>
                    <w:jc w:val="center"/>
                    <w:rPr>
                      <w:rFonts w:hint="eastAsia" w:cs="Times New Roman"/>
                      <w:b w:val="0"/>
                      <w:bCs/>
                      <w:color w:val="auto"/>
                      <w:highlight w:val="none"/>
                      <w:u w:val="single"/>
                      <w:lang w:val="zh-CN" w:eastAsia="zh-CN"/>
                    </w:rPr>
                  </w:pPr>
                  <w:r>
                    <w:rPr>
                      <w:rFonts w:hint="eastAsia" w:cs="Times New Roman"/>
                      <w:b w:val="0"/>
                      <w:bCs/>
                      <w:color w:val="auto"/>
                      <w:highlight w:val="none"/>
                      <w:u w:val="single"/>
                      <w:lang w:val="en-US" w:eastAsia="zh-CN"/>
                    </w:rPr>
                    <w:t>0</w:t>
                  </w:r>
                </w:p>
              </w:tc>
              <w:tc>
                <w:tcPr>
                  <w:tcW w:w="1500" w:type="dxa"/>
                  <w:noWrap w:val="0"/>
                  <w:vAlign w:val="center"/>
                </w:tcPr>
                <w:p>
                  <w:pPr>
                    <w:autoSpaceDE w:val="0"/>
                    <w:autoSpaceDN w:val="0"/>
                    <w:adjustRightInd w:val="0"/>
                    <w:snapToGrid w:val="0"/>
                    <w:spacing w:line="400" w:lineRule="exact"/>
                    <w:jc w:val="center"/>
                    <w:rPr>
                      <w:rFonts w:hint="eastAsia" w:cs="Times New Roman"/>
                      <w:b w:val="0"/>
                      <w:bCs/>
                      <w:color w:val="auto"/>
                      <w:highlight w:val="none"/>
                      <w:u w:val="single"/>
                      <w:lang w:val="zh-CN" w:eastAsia="zh-CN"/>
                    </w:rPr>
                  </w:pPr>
                  <w:r>
                    <w:rPr>
                      <w:color w:val="auto"/>
                      <w:sz w:val="21"/>
                      <w:szCs w:val="21"/>
                      <w:lang w:val="zh-CN"/>
                    </w:rPr>
                    <w:t>0.6</w:t>
                  </w:r>
                </w:p>
              </w:tc>
              <w:tc>
                <w:tcPr>
                  <w:tcW w:w="91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eastAsia" w:cs="Times New Roman"/>
                      <w:b w:val="0"/>
                      <w:bCs/>
                      <w:color w:val="auto"/>
                      <w:highlight w:val="none"/>
                      <w:u w:val="single"/>
                      <w:lang w:val="zh-CN"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eastAsia" w:ascii="Times New Roman" w:hAnsi="Times New Roman" w:eastAsia="宋体" w:cs="Times New Roman"/>
                      <w:b w:val="0"/>
                      <w:bCs/>
                      <w:color w:val="auto"/>
                      <w:highlight w:val="none"/>
                      <w:u w:val="single"/>
                      <w:lang w:val="zh-CN" w:eastAsia="zh-CN"/>
                    </w:rPr>
                  </w:pPr>
                </w:p>
              </w:tc>
              <w:tc>
                <w:tcPr>
                  <w:tcW w:w="1635" w:type="dxa"/>
                  <w:noWrap w:val="0"/>
                  <w:vAlign w:val="center"/>
                </w:tcPr>
                <w:p>
                  <w:pPr>
                    <w:autoSpaceDE w:val="0"/>
                    <w:autoSpaceDN w:val="0"/>
                    <w:adjustRightInd w:val="0"/>
                    <w:snapToGrid w:val="0"/>
                    <w:spacing w:line="400" w:lineRule="exact"/>
                    <w:jc w:val="center"/>
                    <w:rPr>
                      <w:rFonts w:hint="eastAsia" w:ascii="Times New Roman" w:hAnsi="Times New Roman" w:eastAsia="宋体" w:cs="Times New Roman"/>
                      <w:b/>
                      <w:bCs w:val="0"/>
                      <w:color w:val="auto"/>
                      <w:highlight w:val="none"/>
                      <w:u w:val="single"/>
                      <w:lang w:val="zh-CN" w:eastAsia="zh-CN"/>
                    </w:rPr>
                  </w:pPr>
                  <w:r>
                    <w:rPr>
                      <w:rFonts w:hAnsi="宋体"/>
                      <w:color w:val="auto"/>
                      <w:sz w:val="21"/>
                      <w:szCs w:val="21"/>
                      <w:lang w:val="zh-CN"/>
                    </w:rPr>
                    <w:t>不锈钢焊丝</w:t>
                  </w:r>
                </w:p>
              </w:tc>
              <w:tc>
                <w:tcPr>
                  <w:tcW w:w="859" w:type="dxa"/>
                  <w:noWrap w:val="0"/>
                  <w:vAlign w:val="center"/>
                </w:tcPr>
                <w:p>
                  <w:pPr>
                    <w:autoSpaceDE w:val="0"/>
                    <w:autoSpaceDN w:val="0"/>
                    <w:adjustRightInd w:val="0"/>
                    <w:snapToGrid w:val="0"/>
                    <w:spacing w:line="400" w:lineRule="exact"/>
                    <w:jc w:val="center"/>
                    <w:rPr>
                      <w:rFonts w:hint="eastAsia" w:cs="Times New Roman"/>
                      <w:b/>
                      <w:bCs w:val="0"/>
                      <w:color w:val="auto"/>
                      <w:highlight w:val="none"/>
                      <w:u w:val="single"/>
                      <w:lang w:val="en-US" w:eastAsia="zh-CN"/>
                    </w:rPr>
                  </w:pPr>
                  <w:r>
                    <w:rPr>
                      <w:color w:val="auto"/>
                      <w:sz w:val="21"/>
                      <w:szCs w:val="21"/>
                      <w:lang w:val="zh-CN"/>
                    </w:rPr>
                    <w:t>0.1</w:t>
                  </w:r>
                </w:p>
              </w:tc>
              <w:tc>
                <w:tcPr>
                  <w:tcW w:w="130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cs="Times New Roman"/>
                      <w:b w:val="0"/>
                      <w:bCs/>
                      <w:color w:val="auto"/>
                      <w:highlight w:val="none"/>
                      <w:u w:val="single"/>
                      <w:lang w:val="en-US" w:eastAsia="zh-CN"/>
                    </w:rPr>
                    <w:t>0</w:t>
                  </w:r>
                </w:p>
              </w:tc>
              <w:tc>
                <w:tcPr>
                  <w:tcW w:w="1095" w:type="dxa"/>
                  <w:noWrap w:val="0"/>
                  <w:vAlign w:val="center"/>
                </w:tcPr>
                <w:p>
                  <w:pPr>
                    <w:bidi w:val="0"/>
                    <w:spacing w:line="240" w:lineRule="auto"/>
                    <w:jc w:val="center"/>
                    <w:rPr>
                      <w:rFonts w:hint="eastAsia" w:cs="Times New Roman"/>
                      <w:b w:val="0"/>
                      <w:bCs/>
                      <w:color w:val="auto"/>
                      <w:highlight w:val="none"/>
                      <w:u w:val="single"/>
                      <w:lang w:val="zh-CN" w:eastAsia="zh-CN"/>
                    </w:rPr>
                  </w:pPr>
                  <w:r>
                    <w:rPr>
                      <w:rFonts w:hint="eastAsia" w:cs="Times New Roman"/>
                      <w:b w:val="0"/>
                      <w:bCs/>
                      <w:color w:val="auto"/>
                      <w:highlight w:val="none"/>
                      <w:u w:val="single"/>
                      <w:lang w:val="en-US" w:eastAsia="zh-CN"/>
                    </w:rPr>
                    <w:t>0</w:t>
                  </w:r>
                </w:p>
              </w:tc>
              <w:tc>
                <w:tcPr>
                  <w:tcW w:w="1500" w:type="dxa"/>
                  <w:noWrap w:val="0"/>
                  <w:vAlign w:val="center"/>
                </w:tcPr>
                <w:p>
                  <w:pPr>
                    <w:autoSpaceDE w:val="0"/>
                    <w:autoSpaceDN w:val="0"/>
                    <w:adjustRightInd w:val="0"/>
                    <w:snapToGrid w:val="0"/>
                    <w:spacing w:line="400" w:lineRule="exact"/>
                    <w:jc w:val="center"/>
                    <w:rPr>
                      <w:rFonts w:hint="eastAsia" w:cs="Times New Roman"/>
                      <w:b w:val="0"/>
                      <w:bCs/>
                      <w:color w:val="auto"/>
                      <w:highlight w:val="none"/>
                      <w:u w:val="single"/>
                      <w:lang w:val="zh-CN" w:eastAsia="zh-CN"/>
                    </w:rPr>
                  </w:pPr>
                  <w:r>
                    <w:rPr>
                      <w:color w:val="auto"/>
                      <w:sz w:val="21"/>
                      <w:szCs w:val="21"/>
                      <w:lang w:val="zh-CN"/>
                    </w:rPr>
                    <w:t>0.1</w:t>
                  </w:r>
                </w:p>
              </w:tc>
              <w:tc>
                <w:tcPr>
                  <w:tcW w:w="91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eastAsia" w:cs="Times New Roman"/>
                      <w:b w:val="0"/>
                      <w:bCs/>
                      <w:color w:val="auto"/>
                      <w:highlight w:val="none"/>
                      <w:u w:val="single"/>
                      <w:lang w:val="zh-CN"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eastAsia" w:ascii="Times New Roman" w:hAnsi="Times New Roman" w:eastAsia="宋体" w:cs="Times New Roman"/>
                      <w:b w:val="0"/>
                      <w:bCs/>
                      <w:color w:val="auto"/>
                      <w:highlight w:val="none"/>
                      <w:u w:val="single"/>
                      <w:lang w:val="zh-CN" w:eastAsia="zh-CN"/>
                    </w:rPr>
                  </w:pPr>
                </w:p>
              </w:tc>
              <w:tc>
                <w:tcPr>
                  <w:tcW w:w="1635" w:type="dxa"/>
                  <w:noWrap w:val="0"/>
                  <w:vAlign w:val="center"/>
                </w:tcPr>
                <w:p>
                  <w:pPr>
                    <w:autoSpaceDE w:val="0"/>
                    <w:autoSpaceDN w:val="0"/>
                    <w:adjustRightInd w:val="0"/>
                    <w:snapToGrid w:val="0"/>
                    <w:spacing w:line="400" w:lineRule="exact"/>
                    <w:jc w:val="center"/>
                    <w:rPr>
                      <w:rFonts w:hint="eastAsia" w:ascii="Times New Roman" w:hAnsi="Times New Roman" w:eastAsia="宋体" w:cs="Times New Roman"/>
                      <w:b/>
                      <w:bCs w:val="0"/>
                      <w:color w:val="auto"/>
                      <w:highlight w:val="none"/>
                      <w:u w:val="single"/>
                      <w:lang w:val="zh-CN" w:eastAsia="zh-CN"/>
                    </w:rPr>
                  </w:pPr>
                  <w:r>
                    <w:rPr>
                      <w:rFonts w:hAnsi="宋体"/>
                      <w:color w:val="auto"/>
                      <w:sz w:val="21"/>
                      <w:szCs w:val="21"/>
                      <w:lang w:val="zh-CN"/>
                    </w:rPr>
                    <w:t>铝焊丝</w:t>
                  </w:r>
                </w:p>
              </w:tc>
              <w:tc>
                <w:tcPr>
                  <w:tcW w:w="859" w:type="dxa"/>
                  <w:noWrap w:val="0"/>
                  <w:vAlign w:val="center"/>
                </w:tcPr>
                <w:p>
                  <w:pPr>
                    <w:autoSpaceDE w:val="0"/>
                    <w:autoSpaceDN w:val="0"/>
                    <w:adjustRightInd w:val="0"/>
                    <w:snapToGrid w:val="0"/>
                    <w:spacing w:line="400" w:lineRule="exact"/>
                    <w:jc w:val="center"/>
                    <w:rPr>
                      <w:rFonts w:hint="eastAsia" w:cs="Times New Roman"/>
                      <w:b/>
                      <w:bCs w:val="0"/>
                      <w:color w:val="auto"/>
                      <w:highlight w:val="none"/>
                      <w:u w:val="single"/>
                      <w:lang w:val="en-US" w:eastAsia="zh-CN"/>
                    </w:rPr>
                  </w:pPr>
                  <w:r>
                    <w:rPr>
                      <w:color w:val="auto"/>
                      <w:sz w:val="21"/>
                      <w:szCs w:val="21"/>
                      <w:lang w:val="zh-CN"/>
                    </w:rPr>
                    <w:t>0.1</w:t>
                  </w:r>
                </w:p>
              </w:tc>
              <w:tc>
                <w:tcPr>
                  <w:tcW w:w="130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cs="Times New Roman"/>
                      <w:b w:val="0"/>
                      <w:bCs/>
                      <w:color w:val="auto"/>
                      <w:highlight w:val="none"/>
                      <w:u w:val="single"/>
                      <w:lang w:val="en-US" w:eastAsia="zh-CN"/>
                    </w:rPr>
                    <w:t>0</w:t>
                  </w:r>
                </w:p>
              </w:tc>
              <w:tc>
                <w:tcPr>
                  <w:tcW w:w="1095" w:type="dxa"/>
                  <w:noWrap w:val="0"/>
                  <w:vAlign w:val="center"/>
                </w:tcPr>
                <w:p>
                  <w:pPr>
                    <w:bidi w:val="0"/>
                    <w:spacing w:line="240" w:lineRule="auto"/>
                    <w:jc w:val="center"/>
                    <w:rPr>
                      <w:rFonts w:hint="eastAsia" w:cs="Times New Roman"/>
                      <w:b w:val="0"/>
                      <w:bCs/>
                      <w:color w:val="auto"/>
                      <w:highlight w:val="none"/>
                      <w:u w:val="single"/>
                      <w:lang w:val="zh-CN" w:eastAsia="zh-CN"/>
                    </w:rPr>
                  </w:pPr>
                  <w:r>
                    <w:rPr>
                      <w:rFonts w:hint="eastAsia" w:cs="Times New Roman"/>
                      <w:b w:val="0"/>
                      <w:bCs/>
                      <w:color w:val="auto"/>
                      <w:highlight w:val="none"/>
                      <w:u w:val="single"/>
                      <w:lang w:val="en-US" w:eastAsia="zh-CN"/>
                    </w:rPr>
                    <w:t>0</w:t>
                  </w:r>
                </w:p>
              </w:tc>
              <w:tc>
                <w:tcPr>
                  <w:tcW w:w="1500" w:type="dxa"/>
                  <w:noWrap w:val="0"/>
                  <w:vAlign w:val="center"/>
                </w:tcPr>
                <w:p>
                  <w:pPr>
                    <w:autoSpaceDE w:val="0"/>
                    <w:autoSpaceDN w:val="0"/>
                    <w:adjustRightInd w:val="0"/>
                    <w:snapToGrid w:val="0"/>
                    <w:spacing w:line="400" w:lineRule="exact"/>
                    <w:jc w:val="center"/>
                    <w:rPr>
                      <w:rFonts w:hint="eastAsia" w:cs="Times New Roman"/>
                      <w:b w:val="0"/>
                      <w:bCs/>
                      <w:color w:val="auto"/>
                      <w:highlight w:val="none"/>
                      <w:u w:val="single"/>
                      <w:lang w:val="zh-CN" w:eastAsia="zh-CN"/>
                    </w:rPr>
                  </w:pPr>
                  <w:r>
                    <w:rPr>
                      <w:color w:val="auto"/>
                      <w:sz w:val="21"/>
                      <w:szCs w:val="21"/>
                      <w:lang w:val="zh-CN"/>
                    </w:rPr>
                    <w:t>0.1</w:t>
                  </w:r>
                </w:p>
              </w:tc>
              <w:tc>
                <w:tcPr>
                  <w:tcW w:w="91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eastAsia" w:cs="Times New Roman"/>
                      <w:b w:val="0"/>
                      <w:bCs/>
                      <w:color w:val="auto"/>
                      <w:highlight w:val="none"/>
                      <w:u w:val="single"/>
                      <w:lang w:val="zh-CN"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default" w:ascii="Times New Roman" w:hAnsi="Times New Roman" w:eastAsia="宋体" w:cs="Times New Roman"/>
                      <w:b w:val="0"/>
                      <w:bCs/>
                      <w:color w:val="auto"/>
                      <w:highlight w:val="none"/>
                      <w:u w:val="single"/>
                      <w:lang w:val="en-US" w:eastAsia="zh-CN"/>
                    </w:rPr>
                  </w:pPr>
                </w:p>
              </w:tc>
              <w:tc>
                <w:tcPr>
                  <w:tcW w:w="163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不锈钢焊丝</w:t>
                  </w:r>
                </w:p>
              </w:tc>
              <w:tc>
                <w:tcPr>
                  <w:tcW w:w="859" w:type="dxa"/>
                  <w:noWrap w:val="0"/>
                  <w:vAlign w:val="center"/>
                </w:tcPr>
                <w:p>
                  <w:pPr>
                    <w:pStyle w:val="55"/>
                    <w:bidi w:val="0"/>
                    <w:spacing w:line="240" w:lineRule="auto"/>
                    <w:jc w:val="center"/>
                    <w:rPr>
                      <w:rFonts w:hint="eastAsia" w:cs="Times New Roman"/>
                      <w:b w:val="0"/>
                      <w:bCs/>
                      <w:color w:val="auto"/>
                      <w:highlight w:val="none"/>
                      <w:u w:val="single"/>
                      <w:lang w:val="en-US" w:eastAsia="zh-CN"/>
                    </w:rPr>
                  </w:pPr>
                  <w:r>
                    <w:rPr>
                      <w:rFonts w:hint="default" w:ascii="Times New Roman" w:hAnsi="Times New Roman" w:eastAsia="宋体" w:cs="Times New Roman"/>
                      <w:color w:val="auto"/>
                      <w:highlight w:val="none"/>
                      <w:u w:val="single"/>
                      <w:lang w:val="zh-CN" w:eastAsia="zh-CN"/>
                    </w:rPr>
                    <w:t>0.1</w:t>
                  </w:r>
                </w:p>
              </w:tc>
              <w:tc>
                <w:tcPr>
                  <w:tcW w:w="1305" w:type="dxa"/>
                  <w:noWrap w:val="0"/>
                  <w:vAlign w:val="center"/>
                </w:tcPr>
                <w:p>
                  <w:pPr>
                    <w:pStyle w:val="55"/>
                    <w:bidi w:val="0"/>
                    <w:spacing w:line="240" w:lineRule="auto"/>
                    <w:jc w:val="center"/>
                    <w:rPr>
                      <w:rFonts w:hint="default" w:cs="Times New Roman"/>
                      <w:b w:val="0"/>
                      <w:bCs/>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0.1</w:t>
                  </w:r>
                </w:p>
              </w:tc>
              <w:tc>
                <w:tcPr>
                  <w:tcW w:w="1095" w:type="dxa"/>
                  <w:noWrap w:val="0"/>
                  <w:vAlign w:val="center"/>
                </w:tcPr>
                <w:p>
                  <w:pPr>
                    <w:bidi w:val="0"/>
                    <w:spacing w:line="240" w:lineRule="auto"/>
                    <w:jc w:val="center"/>
                    <w:rPr>
                      <w:rFonts w:hint="default" w:cs="Times New Roman"/>
                      <w:b w:val="0"/>
                      <w:bCs/>
                      <w:color w:val="auto"/>
                      <w:highlight w:val="none"/>
                      <w:u w:val="single"/>
                      <w:lang w:val="en-US" w:eastAsia="zh-CN"/>
                    </w:rPr>
                  </w:pPr>
                  <w:r>
                    <w:rPr>
                      <w:rFonts w:hint="eastAsia" w:cs="Times New Roman"/>
                      <w:color w:val="auto"/>
                      <w:highlight w:val="none"/>
                      <w:u w:val="single"/>
                      <w:lang w:val="en-US" w:eastAsia="zh-CN"/>
                    </w:rPr>
                    <w:t>0</w:t>
                  </w:r>
                </w:p>
              </w:tc>
              <w:tc>
                <w:tcPr>
                  <w:tcW w:w="1500" w:type="dxa"/>
                  <w:noWrap w:val="0"/>
                  <w:vAlign w:val="center"/>
                </w:tcPr>
                <w:p>
                  <w:pPr>
                    <w:pStyle w:val="55"/>
                    <w:bidi w:val="0"/>
                    <w:spacing w:line="240" w:lineRule="auto"/>
                    <w:jc w:val="center"/>
                    <w:rPr>
                      <w:rFonts w:hint="eastAsia"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en-US" w:eastAsia="zh-CN"/>
                    </w:rPr>
                    <w:t>0.1</w:t>
                  </w:r>
                </w:p>
              </w:tc>
              <w:tc>
                <w:tcPr>
                  <w:tcW w:w="915" w:type="dxa"/>
                  <w:noWrap w:val="0"/>
                  <w:vAlign w:val="center"/>
                </w:tcPr>
                <w:p>
                  <w:pPr>
                    <w:pStyle w:val="55"/>
                    <w:bidi w:val="0"/>
                    <w:spacing w:line="240" w:lineRule="auto"/>
                    <w:jc w:val="center"/>
                    <w:rPr>
                      <w:rFonts w:hint="eastAsia" w:ascii="Times New Roman" w:hAnsi="Times New Roman" w:eastAsia="宋体" w:cs="Times New Roman"/>
                      <w:b w:val="0"/>
                      <w:bCs/>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default" w:ascii="Times New Roman" w:hAnsi="Times New Roman" w:eastAsia="宋体" w:cs="Times New Roman"/>
                      <w:b w:val="0"/>
                      <w:bCs/>
                      <w:color w:val="auto"/>
                      <w:highlight w:val="none"/>
                      <w:u w:val="single"/>
                      <w:lang w:val="en-US" w:eastAsia="zh-CN"/>
                    </w:rPr>
                  </w:pPr>
                </w:p>
              </w:tc>
              <w:tc>
                <w:tcPr>
                  <w:tcW w:w="163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药芯焊丝</w:t>
                  </w:r>
                </w:p>
              </w:tc>
              <w:tc>
                <w:tcPr>
                  <w:tcW w:w="859"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cs="Times New Roman"/>
                      <w:color w:val="auto"/>
                      <w:highlight w:val="none"/>
                      <w:u w:val="single"/>
                      <w:lang w:val="en-US" w:eastAsia="zh-CN"/>
                    </w:rPr>
                    <w:t>0</w:t>
                  </w:r>
                </w:p>
              </w:tc>
              <w:tc>
                <w:tcPr>
                  <w:tcW w:w="130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3</w:t>
                  </w:r>
                </w:p>
              </w:tc>
              <w:tc>
                <w:tcPr>
                  <w:tcW w:w="1095"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+3</w:t>
                  </w:r>
                </w:p>
              </w:tc>
              <w:tc>
                <w:tcPr>
                  <w:tcW w:w="1500"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3</w:t>
                  </w:r>
                </w:p>
              </w:tc>
              <w:tc>
                <w:tcPr>
                  <w:tcW w:w="91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default" w:ascii="Times New Roman" w:hAnsi="Times New Roman" w:eastAsia="宋体" w:cs="Times New Roman"/>
                      <w:b w:val="0"/>
                      <w:bCs/>
                      <w:color w:val="auto"/>
                      <w:highlight w:val="none"/>
                      <w:u w:val="single"/>
                      <w:lang w:val="en-US" w:eastAsia="zh-CN"/>
                    </w:rPr>
                  </w:pPr>
                </w:p>
              </w:tc>
              <w:tc>
                <w:tcPr>
                  <w:tcW w:w="163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特种电焊条</w:t>
                  </w:r>
                </w:p>
              </w:tc>
              <w:tc>
                <w:tcPr>
                  <w:tcW w:w="859"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0</w:t>
                  </w:r>
                </w:p>
              </w:tc>
              <w:tc>
                <w:tcPr>
                  <w:tcW w:w="130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zh-CN" w:eastAsia="zh-CN"/>
                    </w:rPr>
                    <w:t>0.</w:t>
                  </w:r>
                  <w:r>
                    <w:rPr>
                      <w:rFonts w:hint="eastAsia" w:cs="Times New Roman"/>
                      <w:color w:val="auto"/>
                      <w:highlight w:val="none"/>
                      <w:u w:val="single"/>
                      <w:lang w:val="en-US" w:eastAsia="zh-CN"/>
                    </w:rPr>
                    <w:t>5</w:t>
                  </w:r>
                </w:p>
              </w:tc>
              <w:tc>
                <w:tcPr>
                  <w:tcW w:w="1095"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+0.5</w:t>
                  </w:r>
                </w:p>
              </w:tc>
              <w:tc>
                <w:tcPr>
                  <w:tcW w:w="1500"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zh-CN" w:eastAsia="zh-CN"/>
                    </w:rPr>
                    <w:t>0.</w:t>
                  </w:r>
                  <w:r>
                    <w:rPr>
                      <w:rFonts w:hint="eastAsia" w:cs="Times New Roman"/>
                      <w:color w:val="auto"/>
                      <w:highlight w:val="none"/>
                      <w:u w:val="single"/>
                      <w:lang w:val="en-US" w:eastAsia="zh-CN"/>
                    </w:rPr>
                    <w:t>5</w:t>
                  </w:r>
                </w:p>
              </w:tc>
              <w:tc>
                <w:tcPr>
                  <w:tcW w:w="91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noWrap w:val="0"/>
                  <w:vAlign w:val="center"/>
                </w:tcPr>
                <w:p>
                  <w:pPr>
                    <w:pStyle w:val="55"/>
                    <w:numPr>
                      <w:ilvl w:val="0"/>
                      <w:numId w:val="8"/>
                    </w:numPr>
                    <w:bidi w:val="0"/>
                    <w:spacing w:line="240" w:lineRule="auto"/>
                    <w:ind w:left="0" w:leftChars="0" w:firstLine="0" w:firstLineChars="0"/>
                    <w:jc w:val="center"/>
                    <w:rPr>
                      <w:rFonts w:hint="default" w:cs="Times New Roman"/>
                      <w:b w:val="0"/>
                      <w:bCs/>
                      <w:color w:val="auto"/>
                      <w:highlight w:val="none"/>
                      <w:u w:val="single"/>
                      <w:lang w:val="en-US" w:eastAsia="zh-CN"/>
                    </w:rPr>
                  </w:pPr>
                </w:p>
              </w:tc>
              <w:tc>
                <w:tcPr>
                  <w:tcW w:w="163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cs="Times New Roman"/>
                      <w:color w:val="auto"/>
                      <w:highlight w:val="none"/>
                      <w:u w:val="single"/>
                      <w:lang w:val="zh-CN" w:eastAsia="zh-CN"/>
                    </w:rPr>
                    <w:t>塑料盘</w:t>
                  </w:r>
                </w:p>
              </w:tc>
              <w:tc>
                <w:tcPr>
                  <w:tcW w:w="859"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0</w:t>
                  </w:r>
                </w:p>
              </w:tc>
              <w:tc>
                <w:tcPr>
                  <w:tcW w:w="1305"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0.3</w:t>
                  </w:r>
                </w:p>
              </w:tc>
              <w:tc>
                <w:tcPr>
                  <w:tcW w:w="1095" w:type="dxa"/>
                  <w:noWrap w:val="0"/>
                  <w:vAlign w:val="center"/>
                </w:tcPr>
                <w:p>
                  <w:pPr>
                    <w:pStyle w:val="55"/>
                    <w:bidi w:val="0"/>
                    <w:spacing w:line="240" w:lineRule="auto"/>
                    <w:jc w:val="center"/>
                    <w:rPr>
                      <w:rFonts w:hint="default" w:cs="Times New Roman"/>
                      <w:color w:val="auto"/>
                      <w:highlight w:val="none"/>
                      <w:u w:val="single"/>
                      <w:lang w:val="en-US" w:eastAsia="zh-CN"/>
                    </w:rPr>
                  </w:pPr>
                  <w:r>
                    <w:rPr>
                      <w:rFonts w:hint="eastAsia" w:cs="Times New Roman"/>
                      <w:color w:val="auto"/>
                      <w:highlight w:val="none"/>
                      <w:u w:val="single"/>
                      <w:lang w:val="en-US" w:eastAsia="zh-CN"/>
                    </w:rPr>
                    <w:t>+0.3</w:t>
                  </w:r>
                </w:p>
              </w:tc>
              <w:tc>
                <w:tcPr>
                  <w:tcW w:w="1500" w:type="dxa"/>
                  <w:noWrap w:val="0"/>
                  <w:vAlign w:val="center"/>
                </w:tcPr>
                <w:p>
                  <w:pPr>
                    <w:pStyle w:val="55"/>
                    <w:bidi w:val="0"/>
                    <w:spacing w:line="240" w:lineRule="auto"/>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0.3</w:t>
                  </w:r>
                </w:p>
              </w:tc>
              <w:tc>
                <w:tcPr>
                  <w:tcW w:w="915"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ascii="Times New Roman" w:hAnsi="Times New Roman" w:eastAsia="宋体" w:cs="Times New Roman"/>
                      <w:color w:val="auto"/>
                      <w:highlight w:val="none"/>
                      <w:u w:val="single"/>
                      <w:lang w:val="zh-CN" w:eastAsia="zh-CN"/>
                    </w:rPr>
                    <w:t>万t/a</w:t>
                  </w:r>
                </w:p>
              </w:tc>
              <w:tc>
                <w:tcPr>
                  <w:tcW w:w="1066" w:type="dxa"/>
                  <w:noWrap w:val="0"/>
                  <w:vAlign w:val="center"/>
                </w:tcPr>
                <w:p>
                  <w:pPr>
                    <w:pStyle w:val="55"/>
                    <w:bidi w:val="0"/>
                    <w:spacing w:line="240" w:lineRule="auto"/>
                    <w:jc w:val="center"/>
                    <w:rPr>
                      <w:rFonts w:hint="eastAsia" w:ascii="Times New Roman" w:hAnsi="Times New Roman" w:eastAsia="宋体" w:cs="Times New Roman"/>
                      <w:color w:val="auto"/>
                      <w:highlight w:val="none"/>
                      <w:u w:val="single"/>
                      <w:lang w:val="zh-CN" w:eastAsia="zh-CN"/>
                    </w:rPr>
                  </w:pPr>
                  <w:r>
                    <w:rPr>
                      <w:rFonts w:hint="eastAsia" w:cs="Times New Roman"/>
                      <w:color w:val="auto"/>
                      <w:highlight w:val="none"/>
                      <w:u w:val="single"/>
                      <w:lang w:val="zh-CN" w:eastAsia="zh-CN"/>
                    </w:rPr>
                    <w:t>自用</w:t>
                  </w:r>
                </w:p>
              </w:tc>
            </w:tr>
          </w:tbl>
          <w:p>
            <w:pPr>
              <w:pStyle w:val="56"/>
              <w:bidi w:val="0"/>
              <w:spacing w:line="240" w:lineRule="auto"/>
              <w:ind w:firstLine="0" w:firstLineChars="0"/>
              <w:jc w:val="center"/>
              <w:rPr>
                <w:rFonts w:hint="eastAsia" w:eastAsia="宋体" w:cs="宋体"/>
                <w:b w:val="0"/>
                <w:bCs w:val="0"/>
                <w:color w:val="auto"/>
                <w:sz w:val="24"/>
                <w:szCs w:val="24"/>
                <w:highlight w:val="none"/>
                <w:u w:val="none"/>
                <w:lang w:val="en-US" w:eastAsia="zh-CN"/>
              </w:rPr>
            </w:pPr>
            <w:r>
              <w:rPr>
                <w:rFonts w:hAnsi="宋体"/>
                <w:b/>
                <w:color w:val="auto"/>
                <w:sz w:val="24"/>
                <w:szCs w:val="24"/>
              </w:rPr>
              <w:t>表</w:t>
            </w:r>
            <w:r>
              <w:rPr>
                <w:rFonts w:hint="eastAsia"/>
                <w:b/>
                <w:color w:val="auto"/>
                <w:sz w:val="24"/>
                <w:szCs w:val="24"/>
                <w:lang w:val="en-US" w:eastAsia="zh-CN"/>
              </w:rPr>
              <w:t>2.3-2本次</w:t>
            </w:r>
            <w:r>
              <w:rPr>
                <w:rFonts w:hint="eastAsia" w:hAnsi="宋体"/>
                <w:b/>
                <w:color w:val="auto"/>
                <w:sz w:val="24"/>
                <w:szCs w:val="24"/>
                <w:lang w:eastAsia="zh-CN"/>
              </w:rPr>
              <w:t>改扩建</w:t>
            </w:r>
            <w:r>
              <w:rPr>
                <w:rFonts w:hAnsi="宋体"/>
                <w:b/>
                <w:color w:val="auto"/>
                <w:sz w:val="24"/>
                <w:szCs w:val="24"/>
              </w:rPr>
              <w:t>主要产品</w:t>
            </w:r>
            <w:r>
              <w:rPr>
                <w:rFonts w:hint="eastAsia" w:hAnsi="宋体"/>
                <w:b/>
                <w:color w:val="auto"/>
                <w:sz w:val="24"/>
                <w:szCs w:val="24"/>
                <w:lang w:eastAsia="zh-CN"/>
              </w:rPr>
              <w:t>规格一览表</w:t>
            </w:r>
          </w:p>
          <w:tbl>
            <w:tblPr>
              <w:tblStyle w:val="29"/>
              <w:tblW w:w="9391"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096"/>
              <w:gridCol w:w="2010"/>
              <w:gridCol w:w="976"/>
              <w:gridCol w:w="1425"/>
              <w:gridCol w:w="879"/>
              <w:gridCol w:w="777"/>
              <w:gridCol w:w="777"/>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noWrap w:val="0"/>
                  <w:vAlign w:val="center"/>
                </w:tcPr>
                <w:p>
                  <w:pPr>
                    <w:pStyle w:val="55"/>
                    <w:bidi w:val="0"/>
                    <w:spacing w:line="240" w:lineRule="auto"/>
                    <w:jc w:val="center"/>
                    <w:rPr>
                      <w:rFonts w:hint="eastAsia" w:ascii="Times New Roman" w:hAnsi="Times New Roman" w:eastAsia="宋体" w:cs="Times New Roman"/>
                      <w:b/>
                      <w:bCs w:val="0"/>
                      <w:color w:val="auto"/>
                      <w:u w:val="none"/>
                      <w:lang w:val="zh-CN" w:eastAsia="zh-CN"/>
                    </w:rPr>
                  </w:pPr>
                  <w:r>
                    <w:rPr>
                      <w:rFonts w:hint="eastAsia" w:ascii="Times New Roman" w:hAnsi="Times New Roman" w:eastAsia="宋体" w:cs="Times New Roman"/>
                      <w:b/>
                      <w:bCs w:val="0"/>
                      <w:color w:val="auto"/>
                      <w:u w:val="none"/>
                      <w:lang w:val="zh-CN" w:eastAsia="zh-CN"/>
                    </w:rPr>
                    <w:t>序号</w:t>
                  </w:r>
                </w:p>
              </w:tc>
              <w:tc>
                <w:tcPr>
                  <w:tcW w:w="1096" w:type="dxa"/>
                  <w:noWrap w:val="0"/>
                  <w:vAlign w:val="center"/>
                </w:tcPr>
                <w:p>
                  <w:pPr>
                    <w:pStyle w:val="55"/>
                    <w:bidi w:val="0"/>
                    <w:spacing w:line="240" w:lineRule="auto"/>
                    <w:jc w:val="center"/>
                    <w:rPr>
                      <w:rFonts w:hint="eastAsia" w:ascii="Times New Roman" w:hAnsi="Times New Roman" w:eastAsia="宋体" w:cs="Times New Roman"/>
                      <w:b/>
                      <w:bCs w:val="0"/>
                      <w:color w:val="auto"/>
                      <w:u w:val="single"/>
                      <w:lang w:val="zh-CN" w:eastAsia="zh-CN"/>
                    </w:rPr>
                  </w:pPr>
                  <w:r>
                    <w:rPr>
                      <w:rFonts w:hint="eastAsia" w:ascii="Times New Roman" w:hAnsi="Times New Roman" w:eastAsia="宋体" w:cs="Times New Roman"/>
                      <w:b/>
                      <w:bCs w:val="0"/>
                      <w:color w:val="auto"/>
                      <w:u w:val="single"/>
                      <w:lang w:val="zh-CN" w:eastAsia="zh-CN"/>
                    </w:rPr>
                    <w:t>产品品种</w:t>
                  </w:r>
                </w:p>
              </w:tc>
              <w:tc>
                <w:tcPr>
                  <w:tcW w:w="2010" w:type="dxa"/>
                  <w:noWrap w:val="0"/>
                  <w:vAlign w:val="center"/>
                </w:tcPr>
                <w:p>
                  <w:pPr>
                    <w:pStyle w:val="55"/>
                    <w:bidi w:val="0"/>
                    <w:spacing w:line="240" w:lineRule="auto"/>
                    <w:jc w:val="center"/>
                    <w:rPr>
                      <w:rFonts w:hint="eastAsia" w:cs="Times New Roman"/>
                      <w:b/>
                      <w:bCs w:val="0"/>
                      <w:color w:val="auto"/>
                      <w:u w:val="none"/>
                      <w:lang w:val="zh-CN" w:eastAsia="zh-CN"/>
                    </w:rPr>
                  </w:pPr>
                  <w:r>
                    <w:rPr>
                      <w:rFonts w:hint="eastAsia" w:cs="Times New Roman"/>
                      <w:b/>
                      <w:bCs w:val="0"/>
                      <w:color w:val="auto"/>
                      <w:u w:val="none"/>
                      <w:lang w:val="zh-CN" w:eastAsia="zh-CN"/>
                    </w:rPr>
                    <w:t>品种</w:t>
                  </w:r>
                </w:p>
              </w:tc>
              <w:tc>
                <w:tcPr>
                  <w:tcW w:w="976" w:type="dxa"/>
                  <w:noWrap w:val="0"/>
                  <w:vAlign w:val="center"/>
                </w:tcPr>
                <w:p>
                  <w:pPr>
                    <w:pStyle w:val="55"/>
                    <w:bidi w:val="0"/>
                    <w:spacing w:line="240" w:lineRule="auto"/>
                    <w:jc w:val="center"/>
                    <w:rPr>
                      <w:rFonts w:hint="eastAsia" w:cs="Times New Roman"/>
                      <w:b/>
                      <w:bCs w:val="0"/>
                      <w:color w:val="auto"/>
                      <w:u w:val="none"/>
                      <w:lang w:val="en-US" w:eastAsia="zh-CN"/>
                    </w:rPr>
                  </w:pPr>
                  <w:r>
                    <w:rPr>
                      <w:rFonts w:hint="eastAsia" w:cs="Times New Roman"/>
                      <w:b/>
                      <w:bCs w:val="0"/>
                      <w:color w:val="auto"/>
                      <w:u w:val="none"/>
                      <w:lang w:val="zh-CN" w:eastAsia="zh-CN"/>
                    </w:rPr>
                    <w:t>规格</w:t>
                  </w:r>
                </w:p>
              </w:tc>
              <w:tc>
                <w:tcPr>
                  <w:tcW w:w="1425" w:type="dxa"/>
                  <w:noWrap w:val="0"/>
                  <w:vAlign w:val="center"/>
                </w:tcPr>
                <w:p>
                  <w:pPr>
                    <w:pStyle w:val="55"/>
                    <w:bidi w:val="0"/>
                    <w:spacing w:line="240" w:lineRule="auto"/>
                    <w:jc w:val="center"/>
                    <w:rPr>
                      <w:rFonts w:hint="eastAsia" w:cs="Times New Roman"/>
                      <w:b/>
                      <w:bCs w:val="0"/>
                      <w:color w:val="auto"/>
                      <w:u w:val="none"/>
                      <w:lang w:val="en-US" w:eastAsia="zh-CN"/>
                    </w:rPr>
                  </w:pPr>
                  <w:r>
                    <w:rPr>
                      <w:rFonts w:hint="eastAsia" w:cs="Times New Roman"/>
                      <w:b/>
                      <w:bCs w:val="0"/>
                      <w:color w:val="auto"/>
                      <w:u w:val="none"/>
                      <w:lang w:val="en-US" w:eastAsia="zh-CN"/>
                    </w:rPr>
                    <w:t>包装规格</w:t>
                  </w:r>
                </w:p>
              </w:tc>
              <w:tc>
                <w:tcPr>
                  <w:tcW w:w="879" w:type="dxa"/>
                  <w:noWrap w:val="0"/>
                  <w:vAlign w:val="center"/>
                </w:tcPr>
                <w:p>
                  <w:pPr>
                    <w:pStyle w:val="55"/>
                    <w:bidi w:val="0"/>
                    <w:spacing w:line="240" w:lineRule="auto"/>
                    <w:jc w:val="center"/>
                    <w:rPr>
                      <w:rFonts w:hint="eastAsia" w:cs="Times New Roman"/>
                      <w:b/>
                      <w:bCs w:val="0"/>
                      <w:color w:val="auto"/>
                      <w:u w:val="none"/>
                      <w:lang w:val="zh-CN" w:eastAsia="zh-CN"/>
                    </w:rPr>
                  </w:pPr>
                  <w:r>
                    <w:rPr>
                      <w:rFonts w:hint="eastAsia" w:cs="Times New Roman"/>
                      <w:b/>
                      <w:bCs w:val="0"/>
                      <w:color w:val="auto"/>
                      <w:u w:val="none"/>
                      <w:lang w:val="zh-CN" w:eastAsia="zh-CN"/>
                    </w:rPr>
                    <w:t>最大储存量</w:t>
                  </w:r>
                </w:p>
              </w:tc>
              <w:tc>
                <w:tcPr>
                  <w:tcW w:w="777" w:type="dxa"/>
                  <w:noWrap w:val="0"/>
                  <w:vAlign w:val="center"/>
                </w:tcPr>
                <w:p>
                  <w:pPr>
                    <w:pStyle w:val="55"/>
                    <w:bidi w:val="0"/>
                    <w:spacing w:line="240" w:lineRule="auto"/>
                    <w:jc w:val="center"/>
                    <w:rPr>
                      <w:rFonts w:hint="eastAsia" w:ascii="Times New Roman" w:hAnsi="Times New Roman" w:eastAsia="宋体" w:cs="Times New Roman"/>
                      <w:b/>
                      <w:bCs w:val="0"/>
                      <w:color w:val="auto"/>
                      <w:u w:val="single"/>
                      <w:lang w:val="zh-CN" w:eastAsia="zh-CN"/>
                    </w:rPr>
                  </w:pPr>
                  <w:r>
                    <w:rPr>
                      <w:rFonts w:hint="eastAsia" w:cs="Times New Roman"/>
                      <w:b/>
                      <w:bCs w:val="0"/>
                      <w:color w:val="auto"/>
                      <w:u w:val="single"/>
                      <w:lang w:val="zh-CN" w:eastAsia="zh-CN"/>
                    </w:rPr>
                    <w:t>产品规模</w:t>
                  </w:r>
                </w:p>
              </w:tc>
              <w:tc>
                <w:tcPr>
                  <w:tcW w:w="777" w:type="dxa"/>
                  <w:noWrap w:val="0"/>
                  <w:vAlign w:val="center"/>
                </w:tcPr>
                <w:p>
                  <w:pPr>
                    <w:pStyle w:val="55"/>
                    <w:bidi w:val="0"/>
                    <w:spacing w:line="240" w:lineRule="auto"/>
                    <w:jc w:val="center"/>
                    <w:rPr>
                      <w:rFonts w:hint="eastAsia" w:ascii="Times New Roman" w:hAnsi="Times New Roman" w:eastAsia="宋体" w:cs="Times New Roman"/>
                      <w:b/>
                      <w:bCs w:val="0"/>
                      <w:color w:val="auto"/>
                      <w:u w:val="none"/>
                      <w:lang w:val="zh-CN" w:eastAsia="zh-CN"/>
                    </w:rPr>
                  </w:pPr>
                  <w:r>
                    <w:rPr>
                      <w:rFonts w:hint="eastAsia" w:ascii="Times New Roman" w:hAnsi="Times New Roman" w:eastAsia="宋体" w:cs="Times New Roman"/>
                      <w:b/>
                      <w:bCs w:val="0"/>
                      <w:color w:val="auto"/>
                      <w:u w:val="none"/>
                      <w:lang w:val="zh-CN" w:eastAsia="zh-CN"/>
                    </w:rPr>
                    <w:t>单位</w:t>
                  </w:r>
                </w:p>
              </w:tc>
              <w:tc>
                <w:tcPr>
                  <w:tcW w:w="940" w:type="dxa"/>
                  <w:noWrap w:val="0"/>
                  <w:vAlign w:val="center"/>
                </w:tcPr>
                <w:p>
                  <w:pPr>
                    <w:pStyle w:val="55"/>
                    <w:bidi w:val="0"/>
                    <w:spacing w:line="240" w:lineRule="auto"/>
                    <w:jc w:val="center"/>
                    <w:rPr>
                      <w:rFonts w:hint="eastAsia" w:ascii="Times New Roman" w:hAnsi="Times New Roman" w:eastAsia="宋体" w:cs="Times New Roman"/>
                      <w:b/>
                      <w:bCs w:val="0"/>
                      <w:color w:val="auto"/>
                      <w:u w:val="none"/>
                      <w:lang w:val="zh-CN" w:eastAsia="zh-CN"/>
                    </w:rPr>
                  </w:pPr>
                  <w:r>
                    <w:rPr>
                      <w:rFonts w:hint="eastAsia" w:ascii="Times New Roman" w:hAnsi="Times New Roman" w:eastAsia="宋体" w:cs="Times New Roman"/>
                      <w:b/>
                      <w:bCs w:val="0"/>
                      <w:color w:val="auto"/>
                      <w:u w:val="none"/>
                      <w:lang w:val="zh-CN"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noWrap w:val="0"/>
                  <w:vAlign w:val="center"/>
                </w:tcPr>
                <w:p>
                  <w:pPr>
                    <w:pStyle w:val="55"/>
                    <w:bidi w:val="0"/>
                    <w:spacing w:line="240" w:lineRule="auto"/>
                    <w:jc w:val="center"/>
                    <w:rPr>
                      <w:rFonts w:hint="default" w:ascii="Times New Roman" w:hAnsi="Times New Roman" w:eastAsia="宋体" w:cs="Times New Roman"/>
                      <w:b w:val="0"/>
                      <w:bCs/>
                      <w:color w:val="auto"/>
                      <w:u w:val="none"/>
                      <w:lang w:val="en-US" w:eastAsia="zh-CN"/>
                    </w:rPr>
                  </w:pPr>
                  <w:r>
                    <w:rPr>
                      <w:rFonts w:hint="eastAsia" w:cs="Times New Roman"/>
                      <w:b w:val="0"/>
                      <w:bCs/>
                      <w:color w:val="auto"/>
                      <w:u w:val="none"/>
                      <w:lang w:val="en-US" w:eastAsia="zh-CN"/>
                    </w:rPr>
                    <w:t>1</w:t>
                  </w:r>
                </w:p>
              </w:tc>
              <w:tc>
                <w:tcPr>
                  <w:tcW w:w="1096" w:type="dxa"/>
                  <w:noWrap w:val="0"/>
                  <w:vAlign w:val="center"/>
                </w:tcPr>
                <w:p>
                  <w:pPr>
                    <w:pStyle w:val="55"/>
                    <w:bidi w:val="0"/>
                    <w:spacing w:line="240" w:lineRule="auto"/>
                    <w:jc w:val="center"/>
                    <w:rPr>
                      <w:rFonts w:hint="eastAsia" w:ascii="Times New Roman" w:hAnsi="Times New Roman" w:eastAsia="宋体" w:cs="Times New Roman"/>
                      <w:b w:val="0"/>
                      <w:bCs/>
                      <w:color w:val="auto"/>
                      <w:u w:val="single"/>
                      <w:lang w:val="zh-CN" w:eastAsia="zh-CN"/>
                    </w:rPr>
                  </w:pPr>
                  <w:r>
                    <w:rPr>
                      <w:rFonts w:hint="eastAsia" w:ascii="Times New Roman" w:hAnsi="Times New Roman" w:eastAsia="宋体" w:cs="Times New Roman"/>
                      <w:color w:val="auto"/>
                      <w:u w:val="single"/>
                      <w:lang w:val="zh-CN" w:eastAsia="zh-CN"/>
                    </w:rPr>
                    <w:t>不锈钢焊丝</w:t>
                  </w:r>
                </w:p>
              </w:tc>
              <w:tc>
                <w:tcPr>
                  <w:tcW w:w="2010" w:type="dxa"/>
                  <w:noWrap w:val="0"/>
                  <w:vAlign w:val="center"/>
                </w:tcPr>
                <w:p>
                  <w:pPr>
                    <w:pStyle w:val="55"/>
                    <w:bidi w:val="0"/>
                    <w:spacing w:line="240" w:lineRule="auto"/>
                    <w:jc w:val="center"/>
                    <w:rPr>
                      <w:rFonts w:hint="default" w:cs="Times New Roman"/>
                      <w:b w:val="0"/>
                      <w:bCs/>
                      <w:color w:val="auto"/>
                      <w:u w:val="none"/>
                      <w:lang w:val="en-US" w:eastAsia="zh-CN"/>
                    </w:rPr>
                  </w:pPr>
                  <w:r>
                    <w:rPr>
                      <w:rFonts w:hint="eastAsia" w:ascii="Times New Roman" w:hAnsi="Times New Roman" w:cs="Times New Roman"/>
                      <w:color w:val="auto"/>
                      <w:szCs w:val="21"/>
                      <w:highlight w:val="none"/>
                      <w:lang w:val="en-US" w:eastAsia="zh-CN"/>
                    </w:rPr>
                    <w:t>ER304、ER308、ER309、ER310、</w:t>
                  </w:r>
                  <w:r>
                    <w:rPr>
                      <w:rFonts w:hint="eastAsia" w:cs="Times New Roman"/>
                      <w:color w:val="auto"/>
                      <w:u w:val="none"/>
                      <w:lang w:val="en-US" w:eastAsia="zh-CN"/>
                    </w:rPr>
                    <w:t>ER2209</w:t>
                  </w:r>
                  <w:r>
                    <w:rPr>
                      <w:rFonts w:hint="eastAsia" w:ascii="Times New Roman" w:hAnsi="Times New Roman" w:cs="Times New Roman"/>
                      <w:color w:val="auto"/>
                      <w:szCs w:val="21"/>
                      <w:highlight w:val="none"/>
                      <w:lang w:val="en-US" w:eastAsia="zh-CN"/>
                    </w:rPr>
                    <w:t>等</w:t>
                  </w:r>
                </w:p>
              </w:tc>
              <w:tc>
                <w:tcPr>
                  <w:tcW w:w="976" w:type="dxa"/>
                  <w:noWrap w:val="0"/>
                  <w:vAlign w:val="center"/>
                </w:tcPr>
                <w:p>
                  <w:pPr>
                    <w:pStyle w:val="55"/>
                    <w:bidi w:val="0"/>
                    <w:spacing w:line="240" w:lineRule="auto"/>
                    <w:jc w:val="center"/>
                    <w:rPr>
                      <w:rFonts w:hint="default" w:cs="Times New Roman"/>
                      <w:b w:val="0"/>
                      <w:bCs/>
                      <w:color w:val="auto"/>
                      <w:u w:val="none"/>
                      <w:lang w:val="en-US" w:eastAsia="zh-CN"/>
                    </w:rPr>
                  </w:pPr>
                  <w:r>
                    <w:rPr>
                      <w:rFonts w:hint="default" w:ascii="Times New Roman" w:hAnsi="Times New Roman" w:cs="Times New Roman"/>
                      <w:color w:val="auto"/>
                      <w:szCs w:val="21"/>
                      <w:highlight w:val="none"/>
                      <w:lang w:eastAsia="zh-CN"/>
                    </w:rPr>
                    <w:t>φ</w:t>
                  </w:r>
                  <w:r>
                    <w:rPr>
                      <w:rFonts w:hint="default" w:ascii="Times New Roman" w:hAnsi="Times New Roman" w:cs="Times New Roman"/>
                      <w:color w:val="auto"/>
                      <w:szCs w:val="21"/>
                      <w:highlight w:val="none"/>
                    </w:rPr>
                    <w:t>0.8</w:t>
                  </w:r>
                  <w:r>
                    <w:rPr>
                      <w:rFonts w:hint="eastAsia" w:cs="Times New Roman"/>
                      <w:color w:val="auto"/>
                      <w:szCs w:val="21"/>
                      <w:highlight w:val="none"/>
                      <w:lang w:val="en-US" w:eastAsia="zh-CN"/>
                    </w:rPr>
                    <w:t>mm</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3.2</w:t>
                  </w:r>
                  <w:r>
                    <w:rPr>
                      <w:rFonts w:hint="eastAsia" w:cs="Times New Roman"/>
                      <w:color w:val="auto"/>
                      <w:szCs w:val="21"/>
                      <w:highlight w:val="none"/>
                      <w:lang w:val="en-US" w:eastAsia="zh-CN"/>
                    </w:rPr>
                    <w:t>mm</w:t>
                  </w:r>
                </w:p>
              </w:tc>
              <w:tc>
                <w:tcPr>
                  <w:tcW w:w="1425"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15kg/箱、20kg/箱、300-600kg/卷</w:t>
                  </w:r>
                </w:p>
              </w:tc>
              <w:tc>
                <w:tcPr>
                  <w:tcW w:w="879"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0.05</w:t>
                  </w:r>
                </w:p>
              </w:tc>
              <w:tc>
                <w:tcPr>
                  <w:tcW w:w="777" w:type="dxa"/>
                  <w:noWrap w:val="0"/>
                  <w:vAlign w:val="center"/>
                </w:tcPr>
                <w:p>
                  <w:pPr>
                    <w:pStyle w:val="55"/>
                    <w:bidi w:val="0"/>
                    <w:spacing w:line="240" w:lineRule="auto"/>
                    <w:jc w:val="center"/>
                    <w:rPr>
                      <w:rFonts w:hint="eastAsia" w:cs="Times New Roman"/>
                      <w:b w:val="0"/>
                      <w:bCs/>
                      <w:color w:val="auto"/>
                      <w:u w:val="single"/>
                      <w:lang w:val="zh-CN" w:eastAsia="zh-CN"/>
                    </w:rPr>
                  </w:pPr>
                  <w:r>
                    <w:rPr>
                      <w:rFonts w:hint="eastAsia" w:ascii="Times New Roman" w:hAnsi="Times New Roman" w:eastAsia="宋体" w:cs="Times New Roman"/>
                      <w:color w:val="auto"/>
                      <w:u w:val="single"/>
                      <w:lang w:val="en-US" w:eastAsia="zh-CN"/>
                    </w:rPr>
                    <w:t>0.1</w:t>
                  </w:r>
                </w:p>
              </w:tc>
              <w:tc>
                <w:tcPr>
                  <w:tcW w:w="777" w:type="dxa"/>
                  <w:noWrap w:val="0"/>
                  <w:vAlign w:val="center"/>
                </w:tcPr>
                <w:p>
                  <w:pPr>
                    <w:pStyle w:val="55"/>
                    <w:bidi w:val="0"/>
                    <w:spacing w:line="240" w:lineRule="auto"/>
                    <w:jc w:val="center"/>
                    <w:rPr>
                      <w:rFonts w:hint="eastAsia" w:ascii="Times New Roman" w:hAnsi="Times New Roman" w:eastAsia="宋体" w:cs="Times New Roman"/>
                      <w:b w:val="0"/>
                      <w:bCs/>
                      <w:color w:val="auto"/>
                      <w:u w:val="none"/>
                      <w:lang w:val="zh-CN" w:eastAsia="zh-CN"/>
                    </w:rPr>
                  </w:pPr>
                  <w:r>
                    <w:rPr>
                      <w:rFonts w:hint="eastAsia" w:ascii="Times New Roman" w:hAnsi="Times New Roman" w:eastAsia="宋体" w:cs="Times New Roman"/>
                      <w:color w:val="auto"/>
                      <w:u w:val="none"/>
                      <w:lang w:val="zh-CN" w:eastAsia="zh-CN"/>
                    </w:rPr>
                    <w:t>万t/a</w:t>
                  </w:r>
                </w:p>
              </w:tc>
              <w:tc>
                <w:tcPr>
                  <w:tcW w:w="940" w:type="dxa"/>
                  <w:vMerge w:val="restart"/>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ascii="Times New Roman" w:hAnsi="Times New Roman" w:eastAsia="宋体" w:cs="Times New Roman"/>
                      <w:color w:val="auto"/>
                      <w:u w:val="none"/>
                      <w:lang w:val="zh-CN" w:eastAsia="zh-CN"/>
                    </w:rPr>
                    <w:t>焊丝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1096" w:type="dxa"/>
                  <w:noWrap w:val="0"/>
                  <w:vAlign w:val="center"/>
                </w:tcPr>
                <w:p>
                  <w:pPr>
                    <w:pStyle w:val="55"/>
                    <w:bidi w:val="0"/>
                    <w:spacing w:line="240" w:lineRule="auto"/>
                    <w:jc w:val="center"/>
                    <w:rPr>
                      <w:rFonts w:hint="eastAsia" w:ascii="Times New Roman" w:hAnsi="Times New Roman" w:eastAsia="宋体" w:cs="Times New Roman"/>
                      <w:color w:val="auto"/>
                      <w:u w:val="single"/>
                      <w:lang w:val="zh-CN" w:eastAsia="zh-CN"/>
                    </w:rPr>
                  </w:pPr>
                  <w:r>
                    <w:rPr>
                      <w:rFonts w:hint="eastAsia" w:ascii="Times New Roman" w:hAnsi="Times New Roman" w:eastAsia="宋体" w:cs="Times New Roman"/>
                      <w:color w:val="auto"/>
                      <w:u w:val="single"/>
                      <w:lang w:val="zh-CN" w:eastAsia="zh-CN"/>
                    </w:rPr>
                    <w:t>药芯焊丝</w:t>
                  </w:r>
                </w:p>
              </w:tc>
              <w:tc>
                <w:tcPr>
                  <w:tcW w:w="2010"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E501T-1、E711、E601N、YE308L等</w:t>
                  </w:r>
                </w:p>
              </w:tc>
              <w:tc>
                <w:tcPr>
                  <w:tcW w:w="976"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default" w:ascii="Times New Roman" w:hAnsi="Times New Roman" w:cs="Times New Roman"/>
                      <w:color w:val="auto"/>
                      <w:szCs w:val="21"/>
                      <w:highlight w:val="none"/>
                      <w:lang w:eastAsia="zh-CN"/>
                    </w:rPr>
                    <w:t>φ</w:t>
                  </w:r>
                  <w:r>
                    <w:rPr>
                      <w:rFonts w:hint="default" w:ascii="Times New Roman" w:hAnsi="Times New Roman" w:cs="Times New Roman"/>
                      <w:color w:val="auto"/>
                      <w:szCs w:val="21"/>
                      <w:highlight w:val="none"/>
                    </w:rPr>
                    <w:t>0.8</w:t>
                  </w:r>
                  <w:r>
                    <w:rPr>
                      <w:rFonts w:hint="eastAsia" w:cs="Times New Roman"/>
                      <w:color w:val="auto"/>
                      <w:szCs w:val="21"/>
                      <w:highlight w:val="none"/>
                      <w:lang w:val="en-US" w:eastAsia="zh-CN"/>
                    </w:rPr>
                    <w:t>mm</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1.6</w:t>
                  </w:r>
                  <w:r>
                    <w:rPr>
                      <w:rFonts w:hint="eastAsia" w:cs="Times New Roman"/>
                      <w:color w:val="auto"/>
                      <w:szCs w:val="21"/>
                      <w:highlight w:val="none"/>
                      <w:lang w:val="en-US" w:eastAsia="zh-CN"/>
                    </w:rPr>
                    <w:t>mm</w:t>
                  </w:r>
                </w:p>
              </w:tc>
              <w:tc>
                <w:tcPr>
                  <w:tcW w:w="1425"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cs="Times New Roman"/>
                      <w:color w:val="auto"/>
                      <w:u w:val="none"/>
                      <w:lang w:val="en-US" w:eastAsia="zh-CN"/>
                    </w:rPr>
                    <w:t>15kg/箱</w:t>
                  </w:r>
                </w:p>
              </w:tc>
              <w:tc>
                <w:tcPr>
                  <w:tcW w:w="879" w:type="dxa"/>
                  <w:noWrap w:val="0"/>
                  <w:vAlign w:val="center"/>
                </w:tcPr>
                <w:p>
                  <w:pPr>
                    <w:pStyle w:val="55"/>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0.5</w:t>
                  </w:r>
                </w:p>
              </w:tc>
              <w:tc>
                <w:tcPr>
                  <w:tcW w:w="777" w:type="dxa"/>
                  <w:noWrap w:val="0"/>
                  <w:vAlign w:val="center"/>
                </w:tcPr>
                <w:p>
                  <w:pPr>
                    <w:pStyle w:val="55"/>
                    <w:bidi w:val="0"/>
                    <w:spacing w:line="240" w:lineRule="auto"/>
                    <w:jc w:val="center"/>
                    <w:rPr>
                      <w:rFonts w:hint="eastAsia" w:ascii="Times New Roman" w:hAnsi="Times New Roman" w:eastAsia="宋体" w:cs="Times New Roman"/>
                      <w:color w:val="auto"/>
                      <w:u w:val="single"/>
                      <w:lang w:val="en-US" w:eastAsia="zh-CN"/>
                    </w:rPr>
                  </w:pPr>
                  <w:r>
                    <w:rPr>
                      <w:rFonts w:hint="eastAsia" w:cs="Times New Roman"/>
                      <w:color w:val="auto"/>
                      <w:u w:val="single"/>
                      <w:lang w:val="en-US" w:eastAsia="zh-CN"/>
                    </w:rPr>
                    <w:t>3</w:t>
                  </w:r>
                </w:p>
              </w:tc>
              <w:tc>
                <w:tcPr>
                  <w:tcW w:w="777"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ascii="Times New Roman" w:hAnsi="Times New Roman" w:eastAsia="宋体" w:cs="Times New Roman"/>
                      <w:color w:val="auto"/>
                      <w:u w:val="none"/>
                      <w:lang w:val="zh-CN" w:eastAsia="zh-CN"/>
                    </w:rPr>
                    <w:t>万t/a</w:t>
                  </w:r>
                </w:p>
              </w:tc>
              <w:tc>
                <w:tcPr>
                  <w:tcW w:w="940" w:type="dxa"/>
                  <w:vMerge w:val="continue"/>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w:t>
                  </w:r>
                </w:p>
              </w:tc>
              <w:tc>
                <w:tcPr>
                  <w:tcW w:w="1096" w:type="dxa"/>
                  <w:noWrap w:val="0"/>
                  <w:vAlign w:val="center"/>
                </w:tcPr>
                <w:p>
                  <w:pPr>
                    <w:pStyle w:val="55"/>
                    <w:bidi w:val="0"/>
                    <w:spacing w:line="240" w:lineRule="auto"/>
                    <w:jc w:val="center"/>
                    <w:rPr>
                      <w:rFonts w:hint="eastAsia" w:ascii="Times New Roman" w:hAnsi="Times New Roman" w:eastAsia="宋体" w:cs="Times New Roman"/>
                      <w:color w:val="auto"/>
                      <w:u w:val="single"/>
                      <w:lang w:val="zh-CN" w:eastAsia="zh-CN"/>
                    </w:rPr>
                  </w:pPr>
                  <w:r>
                    <w:rPr>
                      <w:rFonts w:hint="eastAsia" w:ascii="Times New Roman" w:hAnsi="Times New Roman" w:eastAsia="宋体" w:cs="Times New Roman"/>
                      <w:color w:val="auto"/>
                      <w:u w:val="single"/>
                      <w:lang w:val="zh-CN" w:eastAsia="zh-CN"/>
                    </w:rPr>
                    <w:t>特种电焊条</w:t>
                  </w:r>
                </w:p>
              </w:tc>
              <w:tc>
                <w:tcPr>
                  <w:tcW w:w="2010"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J506、J507、A102、A022、E2209等</w:t>
                  </w:r>
                </w:p>
              </w:tc>
              <w:tc>
                <w:tcPr>
                  <w:tcW w:w="976"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szCs w:val="21"/>
                      <w:highlight w:val="none"/>
                      <w:lang w:eastAsia="zh-CN"/>
                    </w:rPr>
                    <w:t>Φ</w:t>
                  </w:r>
                  <w:r>
                    <w:rPr>
                      <w:rFonts w:hint="eastAsia" w:ascii="Times New Roman" w:hAnsi="Times New Roman" w:cs="Times New Roman"/>
                      <w:color w:val="auto"/>
                      <w:szCs w:val="21"/>
                      <w:highlight w:val="none"/>
                      <w:lang w:val="en-US" w:eastAsia="zh-CN"/>
                    </w:rPr>
                    <w:t>2.0</w:t>
                  </w:r>
                  <w:r>
                    <w:rPr>
                      <w:rFonts w:hint="eastAsia" w:cs="Times New Roman"/>
                      <w:color w:val="auto"/>
                      <w:szCs w:val="21"/>
                      <w:highlight w:val="none"/>
                      <w:lang w:val="en-US" w:eastAsia="zh-CN"/>
                    </w:rPr>
                    <w:t>mm</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5.0</w:t>
                  </w:r>
                  <w:r>
                    <w:rPr>
                      <w:rFonts w:hint="eastAsia" w:cs="Times New Roman"/>
                      <w:color w:val="auto"/>
                      <w:szCs w:val="21"/>
                      <w:highlight w:val="none"/>
                      <w:lang w:val="en-US" w:eastAsia="zh-CN"/>
                    </w:rPr>
                    <w:t>mm</w:t>
                  </w:r>
                </w:p>
              </w:tc>
              <w:tc>
                <w:tcPr>
                  <w:tcW w:w="1425"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cs="Times New Roman"/>
                      <w:color w:val="auto"/>
                      <w:u w:val="none"/>
                      <w:lang w:val="en-US" w:eastAsia="zh-CN"/>
                    </w:rPr>
                    <w:t>20kg/箱</w:t>
                  </w:r>
                </w:p>
              </w:tc>
              <w:tc>
                <w:tcPr>
                  <w:tcW w:w="879" w:type="dxa"/>
                  <w:noWrap w:val="0"/>
                  <w:vAlign w:val="center"/>
                </w:tcPr>
                <w:p>
                  <w:pPr>
                    <w:pStyle w:val="55"/>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0.05</w:t>
                  </w:r>
                </w:p>
              </w:tc>
              <w:tc>
                <w:tcPr>
                  <w:tcW w:w="777" w:type="dxa"/>
                  <w:noWrap w:val="0"/>
                  <w:vAlign w:val="center"/>
                </w:tcPr>
                <w:p>
                  <w:pPr>
                    <w:pStyle w:val="55"/>
                    <w:bidi w:val="0"/>
                    <w:spacing w:line="240" w:lineRule="auto"/>
                    <w:jc w:val="center"/>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zh-CN" w:eastAsia="zh-CN"/>
                    </w:rPr>
                    <w:t>0.</w:t>
                  </w:r>
                  <w:r>
                    <w:rPr>
                      <w:rFonts w:hint="eastAsia" w:cs="Times New Roman"/>
                      <w:color w:val="auto"/>
                      <w:u w:val="single"/>
                      <w:lang w:val="en-US" w:eastAsia="zh-CN"/>
                    </w:rPr>
                    <w:t>5</w:t>
                  </w:r>
                </w:p>
              </w:tc>
              <w:tc>
                <w:tcPr>
                  <w:tcW w:w="777"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ascii="Times New Roman" w:hAnsi="Times New Roman" w:eastAsia="宋体" w:cs="Times New Roman"/>
                      <w:color w:val="auto"/>
                      <w:u w:val="none"/>
                      <w:lang w:val="zh-CN" w:eastAsia="zh-CN"/>
                    </w:rPr>
                    <w:t>万t/a</w:t>
                  </w:r>
                </w:p>
              </w:tc>
              <w:tc>
                <w:tcPr>
                  <w:tcW w:w="940"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ascii="Times New Roman" w:hAnsi="Times New Roman" w:eastAsia="宋体" w:cs="Times New Roman"/>
                      <w:color w:val="auto"/>
                      <w:u w:val="none"/>
                      <w:lang w:val="zh-CN" w:eastAsia="zh-CN"/>
                    </w:rPr>
                    <w:t>碱性焊条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noWrap w:val="0"/>
                  <w:vAlign w:val="center"/>
                </w:tcPr>
                <w:p>
                  <w:pPr>
                    <w:pStyle w:val="55"/>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4</w:t>
                  </w:r>
                </w:p>
              </w:tc>
              <w:tc>
                <w:tcPr>
                  <w:tcW w:w="1096" w:type="dxa"/>
                  <w:noWrap w:val="0"/>
                  <w:vAlign w:val="center"/>
                </w:tcPr>
                <w:p>
                  <w:pPr>
                    <w:pStyle w:val="55"/>
                    <w:bidi w:val="0"/>
                    <w:spacing w:line="240" w:lineRule="auto"/>
                    <w:jc w:val="center"/>
                    <w:rPr>
                      <w:rFonts w:hint="eastAsia" w:ascii="Times New Roman" w:hAnsi="Times New Roman" w:eastAsia="宋体" w:cs="Times New Roman"/>
                      <w:color w:val="auto"/>
                      <w:u w:val="single"/>
                      <w:lang w:val="zh-CN" w:eastAsia="zh-CN"/>
                    </w:rPr>
                  </w:pPr>
                  <w:r>
                    <w:rPr>
                      <w:rFonts w:hint="eastAsia" w:cs="Times New Roman"/>
                      <w:color w:val="auto"/>
                      <w:u w:val="single"/>
                      <w:lang w:val="zh-CN" w:eastAsia="zh-CN"/>
                    </w:rPr>
                    <w:t>塑料盘</w:t>
                  </w:r>
                </w:p>
              </w:tc>
              <w:tc>
                <w:tcPr>
                  <w:tcW w:w="2010" w:type="dxa"/>
                  <w:noWrap w:val="0"/>
                  <w:vAlign w:val="center"/>
                </w:tcPr>
                <w:p>
                  <w:pPr>
                    <w:pStyle w:val="55"/>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w:t>
                  </w:r>
                </w:p>
              </w:tc>
              <w:tc>
                <w:tcPr>
                  <w:tcW w:w="976" w:type="dxa"/>
                  <w:noWrap w:val="0"/>
                  <w:vAlign w:val="center"/>
                </w:tcPr>
                <w:p>
                  <w:pPr>
                    <w:pStyle w:val="55"/>
                    <w:bidi w:val="0"/>
                    <w:spacing w:line="240" w:lineRule="auto"/>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1425" w:type="dxa"/>
                  <w:noWrap w:val="0"/>
                  <w:vAlign w:val="center"/>
                </w:tcPr>
                <w:p>
                  <w:pPr>
                    <w:pStyle w:val="55"/>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0.6kg/只</w:t>
                  </w:r>
                </w:p>
              </w:tc>
              <w:tc>
                <w:tcPr>
                  <w:tcW w:w="879" w:type="dxa"/>
                  <w:noWrap w:val="0"/>
                  <w:vAlign w:val="center"/>
                </w:tcPr>
                <w:p>
                  <w:pPr>
                    <w:pStyle w:val="55"/>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w:t>
                  </w:r>
                </w:p>
              </w:tc>
              <w:tc>
                <w:tcPr>
                  <w:tcW w:w="777" w:type="dxa"/>
                  <w:noWrap w:val="0"/>
                  <w:vAlign w:val="center"/>
                </w:tcPr>
                <w:p>
                  <w:pPr>
                    <w:pStyle w:val="55"/>
                    <w:bidi w:val="0"/>
                    <w:spacing w:line="240" w:lineRule="auto"/>
                    <w:jc w:val="center"/>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0.3</w:t>
                  </w:r>
                </w:p>
              </w:tc>
              <w:tc>
                <w:tcPr>
                  <w:tcW w:w="777"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ascii="Times New Roman" w:hAnsi="Times New Roman" w:eastAsia="宋体" w:cs="Times New Roman"/>
                      <w:color w:val="auto"/>
                      <w:u w:val="none"/>
                      <w:lang w:val="zh-CN" w:eastAsia="zh-CN"/>
                    </w:rPr>
                    <w:t>万t/a</w:t>
                  </w:r>
                </w:p>
              </w:tc>
              <w:tc>
                <w:tcPr>
                  <w:tcW w:w="940" w:type="dxa"/>
                  <w:noWrap w:val="0"/>
                  <w:vAlign w:val="center"/>
                </w:tcPr>
                <w:p>
                  <w:pPr>
                    <w:pStyle w:val="55"/>
                    <w:bidi w:val="0"/>
                    <w:spacing w:line="240" w:lineRule="auto"/>
                    <w:jc w:val="center"/>
                    <w:rPr>
                      <w:rFonts w:hint="eastAsia" w:ascii="Times New Roman" w:hAnsi="Times New Roman" w:eastAsia="宋体" w:cs="Times New Roman"/>
                      <w:color w:val="auto"/>
                      <w:u w:val="none"/>
                      <w:lang w:val="zh-CN" w:eastAsia="zh-CN"/>
                    </w:rPr>
                  </w:pPr>
                  <w:r>
                    <w:rPr>
                      <w:rFonts w:hint="eastAsia" w:cs="Times New Roman"/>
                      <w:color w:val="auto"/>
                      <w:u w:val="none"/>
                      <w:lang w:val="zh-CN" w:eastAsia="zh-CN"/>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1" w:type="dxa"/>
                  <w:gridSpan w:val="9"/>
                  <w:noWrap w:val="0"/>
                  <w:vAlign w:val="center"/>
                </w:tcPr>
                <w:p>
                  <w:pPr>
                    <w:pStyle w:val="55"/>
                    <w:bidi w:val="0"/>
                    <w:spacing w:line="240" w:lineRule="auto"/>
                    <w:jc w:val="left"/>
                    <w:rPr>
                      <w:rFonts w:hint="eastAsia" w:cs="Times New Roman"/>
                      <w:color w:val="auto"/>
                      <w:u w:val="none"/>
                      <w:lang w:val="zh-CN" w:eastAsia="zh-CN"/>
                    </w:rPr>
                  </w:pPr>
                  <w:r>
                    <w:rPr>
                      <w:rFonts w:hint="eastAsia" w:cs="Times New Roman"/>
                      <w:color w:val="auto"/>
                      <w:u w:val="single"/>
                      <w:lang w:val="zh-CN" w:eastAsia="zh-CN"/>
                    </w:rPr>
                    <w:t>注：塑料盘</w:t>
                  </w:r>
                  <w:r>
                    <w:rPr>
                      <w:rFonts w:hint="eastAsia"/>
                      <w:color w:val="auto"/>
                      <w:u w:val="single"/>
                      <w:lang w:val="en-US" w:eastAsia="zh-CN"/>
                    </w:rPr>
                    <w:t>为企业</w:t>
                  </w:r>
                  <w:r>
                    <w:rPr>
                      <w:rFonts w:hint="eastAsia" w:cs="Times New Roman"/>
                      <w:color w:val="auto"/>
                      <w:u w:val="single"/>
                      <w:lang w:val="en-US" w:eastAsia="zh-CN"/>
                    </w:rPr>
                    <w:t>配套自用，不外售</w:t>
                  </w:r>
                </w:p>
              </w:tc>
            </w:tr>
          </w:tbl>
          <w:p>
            <w:pPr>
              <w:pStyle w:val="56"/>
              <w:bidi w:val="0"/>
              <w:ind w:firstLine="480" w:firstLineChars="200"/>
              <w:rPr>
                <w:rFonts w:hint="default" w:ascii="Times New Roman" w:hAnsi="Times New Roman" w:eastAsia="宋体" w:cs="宋体"/>
                <w:color w:val="auto"/>
                <w:sz w:val="24"/>
                <w:szCs w:val="24"/>
                <w:highlight w:val="none"/>
                <w:u w:val="none"/>
                <w:lang w:val="en-US" w:eastAsia="zh-CN"/>
              </w:rPr>
            </w:pPr>
            <w:r>
              <w:rPr>
                <w:rFonts w:hint="eastAsia" w:cs="宋体"/>
                <w:b w:val="0"/>
                <w:bCs w:val="0"/>
                <w:color w:val="auto"/>
                <w:sz w:val="24"/>
                <w:szCs w:val="24"/>
                <w:highlight w:val="none"/>
                <w:u w:val="none"/>
                <w:lang w:val="en-US" w:eastAsia="zh-CN"/>
              </w:rPr>
              <w:t>不锈钢焊丝执行《不锈钢焊条》（GB/T983-2012），熔敷金属化学成分应符合表1的规定；药芯焊丝执行《碳钢药芯焊丝》(GB/T10045-2001)，熔敷金属化学成分应符合表3的规定；特种电焊条执行《非合金钢及细晶粒钢焊条》（GB/T5117-2012），熔敷金属化学成分应符合表3的规定。</w:t>
            </w:r>
          </w:p>
          <w:p>
            <w:pPr>
              <w:pStyle w:val="56"/>
              <w:bidi w:val="0"/>
              <w:rPr>
                <w:rFonts w:hint="default" w:ascii="Times New Roman" w:hAnsi="Times New Roman" w:eastAsia="宋体" w:cs="宋体"/>
                <w:color w:val="auto"/>
                <w:sz w:val="24"/>
                <w:szCs w:val="24"/>
                <w:highlight w:val="none"/>
                <w:u w:val="none"/>
                <w:lang w:val="en-US" w:eastAsia="zh-CN"/>
              </w:rPr>
            </w:pPr>
            <w:r>
              <w:rPr>
                <w:rFonts w:hint="default" w:ascii="Times New Roman" w:hAnsi="Times New Roman" w:eastAsia="宋体" w:cs="宋体"/>
                <w:color w:val="auto"/>
                <w:sz w:val="24"/>
                <w:szCs w:val="24"/>
                <w:highlight w:val="none"/>
                <w:u w:val="none"/>
                <w:lang w:val="en-US" w:eastAsia="zh-CN"/>
              </w:rPr>
              <w:t>2.4原辅材料及能源消耗</w:t>
            </w:r>
          </w:p>
          <w:p>
            <w:pPr>
              <w:pStyle w:val="62"/>
              <w:bidi w:val="0"/>
              <w:rPr>
                <w:rFonts w:hint="eastAsia" w:ascii="Times New Roman" w:hAnsi="Times New Roman" w:eastAsia="宋体" w:cs="宋体"/>
                <w:color w:val="auto"/>
                <w:sz w:val="24"/>
                <w:szCs w:val="24"/>
                <w:u w:val="single"/>
                <w:lang w:val="en-US" w:eastAsia="zh-CN"/>
              </w:rPr>
            </w:pPr>
            <w:r>
              <w:rPr>
                <w:rFonts w:hint="eastAsia" w:cs="宋体"/>
                <w:color w:val="auto"/>
                <w:sz w:val="24"/>
                <w:szCs w:val="24"/>
                <w:highlight w:val="none"/>
                <w:u w:val="single"/>
                <w:lang w:val="en-US" w:eastAsia="zh-CN"/>
              </w:rPr>
              <w:t>本次改扩建</w:t>
            </w:r>
            <w:r>
              <w:rPr>
                <w:rFonts w:hint="eastAsia" w:ascii="Times New Roman" w:hAnsi="Times New Roman" w:eastAsia="宋体" w:cs="宋体"/>
                <w:color w:val="auto"/>
                <w:sz w:val="24"/>
                <w:szCs w:val="24"/>
                <w:highlight w:val="none"/>
                <w:u w:val="single"/>
                <w:lang w:val="en-US" w:eastAsia="zh-CN"/>
              </w:rPr>
              <w:t>取消了不锈钢焊丝生产线使用的乳化油</w:t>
            </w:r>
            <w:r>
              <w:rPr>
                <w:rFonts w:hint="eastAsia" w:cs="宋体"/>
                <w:color w:val="auto"/>
                <w:sz w:val="24"/>
                <w:szCs w:val="24"/>
                <w:highlight w:val="none"/>
                <w:u w:val="single"/>
                <w:lang w:val="en-US" w:eastAsia="zh-CN"/>
              </w:rPr>
              <w:t>和</w:t>
            </w:r>
            <w:r>
              <w:rPr>
                <w:rFonts w:hint="eastAsia" w:ascii="Times New Roman" w:hAnsi="Times New Roman" w:eastAsia="宋体" w:cs="宋体"/>
                <w:color w:val="auto"/>
                <w:sz w:val="24"/>
                <w:szCs w:val="24"/>
                <w:highlight w:val="none"/>
                <w:u w:val="single"/>
                <w:lang w:val="en-US" w:eastAsia="zh-CN"/>
              </w:rPr>
              <w:t>片碱，</w:t>
            </w:r>
            <w:r>
              <w:rPr>
                <w:rFonts w:hint="eastAsia" w:cs="宋体"/>
                <w:color w:val="auto"/>
                <w:sz w:val="24"/>
                <w:szCs w:val="24"/>
                <w:highlight w:val="none"/>
                <w:u w:val="single"/>
                <w:lang w:val="en-US" w:eastAsia="zh-CN"/>
              </w:rPr>
              <w:t>新增了退火和酸电解工艺，故新增硫酸、液</w:t>
            </w:r>
            <w:r>
              <w:rPr>
                <w:rFonts w:hint="eastAsia" w:cs="宋体"/>
                <w:color w:val="auto"/>
                <w:sz w:val="24"/>
                <w:szCs w:val="24"/>
                <w:u w:val="single"/>
                <w:lang w:val="en-US" w:eastAsia="zh-CN"/>
              </w:rPr>
              <w:t>氨等原料，依托现有硫酸库储存硫酸。不锈钢焊丝改扩建</w:t>
            </w:r>
            <w:r>
              <w:rPr>
                <w:rFonts w:hint="eastAsia" w:ascii="Times New Roman" w:hAnsi="Times New Roman" w:eastAsia="宋体" w:cs="宋体"/>
                <w:color w:val="auto"/>
                <w:sz w:val="24"/>
                <w:szCs w:val="24"/>
                <w:u w:val="single"/>
                <w:lang w:val="en-US" w:eastAsia="zh-CN"/>
              </w:rPr>
              <w:t>前后使用的原辅材料消耗变化情况见表2.4-1。</w:t>
            </w:r>
          </w:p>
          <w:p>
            <w:pPr>
              <w:pStyle w:val="8"/>
              <w:rPr>
                <w:rFonts w:hint="eastAsia" w:ascii="Times New Roman" w:hAnsi="Times New Roman" w:eastAsia="宋体" w:cs="Times New Roman"/>
                <w:b/>
                <w:bCs/>
                <w:color w:val="auto"/>
                <w:sz w:val="24"/>
                <w:szCs w:val="24"/>
                <w:u w:val="none"/>
                <w:lang w:eastAsia="zh-CN"/>
              </w:rPr>
            </w:pPr>
            <w:bookmarkStart w:id="58" w:name="_Ref523162658"/>
            <w:r>
              <w:rPr>
                <w:rFonts w:ascii="Times New Roman" w:hAnsi="Times New Roman" w:cs="Times New Roman"/>
                <w:b/>
                <w:bCs/>
                <w:color w:val="auto"/>
                <w:sz w:val="24"/>
                <w:szCs w:val="24"/>
                <w:u w:val="none"/>
              </w:rPr>
              <w:t>表</w:t>
            </w:r>
            <w:bookmarkEnd w:id="58"/>
            <w:r>
              <w:rPr>
                <w:rFonts w:hint="eastAsia" w:ascii="Times New Roman" w:hAnsi="Times New Roman" w:cs="Times New Roman"/>
                <w:b/>
                <w:bCs/>
                <w:color w:val="auto"/>
                <w:sz w:val="24"/>
                <w:szCs w:val="24"/>
                <w:u w:val="none"/>
              </w:rPr>
              <w:t>2</w:t>
            </w:r>
            <w:r>
              <w:rPr>
                <w:rFonts w:hint="eastAsia" w:ascii="Times New Roman" w:hAnsi="Times New Roman" w:cs="Times New Roman"/>
                <w:b/>
                <w:bCs/>
                <w:color w:val="auto"/>
                <w:sz w:val="24"/>
                <w:szCs w:val="24"/>
                <w:u w:val="none"/>
                <w:lang w:val="en-US" w:eastAsia="zh-CN"/>
              </w:rPr>
              <w:t>.4-1不锈钢焊丝改扩建前后</w:t>
            </w:r>
            <w:r>
              <w:rPr>
                <w:rFonts w:hint="eastAsia" w:ascii="Times New Roman" w:hAnsi="Times New Roman" w:cs="Times New Roman"/>
                <w:b/>
                <w:bCs/>
                <w:color w:val="auto"/>
                <w:sz w:val="24"/>
                <w:szCs w:val="24"/>
                <w:u w:val="none"/>
              </w:rPr>
              <w:t>原辅料消耗变化情况一览表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219"/>
              <w:gridCol w:w="817"/>
              <w:gridCol w:w="917"/>
              <w:gridCol w:w="940"/>
              <w:gridCol w:w="839"/>
              <w:gridCol w:w="645"/>
              <w:gridCol w:w="930"/>
              <w:gridCol w:w="735"/>
              <w:gridCol w:w="6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482" w:type="dxa"/>
                  <w:vMerge w:val="restart"/>
                  <w:noWrap w:val="0"/>
                  <w:vAlign w:val="center"/>
                </w:tcPr>
                <w:p>
                  <w:pPr>
                    <w:keepNext w:val="0"/>
                    <w:keepLines w:val="0"/>
                    <w:pageBreakBefore w:val="0"/>
                    <w:kinsoku/>
                    <w:wordWrap/>
                    <w:overflowPunct/>
                    <w:topLinePunct w:val="0"/>
                    <w:bidi w:val="0"/>
                    <w:spacing w:line="240" w:lineRule="auto"/>
                    <w:jc w:val="center"/>
                    <w:rPr>
                      <w:b/>
                      <w:color w:val="auto"/>
                      <w:szCs w:val="21"/>
                      <w:u w:val="none"/>
                    </w:rPr>
                  </w:pPr>
                  <w:r>
                    <w:rPr>
                      <w:b/>
                      <w:color w:val="auto"/>
                      <w:szCs w:val="21"/>
                      <w:u w:val="none"/>
                      <w:lang w:bidi="ar"/>
                    </w:rPr>
                    <w:t>序号</w:t>
                  </w:r>
                </w:p>
              </w:tc>
              <w:tc>
                <w:tcPr>
                  <w:tcW w:w="1219" w:type="dxa"/>
                  <w:vMerge w:val="restart"/>
                  <w:noWrap w:val="0"/>
                  <w:vAlign w:val="center"/>
                </w:tcPr>
                <w:p>
                  <w:pPr>
                    <w:keepNext w:val="0"/>
                    <w:keepLines w:val="0"/>
                    <w:pageBreakBefore w:val="0"/>
                    <w:kinsoku/>
                    <w:wordWrap/>
                    <w:overflowPunct/>
                    <w:topLinePunct w:val="0"/>
                    <w:bidi w:val="0"/>
                    <w:spacing w:line="240" w:lineRule="auto"/>
                    <w:jc w:val="center"/>
                    <w:rPr>
                      <w:b/>
                      <w:color w:val="auto"/>
                      <w:szCs w:val="21"/>
                      <w:u w:val="none"/>
                    </w:rPr>
                  </w:pPr>
                  <w:r>
                    <w:rPr>
                      <w:b/>
                      <w:color w:val="auto"/>
                      <w:szCs w:val="21"/>
                      <w:u w:val="none"/>
                      <w:lang w:bidi="ar"/>
                    </w:rPr>
                    <w:t>名称</w:t>
                  </w:r>
                </w:p>
              </w:tc>
              <w:tc>
                <w:tcPr>
                  <w:tcW w:w="817" w:type="dxa"/>
                  <w:vMerge w:val="restart"/>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r>
                    <w:rPr>
                      <w:rFonts w:hint="eastAsia"/>
                      <w:b/>
                      <w:color w:val="auto"/>
                      <w:szCs w:val="21"/>
                      <w:u w:val="none"/>
                      <w:lang w:eastAsia="zh-CN" w:bidi="ar"/>
                    </w:rPr>
                    <w:t>单位</w:t>
                  </w:r>
                </w:p>
              </w:tc>
              <w:tc>
                <w:tcPr>
                  <w:tcW w:w="2696" w:type="dxa"/>
                  <w:gridSpan w:val="3"/>
                  <w:noWrap w:val="0"/>
                  <w:vAlign w:val="center"/>
                </w:tcPr>
                <w:p>
                  <w:pPr>
                    <w:keepNext w:val="0"/>
                    <w:keepLines w:val="0"/>
                    <w:pageBreakBefore w:val="0"/>
                    <w:kinsoku/>
                    <w:wordWrap/>
                    <w:overflowPunct/>
                    <w:topLinePunct w:val="0"/>
                    <w:bidi w:val="0"/>
                    <w:spacing w:line="240" w:lineRule="auto"/>
                    <w:jc w:val="center"/>
                    <w:rPr>
                      <w:rFonts w:hint="eastAsia" w:eastAsia="宋体"/>
                      <w:b/>
                      <w:color w:val="auto"/>
                      <w:szCs w:val="21"/>
                      <w:u w:val="none"/>
                      <w:lang w:eastAsia="zh-CN" w:bidi="ar"/>
                    </w:rPr>
                  </w:pPr>
                  <w:r>
                    <w:rPr>
                      <w:rFonts w:hint="eastAsia"/>
                      <w:b/>
                      <w:color w:val="auto"/>
                      <w:szCs w:val="21"/>
                      <w:u w:val="none"/>
                      <w:lang w:eastAsia="zh-CN"/>
                    </w:rPr>
                    <w:t>使用量</w:t>
                  </w:r>
                </w:p>
              </w:tc>
              <w:tc>
                <w:tcPr>
                  <w:tcW w:w="645" w:type="dxa"/>
                  <w:vMerge w:val="restart"/>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bidi="ar"/>
                    </w:rPr>
                  </w:pPr>
                  <w:r>
                    <w:rPr>
                      <w:rFonts w:hint="eastAsia"/>
                      <w:b/>
                      <w:color w:val="auto"/>
                      <w:szCs w:val="21"/>
                      <w:u w:val="none"/>
                      <w:lang w:bidi="ar"/>
                    </w:rPr>
                    <w:t>最大储存量</w:t>
                  </w:r>
                </w:p>
              </w:tc>
              <w:tc>
                <w:tcPr>
                  <w:tcW w:w="930" w:type="dxa"/>
                  <w:vMerge w:val="restart"/>
                  <w:noWrap w:val="0"/>
                  <w:vAlign w:val="center"/>
                </w:tcPr>
                <w:p>
                  <w:pPr>
                    <w:keepNext w:val="0"/>
                    <w:keepLines w:val="0"/>
                    <w:pageBreakBefore w:val="0"/>
                    <w:kinsoku/>
                    <w:wordWrap/>
                    <w:overflowPunct/>
                    <w:topLinePunct w:val="0"/>
                    <w:bidi w:val="0"/>
                    <w:spacing w:line="240" w:lineRule="auto"/>
                    <w:jc w:val="center"/>
                    <w:rPr>
                      <w:b/>
                      <w:color w:val="auto"/>
                      <w:szCs w:val="21"/>
                      <w:u w:val="none"/>
                      <w:lang w:bidi="ar"/>
                    </w:rPr>
                  </w:pPr>
                  <w:r>
                    <w:rPr>
                      <w:rFonts w:hint="eastAsia"/>
                      <w:b/>
                      <w:color w:val="auto"/>
                      <w:szCs w:val="21"/>
                      <w:u w:val="none"/>
                      <w:lang w:bidi="ar"/>
                    </w:rPr>
                    <w:t>贮存</w:t>
                  </w:r>
                  <w:r>
                    <w:rPr>
                      <w:b/>
                      <w:color w:val="auto"/>
                      <w:szCs w:val="21"/>
                      <w:u w:val="none"/>
                      <w:lang w:bidi="ar"/>
                    </w:rPr>
                    <w:t>规格</w:t>
                  </w:r>
                </w:p>
              </w:tc>
              <w:tc>
                <w:tcPr>
                  <w:tcW w:w="735" w:type="dxa"/>
                  <w:vMerge w:val="restart"/>
                  <w:noWrap w:val="0"/>
                  <w:vAlign w:val="center"/>
                </w:tcPr>
                <w:p>
                  <w:pPr>
                    <w:keepNext w:val="0"/>
                    <w:keepLines w:val="0"/>
                    <w:pageBreakBefore w:val="0"/>
                    <w:kinsoku/>
                    <w:wordWrap/>
                    <w:overflowPunct/>
                    <w:topLinePunct w:val="0"/>
                    <w:bidi w:val="0"/>
                    <w:spacing w:line="240" w:lineRule="auto"/>
                    <w:jc w:val="center"/>
                    <w:rPr>
                      <w:b/>
                      <w:color w:val="auto"/>
                      <w:szCs w:val="21"/>
                      <w:u w:val="none"/>
                      <w:lang w:bidi="ar"/>
                    </w:rPr>
                  </w:pPr>
                  <w:r>
                    <w:rPr>
                      <w:b/>
                      <w:color w:val="auto"/>
                      <w:szCs w:val="21"/>
                      <w:u w:val="none"/>
                      <w:lang w:bidi="ar"/>
                    </w:rPr>
                    <w:t>状态</w:t>
                  </w:r>
                </w:p>
              </w:tc>
              <w:tc>
                <w:tcPr>
                  <w:tcW w:w="660" w:type="dxa"/>
                  <w:vMerge w:val="restart"/>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rPr>
                  </w:pPr>
                  <w:r>
                    <w:rPr>
                      <w:rFonts w:hint="eastAsia"/>
                      <w:b/>
                      <w:color w:val="auto"/>
                      <w:szCs w:val="21"/>
                      <w:u w:val="none"/>
                      <w:lang w:bidi="ar"/>
                    </w:rPr>
                    <w:t>来源</w:t>
                  </w:r>
                </w:p>
              </w:tc>
              <w:tc>
                <w:tcPr>
                  <w:tcW w:w="1129" w:type="dxa"/>
                  <w:vMerge w:val="restart"/>
                  <w:noWrap w:val="0"/>
                  <w:vAlign w:val="center"/>
                </w:tcPr>
                <w:p>
                  <w:pPr>
                    <w:keepNext w:val="0"/>
                    <w:keepLines w:val="0"/>
                    <w:pageBreakBefore w:val="0"/>
                    <w:kinsoku/>
                    <w:wordWrap/>
                    <w:overflowPunct/>
                    <w:topLinePunct w:val="0"/>
                    <w:bidi w:val="0"/>
                    <w:spacing w:line="240" w:lineRule="auto"/>
                    <w:jc w:val="center"/>
                    <w:rPr>
                      <w:rFonts w:hint="eastAsia" w:eastAsia="宋体"/>
                      <w:b/>
                      <w:color w:val="auto"/>
                      <w:szCs w:val="21"/>
                      <w:u w:val="none"/>
                      <w:lang w:eastAsia="zh-CN"/>
                    </w:rPr>
                  </w:pPr>
                  <w:r>
                    <w:rPr>
                      <w:rFonts w:hint="eastAsia"/>
                      <w:b/>
                      <w:color w:val="auto"/>
                      <w:szCs w:val="21"/>
                      <w:u w:val="none"/>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482" w:type="dxa"/>
                  <w:vMerge w:val="continue"/>
                  <w:noWrap w:val="0"/>
                  <w:vAlign w:val="center"/>
                </w:tcPr>
                <w:p>
                  <w:pPr>
                    <w:keepNext w:val="0"/>
                    <w:keepLines w:val="0"/>
                    <w:pageBreakBefore w:val="0"/>
                    <w:kinsoku/>
                    <w:wordWrap/>
                    <w:overflowPunct/>
                    <w:topLinePunct w:val="0"/>
                    <w:bidi w:val="0"/>
                    <w:spacing w:line="240" w:lineRule="auto"/>
                    <w:jc w:val="center"/>
                    <w:rPr>
                      <w:color w:val="auto"/>
                    </w:rPr>
                  </w:pPr>
                </w:p>
              </w:tc>
              <w:tc>
                <w:tcPr>
                  <w:tcW w:w="1219" w:type="dxa"/>
                  <w:vMerge w:val="continue"/>
                  <w:noWrap w:val="0"/>
                  <w:vAlign w:val="center"/>
                </w:tcPr>
                <w:p>
                  <w:pPr>
                    <w:keepNext w:val="0"/>
                    <w:keepLines w:val="0"/>
                    <w:pageBreakBefore w:val="0"/>
                    <w:kinsoku/>
                    <w:wordWrap/>
                    <w:overflowPunct/>
                    <w:topLinePunct w:val="0"/>
                    <w:bidi w:val="0"/>
                    <w:spacing w:line="240" w:lineRule="auto"/>
                    <w:jc w:val="center"/>
                    <w:rPr>
                      <w:color w:val="auto"/>
                    </w:rPr>
                  </w:pPr>
                </w:p>
              </w:tc>
              <w:tc>
                <w:tcPr>
                  <w:tcW w:w="817" w:type="dxa"/>
                  <w:vMerge w:val="continue"/>
                  <w:noWrap w:val="0"/>
                  <w:vAlign w:val="center"/>
                </w:tcPr>
                <w:p>
                  <w:pPr>
                    <w:keepNext w:val="0"/>
                    <w:keepLines w:val="0"/>
                    <w:pageBreakBefore w:val="0"/>
                    <w:kinsoku/>
                    <w:wordWrap/>
                    <w:overflowPunct/>
                    <w:topLinePunct w:val="0"/>
                    <w:bidi w:val="0"/>
                    <w:spacing w:line="240" w:lineRule="auto"/>
                    <w:jc w:val="center"/>
                    <w:rPr>
                      <w:color w:val="auto"/>
                    </w:rPr>
                  </w:pPr>
                </w:p>
              </w:tc>
              <w:tc>
                <w:tcPr>
                  <w:tcW w:w="917" w:type="dxa"/>
                  <w:noWrap w:val="0"/>
                  <w:vAlign w:val="center"/>
                </w:tcPr>
                <w:p>
                  <w:pPr>
                    <w:tabs>
                      <w:tab w:val="left" w:pos="2587"/>
                    </w:tabs>
                    <w:jc w:val="center"/>
                    <w:rPr>
                      <w:rFonts w:hint="eastAsia"/>
                      <w:b/>
                      <w:bCs/>
                      <w:color w:val="auto"/>
                      <w:szCs w:val="21"/>
                      <w:u w:val="none"/>
                      <w:lang w:eastAsia="zh-CN" w:bidi="ar"/>
                    </w:rPr>
                  </w:pPr>
                  <w:r>
                    <w:rPr>
                      <w:rFonts w:hint="eastAsia" w:ascii="Times New Roman" w:hAnsi="Times New Roman" w:cs="Times New Roman"/>
                      <w:b/>
                      <w:bCs/>
                      <w:color w:val="auto"/>
                      <w:szCs w:val="21"/>
                      <w:highlight w:val="none"/>
                      <w:u w:val="none"/>
                      <w:lang w:val="en-US" w:eastAsia="zh-CN"/>
                    </w:rPr>
                    <w:t>改扩建前</w:t>
                  </w:r>
                </w:p>
              </w:tc>
              <w:tc>
                <w:tcPr>
                  <w:tcW w:w="940" w:type="dxa"/>
                  <w:noWrap w:val="0"/>
                  <w:vAlign w:val="center"/>
                </w:tcPr>
                <w:p>
                  <w:pPr>
                    <w:tabs>
                      <w:tab w:val="left" w:pos="2587"/>
                    </w:tabs>
                    <w:jc w:val="center"/>
                    <w:rPr>
                      <w:rFonts w:hint="eastAsia"/>
                      <w:b/>
                      <w:bCs/>
                      <w:color w:val="auto"/>
                      <w:szCs w:val="21"/>
                      <w:u w:val="none"/>
                      <w:lang w:eastAsia="zh-CN" w:bidi="ar"/>
                    </w:rPr>
                  </w:pPr>
                  <w:r>
                    <w:rPr>
                      <w:rFonts w:hint="eastAsia" w:ascii="Times New Roman" w:hAnsi="Times New Roman" w:cs="Times New Roman"/>
                      <w:b/>
                      <w:bCs/>
                      <w:color w:val="auto"/>
                      <w:szCs w:val="21"/>
                      <w:highlight w:val="none"/>
                      <w:u w:val="none"/>
                      <w:lang w:val="en-US" w:eastAsia="zh-CN"/>
                    </w:rPr>
                    <w:t>改扩建后</w:t>
                  </w:r>
                </w:p>
              </w:tc>
              <w:tc>
                <w:tcPr>
                  <w:tcW w:w="839" w:type="dxa"/>
                  <w:noWrap w:val="0"/>
                  <w:vAlign w:val="center"/>
                </w:tcPr>
                <w:p>
                  <w:pPr>
                    <w:tabs>
                      <w:tab w:val="left" w:pos="2587"/>
                    </w:tabs>
                    <w:jc w:val="center"/>
                    <w:rPr>
                      <w:rFonts w:hint="eastAsia"/>
                      <w:b/>
                      <w:bCs/>
                      <w:color w:val="auto"/>
                      <w:szCs w:val="21"/>
                      <w:u w:val="none"/>
                      <w:lang w:eastAsia="zh-CN" w:bidi="ar"/>
                    </w:rPr>
                  </w:pPr>
                  <w:r>
                    <w:rPr>
                      <w:rFonts w:hint="eastAsia" w:cs="Times New Roman"/>
                      <w:b/>
                      <w:bCs/>
                      <w:color w:val="auto"/>
                      <w:szCs w:val="21"/>
                      <w:highlight w:val="none"/>
                      <w:u w:val="none"/>
                      <w:lang w:val="en-US" w:eastAsia="zh-CN"/>
                    </w:rPr>
                    <w:t>增减量</w:t>
                  </w:r>
                </w:p>
              </w:tc>
              <w:tc>
                <w:tcPr>
                  <w:tcW w:w="645" w:type="dxa"/>
                  <w:vMerge w:val="continue"/>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p>
              </w:tc>
              <w:tc>
                <w:tcPr>
                  <w:tcW w:w="930" w:type="dxa"/>
                  <w:vMerge w:val="continue"/>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p>
              </w:tc>
              <w:tc>
                <w:tcPr>
                  <w:tcW w:w="735" w:type="dxa"/>
                  <w:vMerge w:val="continue"/>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p>
              </w:tc>
              <w:tc>
                <w:tcPr>
                  <w:tcW w:w="660" w:type="dxa"/>
                  <w:vMerge w:val="continue"/>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p>
              </w:tc>
              <w:tc>
                <w:tcPr>
                  <w:tcW w:w="1129" w:type="dxa"/>
                  <w:vMerge w:val="continue"/>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color w:val="auto"/>
                      <w:szCs w:val="21"/>
                      <w:u w:val="none"/>
                    </w:rPr>
                  </w:pPr>
                </w:p>
              </w:tc>
              <w:tc>
                <w:tcPr>
                  <w:tcW w:w="1219" w:type="dxa"/>
                  <w:noWrap w:val="0"/>
                  <w:vAlign w:val="center"/>
                </w:tcPr>
                <w:p>
                  <w:pPr>
                    <w:spacing w:line="240" w:lineRule="auto"/>
                    <w:jc w:val="center"/>
                    <w:rPr>
                      <w:color w:val="auto"/>
                      <w:szCs w:val="21"/>
                      <w:highlight w:val="none"/>
                      <w:u w:val="none"/>
                    </w:rPr>
                  </w:pPr>
                  <w:r>
                    <w:rPr>
                      <w:rFonts w:hAnsi="宋体"/>
                      <w:color w:val="auto"/>
                      <w:szCs w:val="21"/>
                      <w:highlight w:val="none"/>
                      <w:u w:val="none"/>
                    </w:rPr>
                    <w:t>不锈钢丝</w:t>
                  </w:r>
                </w:p>
              </w:tc>
              <w:tc>
                <w:tcPr>
                  <w:tcW w:w="817" w:type="dxa"/>
                  <w:noWrap w:val="0"/>
                  <w:vAlign w:val="center"/>
                </w:tcPr>
                <w:p>
                  <w:pPr>
                    <w:spacing w:line="240" w:lineRule="auto"/>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万t/a</w:t>
                  </w:r>
                </w:p>
              </w:tc>
              <w:tc>
                <w:tcPr>
                  <w:tcW w:w="917" w:type="dxa"/>
                  <w:noWrap w:val="0"/>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w:t>
                  </w:r>
                </w:p>
              </w:tc>
              <w:tc>
                <w:tcPr>
                  <w:tcW w:w="940"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w:t>
                  </w:r>
                </w:p>
              </w:tc>
              <w:tc>
                <w:tcPr>
                  <w:tcW w:w="839"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hAnsi="宋体"/>
                      <w:color w:val="auto"/>
                      <w:szCs w:val="21"/>
                      <w:highlight w:val="none"/>
                      <w:lang w:val="en-US" w:eastAsia="zh-CN"/>
                    </w:rPr>
                    <w:t>0</w:t>
                  </w:r>
                </w:p>
              </w:tc>
              <w:tc>
                <w:tcPr>
                  <w:tcW w:w="645"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val="en-US" w:eastAsia="zh-CN" w:bidi="ar"/>
                    </w:rPr>
                  </w:pPr>
                  <w:r>
                    <w:rPr>
                      <w:rFonts w:hint="eastAsia"/>
                      <w:color w:val="auto"/>
                      <w:szCs w:val="21"/>
                      <w:u w:val="none"/>
                      <w:lang w:val="en-US" w:eastAsia="zh-CN" w:bidi="ar"/>
                    </w:rPr>
                    <w:t>/</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bidi="ar"/>
                    </w:rPr>
                  </w:pPr>
                  <w:r>
                    <w:rPr>
                      <w:rFonts w:hint="eastAsia"/>
                      <w:color w:val="auto"/>
                      <w:szCs w:val="21"/>
                      <w:u w:val="none"/>
                      <w:lang w:bidi="ar"/>
                    </w:rPr>
                    <w:t>捆装</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bidi="ar"/>
                    </w:rPr>
                  </w:pPr>
                  <w:r>
                    <w:rPr>
                      <w:rFonts w:hint="eastAsia"/>
                      <w:color w:val="auto"/>
                      <w:szCs w:val="21"/>
                      <w:u w:val="none"/>
                      <w:lang w:bidi="ar"/>
                    </w:rPr>
                    <w:t>固态</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rPr>
                  </w:pPr>
                  <w:r>
                    <w:rPr>
                      <w:rFonts w:hint="eastAsia"/>
                      <w:color w:val="auto"/>
                      <w:szCs w:val="21"/>
                      <w:u w:val="none"/>
                      <w:lang w:eastAsia="zh-CN"/>
                    </w:rPr>
                    <w:t>外购</w:t>
                  </w:r>
                </w:p>
              </w:tc>
              <w:tc>
                <w:tcPr>
                  <w:tcW w:w="1129" w:type="dxa"/>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u w:val="none"/>
                      <w:lang w:val="en-US" w:eastAsia="zh-CN"/>
                    </w:rPr>
                  </w:pPr>
                  <w:r>
                    <w:rPr>
                      <w:rFonts w:hint="eastAsia" w:eastAsia="宋体"/>
                      <w:color w:val="auto"/>
                      <w:szCs w:val="21"/>
                      <w:u w:val="none"/>
                      <w:lang w:val="en-US" w:eastAsia="zh-CN"/>
                    </w:rPr>
                    <w:t>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color w:val="auto"/>
                      <w:szCs w:val="21"/>
                      <w:u w:val="none"/>
                    </w:rPr>
                  </w:pPr>
                </w:p>
              </w:tc>
              <w:tc>
                <w:tcPr>
                  <w:tcW w:w="1219" w:type="dxa"/>
                  <w:noWrap w:val="0"/>
                  <w:vAlign w:val="center"/>
                </w:tcPr>
                <w:p>
                  <w:pPr>
                    <w:spacing w:line="240" w:lineRule="auto"/>
                    <w:jc w:val="center"/>
                    <w:rPr>
                      <w:rFonts w:hint="eastAsia" w:ascii="Times New Roman" w:hAnsi="Times New Roman" w:eastAsia="宋体" w:cs="Times New Roman"/>
                      <w:color w:val="auto"/>
                      <w:szCs w:val="21"/>
                      <w:u w:val="none"/>
                    </w:rPr>
                  </w:pPr>
                  <w:r>
                    <w:rPr>
                      <w:rFonts w:hAnsi="宋体"/>
                      <w:color w:val="auto"/>
                      <w:szCs w:val="21"/>
                      <w:u w:val="none"/>
                    </w:rPr>
                    <w:t>涂膜剂</w:t>
                  </w:r>
                </w:p>
              </w:tc>
              <w:tc>
                <w:tcPr>
                  <w:tcW w:w="817" w:type="dxa"/>
                  <w:noWrap w:val="0"/>
                  <w:vAlign w:val="center"/>
                </w:tcPr>
                <w:p>
                  <w:pPr>
                    <w:spacing w:line="240" w:lineRule="auto"/>
                    <w:jc w:val="center"/>
                    <w:rPr>
                      <w:color w:val="auto"/>
                      <w:szCs w:val="21"/>
                    </w:rPr>
                  </w:pPr>
                  <w:r>
                    <w:rPr>
                      <w:color w:val="auto"/>
                      <w:szCs w:val="21"/>
                    </w:rPr>
                    <w:t>t/a</w:t>
                  </w:r>
                </w:p>
              </w:tc>
              <w:tc>
                <w:tcPr>
                  <w:tcW w:w="917"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940"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839"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u w:val="none"/>
                      <w:lang w:val="en-US" w:eastAsia="zh-CN" w:bidi="ar"/>
                    </w:rPr>
                  </w:pPr>
                  <w:r>
                    <w:rPr>
                      <w:rFonts w:hint="eastAsia"/>
                      <w:color w:val="auto"/>
                      <w:szCs w:val="21"/>
                      <w:u w:val="none"/>
                      <w:lang w:val="en-US" w:eastAsia="zh-CN" w:bidi="ar"/>
                    </w:rPr>
                    <w:t>0.8</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eastAsia="zh-CN" w:bidi="ar"/>
                    </w:rPr>
                  </w:pPr>
                  <w:r>
                    <w:rPr>
                      <w:rFonts w:hint="eastAsia"/>
                      <w:color w:val="auto"/>
                      <w:szCs w:val="21"/>
                      <w:u w:val="none"/>
                      <w:lang w:eastAsia="zh-CN" w:bidi="ar"/>
                    </w:rPr>
                    <w:t>桶装</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bidi="ar"/>
                    </w:rPr>
                  </w:pPr>
                  <w:r>
                    <w:rPr>
                      <w:rFonts w:hint="eastAsia"/>
                      <w:color w:val="auto"/>
                      <w:szCs w:val="21"/>
                      <w:u w:val="none"/>
                      <w:lang w:eastAsia="zh-CN" w:bidi="ar"/>
                    </w:rPr>
                    <w:t>液态</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color w:val="auto"/>
                      <w:szCs w:val="21"/>
                      <w:u w:val="none"/>
                      <w:lang w:eastAsia="zh-CN"/>
                    </w:rPr>
                    <w:t>外购</w:t>
                  </w:r>
                </w:p>
              </w:tc>
              <w:tc>
                <w:tcPr>
                  <w:tcW w:w="1129" w:type="dxa"/>
                  <w:vMerge w:val="restart"/>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val="en-US" w:eastAsia="zh-CN"/>
                    </w:rPr>
                  </w:pPr>
                  <w:r>
                    <w:rPr>
                      <w:rFonts w:hint="eastAsia" w:ascii="Times New Roman" w:hAnsi="Times New Roman" w:eastAsia="宋体" w:cs="Times New Roman"/>
                      <w:color w:val="auto"/>
                      <w:szCs w:val="21"/>
                      <w:u w:val="none"/>
                      <w:lang w:val="en-US" w:eastAsia="zh-CN"/>
                    </w:rPr>
                    <w:t>车间</w:t>
                  </w:r>
                  <w:r>
                    <w:rPr>
                      <w:rFonts w:hint="eastAsia" w:cs="Times New Roman"/>
                      <w:color w:val="auto"/>
                      <w:szCs w:val="21"/>
                      <w:u w:val="none"/>
                      <w:lang w:val="en-US" w:eastAsia="zh-CN"/>
                    </w:rPr>
                    <w:t>内</w:t>
                  </w:r>
                  <w:r>
                    <w:rPr>
                      <w:rFonts w:hint="eastAsia" w:ascii="Times New Roman" w:hAnsi="Times New Roman" w:eastAsia="宋体" w:cs="Times New Roman"/>
                      <w:color w:val="auto"/>
                      <w:szCs w:val="21"/>
                      <w:u w:val="none"/>
                      <w:lang w:val="en-US" w:eastAsia="zh-CN"/>
                    </w:rPr>
                    <w:t>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color w:val="auto"/>
                      <w:szCs w:val="21"/>
                      <w:u w:val="none"/>
                    </w:rPr>
                  </w:pPr>
                  <w:r>
                    <w:rPr>
                      <w:rFonts w:hAnsi="宋体"/>
                      <w:color w:val="auto"/>
                      <w:szCs w:val="21"/>
                      <w:u w:val="none"/>
                    </w:rPr>
                    <w:t>滑石粉</w:t>
                  </w:r>
                </w:p>
              </w:tc>
              <w:tc>
                <w:tcPr>
                  <w:tcW w:w="817" w:type="dxa"/>
                  <w:noWrap w:val="0"/>
                  <w:vAlign w:val="center"/>
                </w:tcPr>
                <w:p>
                  <w:pPr>
                    <w:spacing w:line="240" w:lineRule="auto"/>
                    <w:jc w:val="center"/>
                    <w:rPr>
                      <w:color w:val="auto"/>
                      <w:szCs w:val="21"/>
                    </w:rPr>
                  </w:pPr>
                  <w:r>
                    <w:rPr>
                      <w:color w:val="auto"/>
                      <w:szCs w:val="21"/>
                    </w:rPr>
                    <w:t>t/a</w:t>
                  </w:r>
                </w:p>
              </w:tc>
              <w:tc>
                <w:tcPr>
                  <w:tcW w:w="917"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940"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839"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1.5</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u w:val="none"/>
                      <w:lang w:val="en-US" w:eastAsia="zh-CN"/>
                    </w:rPr>
                  </w:pPr>
                  <w:r>
                    <w:rPr>
                      <w:rFonts w:hint="eastAsia" w:eastAsia="宋体"/>
                      <w:color w:val="auto"/>
                      <w:szCs w:val="21"/>
                      <w:u w:val="none"/>
                      <w:lang w:val="en-US" w:eastAsia="zh-CN"/>
                    </w:rPr>
                    <w:t>5</w:t>
                  </w:r>
                </w:p>
              </w:tc>
              <w:tc>
                <w:tcPr>
                  <w:tcW w:w="930" w:type="dxa"/>
                  <w:noWrap w:val="0"/>
                  <w:vAlign w:val="center"/>
                </w:tcPr>
                <w:p>
                  <w:pPr>
                    <w:keepNext w:val="0"/>
                    <w:keepLines w:val="0"/>
                    <w:pageBreakBefore w:val="0"/>
                    <w:kinsoku/>
                    <w:wordWrap/>
                    <w:overflowPunct/>
                    <w:topLinePunct w:val="0"/>
                    <w:bidi w:val="0"/>
                    <w:spacing w:line="240" w:lineRule="auto"/>
                    <w:jc w:val="center"/>
                    <w:rPr>
                      <w:color w:val="auto"/>
                      <w:szCs w:val="21"/>
                      <w:u w:val="none"/>
                    </w:rPr>
                  </w:pPr>
                  <w:r>
                    <w:rPr>
                      <w:rFonts w:hint="eastAsia"/>
                      <w:color w:val="auto"/>
                      <w:szCs w:val="21"/>
                      <w:u w:val="none"/>
                      <w:lang w:val="en-US" w:eastAsia="zh-CN" w:bidi="ar"/>
                    </w:rPr>
                    <w:t>袋装</w:t>
                  </w:r>
                </w:p>
              </w:tc>
              <w:tc>
                <w:tcPr>
                  <w:tcW w:w="735" w:type="dxa"/>
                  <w:noWrap w:val="0"/>
                  <w:vAlign w:val="center"/>
                </w:tcPr>
                <w:p>
                  <w:pPr>
                    <w:keepNext w:val="0"/>
                    <w:keepLines w:val="0"/>
                    <w:pageBreakBefore w:val="0"/>
                    <w:kinsoku/>
                    <w:wordWrap/>
                    <w:overflowPunct/>
                    <w:topLinePunct w:val="0"/>
                    <w:bidi w:val="0"/>
                    <w:spacing w:line="240" w:lineRule="auto"/>
                    <w:jc w:val="center"/>
                    <w:rPr>
                      <w:color w:val="auto"/>
                      <w:szCs w:val="21"/>
                      <w:u w:val="none"/>
                    </w:rPr>
                  </w:pPr>
                  <w:r>
                    <w:rPr>
                      <w:rFonts w:hint="eastAsia"/>
                      <w:color w:val="auto"/>
                      <w:szCs w:val="21"/>
                      <w:u w:val="none"/>
                      <w:lang w:eastAsia="zh-CN" w:bidi="ar"/>
                    </w:rPr>
                    <w:t>固态</w:t>
                  </w:r>
                </w:p>
              </w:tc>
              <w:tc>
                <w:tcPr>
                  <w:tcW w:w="660" w:type="dxa"/>
                  <w:noWrap w:val="0"/>
                  <w:vAlign w:val="center"/>
                </w:tcPr>
                <w:p>
                  <w:pPr>
                    <w:keepNext w:val="0"/>
                    <w:keepLines w:val="0"/>
                    <w:pageBreakBefore w:val="0"/>
                    <w:kinsoku/>
                    <w:wordWrap/>
                    <w:overflowPunct/>
                    <w:topLinePunct w:val="0"/>
                    <w:bidi w:val="0"/>
                    <w:spacing w:line="240" w:lineRule="auto"/>
                    <w:jc w:val="center"/>
                    <w:rPr>
                      <w:color w:val="auto"/>
                      <w:szCs w:val="21"/>
                      <w:u w:val="none"/>
                    </w:rPr>
                  </w:pPr>
                  <w:r>
                    <w:rPr>
                      <w:rFonts w:hint="eastAsia"/>
                      <w:color w:val="auto"/>
                      <w:szCs w:val="21"/>
                      <w:u w:val="none"/>
                      <w:lang w:eastAsia="zh-CN"/>
                    </w:rPr>
                    <w:t>外购</w:t>
                  </w:r>
                </w:p>
              </w:tc>
              <w:tc>
                <w:tcPr>
                  <w:tcW w:w="1129" w:type="dxa"/>
                  <w:vMerge w:val="continue"/>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color w:val="auto"/>
                      <w:szCs w:val="21"/>
                      <w:highlight w:val="none"/>
                      <w:u w:val="single"/>
                    </w:rPr>
                  </w:pPr>
                  <w:r>
                    <w:rPr>
                      <w:rFonts w:hint="eastAsia" w:hAnsi="宋体"/>
                      <w:color w:val="auto"/>
                      <w:szCs w:val="21"/>
                      <w:highlight w:val="none"/>
                      <w:u w:val="single"/>
                      <w:lang w:val="en-US" w:eastAsia="zh-CN"/>
                    </w:rPr>
                    <w:t>96%</w:t>
                  </w:r>
                  <w:r>
                    <w:rPr>
                      <w:rFonts w:hAnsi="宋体"/>
                      <w:color w:val="auto"/>
                      <w:szCs w:val="21"/>
                      <w:highlight w:val="none"/>
                      <w:u w:val="single"/>
                    </w:rPr>
                    <w:t>硫酸</w:t>
                  </w:r>
                </w:p>
              </w:tc>
              <w:tc>
                <w:tcPr>
                  <w:tcW w:w="817" w:type="dxa"/>
                  <w:noWrap w:val="0"/>
                  <w:vAlign w:val="center"/>
                </w:tcPr>
                <w:p>
                  <w:pPr>
                    <w:spacing w:line="240" w:lineRule="auto"/>
                    <w:jc w:val="center"/>
                    <w:rPr>
                      <w:color w:val="auto"/>
                      <w:szCs w:val="21"/>
                      <w:highlight w:val="none"/>
                      <w:u w:val="single"/>
                    </w:rPr>
                  </w:pPr>
                  <w:r>
                    <w:rPr>
                      <w:color w:val="auto"/>
                      <w:szCs w:val="21"/>
                      <w:highlight w:val="none"/>
                      <w:u w:val="single"/>
                    </w:rPr>
                    <w:t>t/a</w:t>
                  </w:r>
                </w:p>
              </w:tc>
              <w:tc>
                <w:tcPr>
                  <w:tcW w:w="917" w:type="dxa"/>
                  <w:noWrap w:val="0"/>
                  <w:vAlign w:val="center"/>
                </w:tcPr>
                <w:p>
                  <w:pPr>
                    <w:spacing w:line="240" w:lineRule="auto"/>
                    <w:jc w:val="center"/>
                    <w:rPr>
                      <w:rFonts w:hint="eastAsia"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val="en-US" w:eastAsia="zh-CN"/>
                    </w:rPr>
                    <w:t>0.5</w:t>
                  </w:r>
                </w:p>
              </w:tc>
              <w:tc>
                <w:tcPr>
                  <w:tcW w:w="940" w:type="dxa"/>
                  <w:noWrap w:val="0"/>
                  <w:vAlign w:val="center"/>
                </w:tcPr>
                <w:p>
                  <w:pPr>
                    <w:spacing w:line="240" w:lineRule="auto"/>
                    <w:jc w:val="center"/>
                    <w:rPr>
                      <w:rFonts w:hint="default"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u w:val="single"/>
                      <w:lang w:val="en-US" w:eastAsia="zh-CN"/>
                    </w:rPr>
                    <w:t>8.4</w:t>
                  </w:r>
                </w:p>
              </w:tc>
              <w:tc>
                <w:tcPr>
                  <w:tcW w:w="839" w:type="dxa"/>
                  <w:noWrap w:val="0"/>
                  <w:vAlign w:val="center"/>
                </w:tcPr>
                <w:p>
                  <w:pPr>
                    <w:spacing w:line="240" w:lineRule="auto"/>
                    <w:jc w:val="center"/>
                    <w:rPr>
                      <w:rFonts w:hint="default"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u w:val="single"/>
                      <w:lang w:val="en-US" w:eastAsia="zh-CN"/>
                    </w:rPr>
                    <w:t>+7.9</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u w:val="single"/>
                      <w:lang w:val="en-US" w:eastAsia="zh-CN"/>
                    </w:rPr>
                  </w:pPr>
                  <w:r>
                    <w:rPr>
                      <w:rFonts w:hint="eastAsia" w:eastAsia="宋体"/>
                      <w:color w:val="auto"/>
                      <w:szCs w:val="21"/>
                      <w:highlight w:val="none"/>
                      <w:u w:val="single"/>
                      <w:lang w:val="en-US" w:eastAsia="zh-CN"/>
                    </w:rPr>
                    <w:t>30</w:t>
                  </w:r>
                </w:p>
              </w:tc>
              <w:tc>
                <w:tcPr>
                  <w:tcW w:w="930" w:type="dxa"/>
                  <w:noWrap w:val="0"/>
                  <w:vAlign w:val="center"/>
                </w:tcPr>
                <w:p>
                  <w:pPr>
                    <w:keepNext w:val="0"/>
                    <w:keepLines w:val="0"/>
                    <w:pageBreakBefore w:val="0"/>
                    <w:kinsoku/>
                    <w:wordWrap/>
                    <w:overflowPunct/>
                    <w:topLinePunct w:val="0"/>
                    <w:bidi w:val="0"/>
                    <w:spacing w:line="240" w:lineRule="auto"/>
                    <w:jc w:val="center"/>
                    <w:rPr>
                      <w:color w:val="auto"/>
                      <w:szCs w:val="21"/>
                      <w:highlight w:val="none"/>
                      <w:u w:val="single"/>
                    </w:rPr>
                  </w:pPr>
                  <w:r>
                    <w:rPr>
                      <w:rFonts w:hint="eastAsia"/>
                      <w:color w:val="auto"/>
                      <w:szCs w:val="21"/>
                      <w:highlight w:val="none"/>
                      <w:u w:val="single"/>
                      <w:lang w:val="en-US" w:eastAsia="zh-CN" w:bidi="ar"/>
                    </w:rPr>
                    <w:t>20m</w:t>
                  </w:r>
                  <w:r>
                    <w:rPr>
                      <w:rFonts w:hint="eastAsia"/>
                      <w:color w:val="auto"/>
                      <w:szCs w:val="21"/>
                      <w:highlight w:val="none"/>
                      <w:u w:val="single"/>
                      <w:vertAlign w:val="superscript"/>
                      <w:lang w:val="en-US" w:eastAsia="zh-CN" w:bidi="ar"/>
                    </w:rPr>
                    <w:t>3</w:t>
                  </w:r>
                  <w:r>
                    <w:rPr>
                      <w:rFonts w:hint="eastAsia"/>
                      <w:color w:val="auto"/>
                      <w:szCs w:val="21"/>
                      <w:highlight w:val="none"/>
                      <w:u w:val="single"/>
                      <w:vertAlign w:val="baseline"/>
                      <w:lang w:val="en-US" w:eastAsia="zh-CN" w:bidi="ar"/>
                    </w:rPr>
                    <w:t>/</w:t>
                  </w:r>
                  <w:r>
                    <w:rPr>
                      <w:rFonts w:hint="eastAsia"/>
                      <w:color w:val="auto"/>
                      <w:szCs w:val="21"/>
                      <w:highlight w:val="none"/>
                      <w:u w:val="single"/>
                      <w:lang w:val="en-US" w:eastAsia="zh-CN" w:bidi="ar"/>
                    </w:rPr>
                    <w:t>罐</w:t>
                  </w:r>
                </w:p>
              </w:tc>
              <w:tc>
                <w:tcPr>
                  <w:tcW w:w="735" w:type="dxa"/>
                  <w:noWrap w:val="0"/>
                  <w:vAlign w:val="center"/>
                </w:tcPr>
                <w:p>
                  <w:pPr>
                    <w:keepNext w:val="0"/>
                    <w:keepLines w:val="0"/>
                    <w:pageBreakBefore w:val="0"/>
                    <w:kinsoku/>
                    <w:wordWrap/>
                    <w:overflowPunct/>
                    <w:topLinePunct w:val="0"/>
                    <w:bidi w:val="0"/>
                    <w:spacing w:line="240" w:lineRule="auto"/>
                    <w:jc w:val="center"/>
                    <w:rPr>
                      <w:color w:val="auto"/>
                      <w:szCs w:val="21"/>
                      <w:highlight w:val="none"/>
                      <w:u w:val="single"/>
                    </w:rPr>
                  </w:pPr>
                  <w:r>
                    <w:rPr>
                      <w:rFonts w:hint="eastAsia"/>
                      <w:color w:val="auto"/>
                      <w:szCs w:val="21"/>
                      <w:highlight w:val="none"/>
                      <w:u w:val="single"/>
                      <w:lang w:eastAsia="zh-CN" w:bidi="ar"/>
                    </w:rPr>
                    <w:t>固态</w:t>
                  </w:r>
                </w:p>
              </w:tc>
              <w:tc>
                <w:tcPr>
                  <w:tcW w:w="660" w:type="dxa"/>
                  <w:noWrap w:val="0"/>
                  <w:vAlign w:val="center"/>
                </w:tcPr>
                <w:p>
                  <w:pPr>
                    <w:keepNext w:val="0"/>
                    <w:keepLines w:val="0"/>
                    <w:pageBreakBefore w:val="0"/>
                    <w:kinsoku/>
                    <w:wordWrap/>
                    <w:overflowPunct/>
                    <w:topLinePunct w:val="0"/>
                    <w:bidi w:val="0"/>
                    <w:spacing w:line="240" w:lineRule="auto"/>
                    <w:jc w:val="center"/>
                    <w:rPr>
                      <w:color w:val="auto"/>
                      <w:szCs w:val="21"/>
                      <w:highlight w:val="none"/>
                      <w:u w:val="single"/>
                    </w:rPr>
                  </w:pPr>
                  <w:r>
                    <w:rPr>
                      <w:rFonts w:hint="eastAsia"/>
                      <w:color w:val="auto"/>
                      <w:szCs w:val="21"/>
                      <w:highlight w:val="none"/>
                      <w:u w:val="single"/>
                      <w:lang w:eastAsia="zh-CN"/>
                    </w:rPr>
                    <w:t>外购</w:t>
                  </w:r>
                </w:p>
              </w:tc>
              <w:tc>
                <w:tcPr>
                  <w:tcW w:w="1129"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single"/>
                      <w:lang w:eastAsia="zh-CN"/>
                    </w:rPr>
                  </w:pPr>
                  <w:r>
                    <w:rPr>
                      <w:rFonts w:hint="eastAsia"/>
                      <w:color w:val="auto"/>
                      <w:szCs w:val="21"/>
                      <w:u w:val="single"/>
                      <w:lang w:eastAsia="zh-CN"/>
                    </w:rPr>
                    <w:t>硫酸罐区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皮膜剂</w:t>
                  </w:r>
                </w:p>
              </w:tc>
              <w:tc>
                <w:tcPr>
                  <w:tcW w:w="817" w:type="dxa"/>
                  <w:noWrap w:val="0"/>
                  <w:vAlign w:val="center"/>
                </w:tcPr>
                <w:p>
                  <w:pPr>
                    <w:spacing w:line="240" w:lineRule="auto"/>
                    <w:jc w:val="center"/>
                    <w:rPr>
                      <w:color w:val="auto"/>
                      <w:szCs w:val="21"/>
                      <w:u w:val="none"/>
                    </w:rPr>
                  </w:pPr>
                  <w:r>
                    <w:rPr>
                      <w:rFonts w:hint="eastAsia"/>
                      <w:color w:val="auto"/>
                      <w:szCs w:val="21"/>
                    </w:rPr>
                    <w:t>t</w:t>
                  </w:r>
                  <w:r>
                    <w:rPr>
                      <w:color w:val="auto"/>
                      <w:szCs w:val="21"/>
                    </w:rPr>
                    <w:t>/a</w:t>
                  </w:r>
                </w:p>
              </w:tc>
              <w:tc>
                <w:tcPr>
                  <w:tcW w:w="917"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940"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839"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u w:val="none"/>
                      <w:lang w:val="en-US" w:eastAsia="zh-CN"/>
                    </w:rPr>
                  </w:pPr>
                  <w:r>
                    <w:rPr>
                      <w:rFonts w:hint="eastAsia"/>
                      <w:color w:val="auto"/>
                      <w:szCs w:val="21"/>
                      <w:u w:val="none"/>
                      <w:lang w:val="en-US" w:eastAsia="zh-CN"/>
                    </w:rPr>
                    <w:t>0.5</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bidi="ar"/>
                    </w:rPr>
                  </w:pPr>
                  <w:r>
                    <w:rPr>
                      <w:rFonts w:hint="eastAsia"/>
                      <w:color w:val="auto"/>
                      <w:szCs w:val="21"/>
                      <w:u w:val="none"/>
                      <w:lang w:eastAsia="zh-CN" w:bidi="ar"/>
                    </w:rPr>
                    <w:t>桶装</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olor w:val="auto"/>
                      <w:szCs w:val="21"/>
                      <w:u w:val="none"/>
                      <w:lang w:eastAsia="zh-CN" w:bidi="ar"/>
                    </w:rPr>
                    <w:t>液态</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color w:val="auto"/>
                      <w:szCs w:val="21"/>
                      <w:u w:val="none"/>
                      <w:lang w:eastAsia="zh-CN"/>
                    </w:rPr>
                    <w:t>外购</w:t>
                  </w:r>
                </w:p>
              </w:tc>
              <w:tc>
                <w:tcPr>
                  <w:tcW w:w="1129" w:type="dxa"/>
                  <w:noWrap w:val="0"/>
                  <w:vAlign w:val="center"/>
                </w:tcPr>
                <w:p>
                  <w:pPr>
                    <w:keepNext w:val="0"/>
                    <w:keepLines w:val="0"/>
                    <w:pageBreakBefore w:val="0"/>
                    <w:kinsoku/>
                    <w:wordWrap/>
                    <w:overflowPunct/>
                    <w:topLinePunct w:val="0"/>
                    <w:bidi w:val="0"/>
                    <w:spacing w:line="240" w:lineRule="auto"/>
                    <w:jc w:val="center"/>
                    <w:rPr>
                      <w:color w:val="auto"/>
                      <w:szCs w:val="21"/>
                      <w:u w:val="none"/>
                    </w:rPr>
                  </w:pPr>
                  <w:r>
                    <w:rPr>
                      <w:rFonts w:hint="eastAsia" w:ascii="Times New Roman" w:hAnsi="Times New Roman" w:eastAsia="宋体" w:cs="Times New Roman"/>
                      <w:color w:val="auto"/>
                      <w:szCs w:val="21"/>
                      <w:u w:val="none"/>
                      <w:lang w:val="en-US" w:eastAsia="zh-CN"/>
                    </w:rPr>
                    <w:t>车间</w:t>
                  </w:r>
                  <w:r>
                    <w:rPr>
                      <w:rFonts w:hint="eastAsia" w:cs="Times New Roman"/>
                      <w:color w:val="auto"/>
                      <w:szCs w:val="21"/>
                      <w:u w:val="none"/>
                      <w:lang w:val="en-US" w:eastAsia="zh-CN"/>
                    </w:rPr>
                    <w:t>内</w:t>
                  </w:r>
                  <w:r>
                    <w:rPr>
                      <w:rFonts w:hint="eastAsia" w:ascii="Times New Roman" w:hAnsi="Times New Roman" w:eastAsia="宋体" w:cs="Times New Roman"/>
                      <w:color w:val="auto"/>
                      <w:szCs w:val="21"/>
                      <w:u w:val="none"/>
                      <w:lang w:val="en-US" w:eastAsia="zh-CN"/>
                    </w:rPr>
                    <w:t>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乳化油</w:t>
                  </w:r>
                </w:p>
              </w:tc>
              <w:tc>
                <w:tcPr>
                  <w:tcW w:w="817" w:type="dxa"/>
                  <w:noWrap w:val="0"/>
                  <w:vAlign w:val="center"/>
                </w:tcPr>
                <w:p>
                  <w:pPr>
                    <w:spacing w:line="240" w:lineRule="auto"/>
                    <w:jc w:val="center"/>
                    <w:rPr>
                      <w:rFonts w:hint="eastAsia"/>
                      <w:color w:val="auto"/>
                      <w:szCs w:val="21"/>
                    </w:rPr>
                  </w:pPr>
                  <w:r>
                    <w:rPr>
                      <w:rFonts w:hint="eastAsia"/>
                      <w:color w:val="auto"/>
                      <w:szCs w:val="21"/>
                    </w:rPr>
                    <w:t>t</w:t>
                  </w:r>
                  <w:r>
                    <w:rPr>
                      <w:color w:val="auto"/>
                      <w:szCs w:val="21"/>
                    </w:rPr>
                    <w:t>/a</w:t>
                  </w:r>
                </w:p>
              </w:tc>
              <w:tc>
                <w:tcPr>
                  <w:tcW w:w="917"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940"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839"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w:t>
                  </w:r>
                </w:p>
              </w:tc>
              <w:tc>
                <w:tcPr>
                  <w:tcW w:w="64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eastAsia="宋体"/>
                      <w:color w:val="auto"/>
                      <w:szCs w:val="21"/>
                      <w:u w:val="none"/>
                      <w:lang w:val="en-US" w:eastAsia="zh-CN"/>
                    </w:rPr>
                    <w:t>/</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eastAsia="宋体"/>
                      <w:color w:val="auto"/>
                      <w:szCs w:val="21"/>
                      <w:u w:val="none"/>
                      <w:lang w:val="en-US" w:eastAsia="zh-CN"/>
                    </w:rPr>
                    <w:t>/</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eastAsia="宋体"/>
                      <w:color w:val="auto"/>
                      <w:szCs w:val="21"/>
                      <w:u w:val="none"/>
                      <w:lang w:val="en-US" w:eastAsia="zh-CN"/>
                    </w:rPr>
                    <w:t>/</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eastAsia="宋体"/>
                      <w:color w:val="auto"/>
                      <w:szCs w:val="21"/>
                      <w:u w:val="none"/>
                      <w:lang w:val="en-US" w:eastAsia="zh-CN"/>
                    </w:rPr>
                    <w:t>/</w:t>
                  </w:r>
                </w:p>
              </w:tc>
              <w:tc>
                <w:tcPr>
                  <w:tcW w:w="1129"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eastAsia="zh-CN"/>
                    </w:rPr>
                  </w:pPr>
                  <w:r>
                    <w:rPr>
                      <w:rFonts w:hint="eastAsia"/>
                      <w:b/>
                      <w:bCs/>
                      <w:color w:val="auto"/>
                      <w:szCs w:val="21"/>
                      <w:u w:val="none"/>
                      <w:lang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rFonts w:hint="eastAsia"/>
                      <w:color w:val="auto"/>
                      <w:szCs w:val="21"/>
                      <w:u w:val="none"/>
                      <w:lang w:val="en-US" w:eastAsia="zh-CN"/>
                    </w:rPr>
                  </w:pPr>
                  <w:r>
                    <w:rPr>
                      <w:rFonts w:hAnsi="宋体"/>
                      <w:color w:val="auto"/>
                      <w:szCs w:val="21"/>
                      <w:highlight w:val="none"/>
                      <w:u w:val="none"/>
                    </w:rPr>
                    <w:t>片碱</w:t>
                  </w:r>
                </w:p>
              </w:tc>
              <w:tc>
                <w:tcPr>
                  <w:tcW w:w="817" w:type="dxa"/>
                  <w:noWrap w:val="0"/>
                  <w:vAlign w:val="center"/>
                </w:tcPr>
                <w:p>
                  <w:pPr>
                    <w:spacing w:line="240" w:lineRule="auto"/>
                    <w:jc w:val="center"/>
                    <w:rPr>
                      <w:rFonts w:hint="eastAsia"/>
                      <w:color w:val="auto"/>
                      <w:szCs w:val="21"/>
                    </w:rPr>
                  </w:pPr>
                  <w:r>
                    <w:rPr>
                      <w:color w:val="auto"/>
                      <w:szCs w:val="21"/>
                    </w:rPr>
                    <w:t>t/a</w:t>
                  </w:r>
                </w:p>
              </w:tc>
              <w:tc>
                <w:tcPr>
                  <w:tcW w:w="917"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940"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839" w:type="dxa"/>
                  <w:noWrap w:val="0"/>
                  <w:vAlign w:val="center"/>
                </w:tcPr>
                <w:p>
                  <w:pPr>
                    <w:spacing w:line="240" w:lineRule="auto"/>
                    <w:jc w:val="center"/>
                    <w:rPr>
                      <w:rFonts w:hint="eastAsia" w:cs="Times New Roman"/>
                      <w:color w:val="auto"/>
                      <w:szCs w:val="21"/>
                      <w:lang w:val="en-US" w:eastAsia="zh-CN"/>
                    </w:rPr>
                  </w:pPr>
                  <w:r>
                    <w:rPr>
                      <w:rFonts w:hint="eastAsia" w:cs="Times New Roman"/>
                      <w:color w:val="auto"/>
                      <w:szCs w:val="21"/>
                      <w:lang w:val="en-US" w:eastAsia="zh-CN"/>
                    </w:rPr>
                    <w:t>-0.5</w:t>
                  </w:r>
                </w:p>
              </w:tc>
              <w:tc>
                <w:tcPr>
                  <w:tcW w:w="645"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val="en-US" w:eastAsia="zh-CN"/>
                    </w:rPr>
                  </w:pPr>
                  <w:r>
                    <w:rPr>
                      <w:rFonts w:hint="eastAsia" w:eastAsia="宋体"/>
                      <w:color w:val="auto"/>
                      <w:szCs w:val="21"/>
                      <w:u w:val="none"/>
                      <w:lang w:val="en-US" w:eastAsia="zh-CN"/>
                    </w:rPr>
                    <w:t>/</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eastAsia="宋体"/>
                      <w:color w:val="auto"/>
                      <w:szCs w:val="21"/>
                      <w:u w:val="none"/>
                      <w:lang w:val="en-US" w:eastAsia="zh-CN"/>
                    </w:rPr>
                    <w:t>/</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bidi="ar"/>
                    </w:rPr>
                  </w:pPr>
                  <w:r>
                    <w:rPr>
                      <w:rFonts w:hint="eastAsia" w:eastAsia="宋体"/>
                      <w:color w:val="auto"/>
                      <w:szCs w:val="21"/>
                      <w:u w:val="none"/>
                      <w:lang w:val="en-US" w:eastAsia="zh-CN"/>
                    </w:rPr>
                    <w:t>/</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eastAsia="宋体"/>
                      <w:color w:val="auto"/>
                      <w:szCs w:val="21"/>
                      <w:u w:val="none"/>
                      <w:lang w:val="en-US" w:eastAsia="zh-CN"/>
                    </w:rPr>
                    <w:t>/</w:t>
                  </w:r>
                </w:p>
              </w:tc>
              <w:tc>
                <w:tcPr>
                  <w:tcW w:w="1129" w:type="dxa"/>
                  <w:noWrap w:val="0"/>
                  <w:vAlign w:val="center"/>
                </w:tcPr>
                <w:p>
                  <w:pPr>
                    <w:keepNext w:val="0"/>
                    <w:keepLines w:val="0"/>
                    <w:pageBreakBefore w:val="0"/>
                    <w:kinsoku/>
                    <w:wordWrap/>
                    <w:overflowPunct/>
                    <w:topLinePunct w:val="0"/>
                    <w:bidi w:val="0"/>
                    <w:spacing w:line="240" w:lineRule="auto"/>
                    <w:jc w:val="center"/>
                    <w:rPr>
                      <w:rFonts w:hint="eastAsia"/>
                      <w:b/>
                      <w:bCs/>
                      <w:color w:val="auto"/>
                      <w:szCs w:val="21"/>
                      <w:u w:val="none"/>
                      <w:lang w:eastAsia="zh-CN"/>
                    </w:rPr>
                  </w:pPr>
                  <w:r>
                    <w:rPr>
                      <w:rFonts w:hint="eastAsia"/>
                      <w:b/>
                      <w:bCs/>
                      <w:color w:val="auto"/>
                      <w:szCs w:val="21"/>
                      <w:u w:val="none"/>
                      <w:lang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rFonts w:hint="eastAsia" w:ascii="Times New Roman" w:hAnsi="Times New Roman" w:eastAsia="宋体" w:cs="Times New Roman"/>
                      <w:color w:val="auto"/>
                      <w:szCs w:val="21"/>
                      <w:u w:val="none"/>
                    </w:rPr>
                  </w:pPr>
                  <w:r>
                    <w:rPr>
                      <w:rFonts w:hAnsi="宋体"/>
                      <w:color w:val="auto"/>
                      <w:szCs w:val="21"/>
                      <w:u w:val="none"/>
                    </w:rPr>
                    <w:t>塑料盘</w:t>
                  </w:r>
                </w:p>
              </w:tc>
              <w:tc>
                <w:tcPr>
                  <w:tcW w:w="817"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Times New Roman"/>
                      <w:color w:val="auto"/>
                      <w:szCs w:val="21"/>
                      <w:u w:val="none"/>
                      <w:lang w:val="en-US" w:eastAsia="zh-CN"/>
                    </w:rPr>
                  </w:pPr>
                  <w:r>
                    <w:rPr>
                      <w:rFonts w:hAnsi="宋体"/>
                      <w:color w:val="auto"/>
                      <w:szCs w:val="21"/>
                    </w:rPr>
                    <w:t>万只</w:t>
                  </w:r>
                  <w:r>
                    <w:rPr>
                      <w:color w:val="auto"/>
                      <w:szCs w:val="21"/>
                    </w:rPr>
                    <w:t>/a</w:t>
                  </w:r>
                </w:p>
              </w:tc>
              <w:tc>
                <w:tcPr>
                  <w:tcW w:w="917" w:type="dxa"/>
                  <w:noWrap w:val="0"/>
                  <w:vAlign w:val="center"/>
                </w:tcPr>
                <w:p>
                  <w:pPr>
                    <w:spacing w:line="24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940"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6.7</w:t>
                  </w:r>
                </w:p>
              </w:tc>
              <w:tc>
                <w:tcPr>
                  <w:tcW w:w="839"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.7</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u w:val="none"/>
                      <w:lang w:val="en-US" w:eastAsia="zh-CN"/>
                    </w:rPr>
                  </w:pPr>
                  <w:r>
                    <w:rPr>
                      <w:rFonts w:hint="eastAsia"/>
                      <w:color w:val="auto"/>
                      <w:szCs w:val="21"/>
                      <w:u w:val="none"/>
                      <w:lang w:val="en-US" w:eastAsia="zh-CN"/>
                    </w:rPr>
                    <w:t>/</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bidi="ar"/>
                    </w:rPr>
                  </w:pPr>
                  <w:r>
                    <w:rPr>
                      <w:rFonts w:hint="eastAsia"/>
                      <w:color w:val="auto"/>
                      <w:szCs w:val="21"/>
                      <w:u w:val="none"/>
                      <w:lang w:val="en-US" w:eastAsia="zh-CN" w:bidi="ar"/>
                    </w:rPr>
                    <w:t>/</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olor w:val="auto"/>
                      <w:szCs w:val="21"/>
                      <w:u w:val="none"/>
                      <w:lang w:eastAsia="zh-CN" w:bidi="ar"/>
                    </w:rPr>
                    <w:t>固态</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ascii="宋体"/>
                      <w:color w:val="auto"/>
                      <w:szCs w:val="21"/>
                      <w:highlight w:val="none"/>
                      <w:u w:val="none"/>
                      <w:lang w:eastAsia="zh-CN"/>
                    </w:rPr>
                    <w:t>自产</w:t>
                  </w:r>
                </w:p>
              </w:tc>
              <w:tc>
                <w:tcPr>
                  <w:tcW w:w="1129" w:type="dxa"/>
                  <w:vMerge w:val="restart"/>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eastAsia="zh-CN"/>
                    </w:rPr>
                  </w:pPr>
                  <w:r>
                    <w:rPr>
                      <w:rFonts w:hint="eastAsia"/>
                      <w:color w:val="auto"/>
                      <w:szCs w:val="21"/>
                      <w:u w:val="none"/>
                      <w:lang w:eastAsia="zh-CN"/>
                    </w:rPr>
                    <w:t>产品堆场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rFonts w:hint="eastAsia" w:ascii="Times New Roman" w:hAnsi="Times New Roman" w:eastAsia="宋体" w:cs="Times New Roman"/>
                      <w:color w:val="auto"/>
                      <w:szCs w:val="21"/>
                      <w:u w:val="none"/>
                    </w:rPr>
                  </w:pPr>
                  <w:r>
                    <w:rPr>
                      <w:rFonts w:hAnsi="宋体"/>
                      <w:color w:val="auto"/>
                      <w:szCs w:val="21"/>
                      <w:u w:val="none"/>
                    </w:rPr>
                    <w:t>纸箱</w:t>
                  </w:r>
                </w:p>
              </w:tc>
              <w:tc>
                <w:tcPr>
                  <w:tcW w:w="817" w:type="dxa"/>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cs="Times New Roman"/>
                      <w:color w:val="auto"/>
                      <w:kern w:val="2"/>
                      <w:sz w:val="21"/>
                      <w:szCs w:val="21"/>
                      <w:u w:val="none"/>
                      <w:lang w:val="en-US" w:eastAsia="zh-CN" w:bidi="ar-SA"/>
                    </w:rPr>
                  </w:pPr>
                  <w:r>
                    <w:rPr>
                      <w:rFonts w:hAnsi="宋体"/>
                      <w:color w:val="auto"/>
                      <w:szCs w:val="21"/>
                    </w:rPr>
                    <w:t>万只</w:t>
                  </w:r>
                  <w:r>
                    <w:rPr>
                      <w:color w:val="auto"/>
                      <w:szCs w:val="21"/>
                    </w:rPr>
                    <w:t>/a</w:t>
                  </w:r>
                </w:p>
              </w:tc>
              <w:tc>
                <w:tcPr>
                  <w:tcW w:w="917"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940"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6.7</w:t>
                  </w:r>
                </w:p>
              </w:tc>
              <w:tc>
                <w:tcPr>
                  <w:tcW w:w="839"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.7</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u w:val="none"/>
                      <w:lang w:val="en-US" w:eastAsia="zh-CN"/>
                    </w:rPr>
                  </w:pPr>
                  <w:r>
                    <w:rPr>
                      <w:rFonts w:hint="eastAsia" w:eastAsia="宋体"/>
                      <w:color w:val="auto"/>
                      <w:szCs w:val="21"/>
                      <w:u w:val="none"/>
                      <w:lang w:val="en-US" w:eastAsia="zh-CN"/>
                    </w:rPr>
                    <w:t>/</w:t>
                  </w:r>
                </w:p>
              </w:tc>
              <w:tc>
                <w:tcPr>
                  <w:tcW w:w="930"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val="en-US" w:eastAsia="zh-CN" w:bidi="ar"/>
                    </w:rPr>
                  </w:pPr>
                  <w:r>
                    <w:rPr>
                      <w:rFonts w:hint="eastAsia"/>
                      <w:color w:val="auto"/>
                      <w:szCs w:val="21"/>
                      <w:u w:val="none"/>
                      <w:lang w:val="en-US" w:eastAsia="zh-CN" w:bidi="ar"/>
                    </w:rPr>
                    <w:t>/</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olor w:val="auto"/>
                      <w:szCs w:val="21"/>
                      <w:u w:val="none"/>
                      <w:lang w:eastAsia="zh-CN" w:bidi="ar"/>
                    </w:rPr>
                    <w:t>固态</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ascii="宋体"/>
                      <w:color w:val="auto"/>
                      <w:szCs w:val="21"/>
                      <w:highlight w:val="none"/>
                      <w:u w:val="none"/>
                      <w:lang w:eastAsia="zh-CN"/>
                    </w:rPr>
                    <w:t>外购</w:t>
                  </w:r>
                </w:p>
              </w:tc>
              <w:tc>
                <w:tcPr>
                  <w:tcW w:w="1129" w:type="dxa"/>
                  <w:vMerge w:val="continue"/>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82" w:type="dxa"/>
                  <w:noWrap w:val="0"/>
                  <w:vAlign w:val="center"/>
                </w:tcPr>
                <w:p>
                  <w:pPr>
                    <w:keepNext w:val="0"/>
                    <w:keepLines w:val="0"/>
                    <w:pageBreakBefore w:val="0"/>
                    <w:numPr>
                      <w:ilvl w:val="0"/>
                      <w:numId w:val="9"/>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219" w:type="dxa"/>
                  <w:noWrap w:val="0"/>
                  <w:vAlign w:val="center"/>
                </w:tcPr>
                <w:p>
                  <w:pPr>
                    <w:spacing w:line="240" w:lineRule="auto"/>
                    <w:jc w:val="center"/>
                    <w:rPr>
                      <w:rFonts w:hint="eastAsia" w:hAnsi="宋体" w:eastAsia="宋体"/>
                      <w:color w:val="auto"/>
                      <w:szCs w:val="21"/>
                      <w:highlight w:val="none"/>
                      <w:u w:val="none"/>
                      <w:lang w:eastAsia="zh-CN"/>
                    </w:rPr>
                  </w:pPr>
                  <w:r>
                    <w:rPr>
                      <w:rFonts w:hint="eastAsia" w:hAnsi="宋体"/>
                      <w:color w:val="auto"/>
                      <w:szCs w:val="21"/>
                      <w:highlight w:val="none"/>
                      <w:u w:val="none"/>
                      <w:lang w:eastAsia="zh-CN"/>
                    </w:rPr>
                    <w:t>液氨</w:t>
                  </w:r>
                </w:p>
              </w:tc>
              <w:tc>
                <w:tcPr>
                  <w:tcW w:w="817" w:type="dxa"/>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hAnsi="宋体" w:eastAsia="宋体"/>
                      <w:color w:val="auto"/>
                      <w:szCs w:val="21"/>
                      <w:highlight w:val="none"/>
                      <w:lang w:val="en-US" w:eastAsia="zh-CN"/>
                    </w:rPr>
                  </w:pPr>
                  <w:r>
                    <w:rPr>
                      <w:rFonts w:hint="eastAsia"/>
                      <w:color w:val="auto"/>
                      <w:szCs w:val="21"/>
                      <w:highlight w:val="none"/>
                    </w:rPr>
                    <w:t>t</w:t>
                  </w:r>
                  <w:r>
                    <w:rPr>
                      <w:color w:val="auto"/>
                      <w:szCs w:val="21"/>
                      <w:highlight w:val="none"/>
                    </w:rPr>
                    <w:t>/a</w:t>
                  </w:r>
                </w:p>
              </w:tc>
              <w:tc>
                <w:tcPr>
                  <w:tcW w:w="917"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940"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839" w:type="dxa"/>
                  <w:noWrap w:val="0"/>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645" w:type="dxa"/>
                  <w:noWrap w:val="0"/>
                  <w:vAlign w:val="center"/>
                </w:tcPr>
                <w:p>
                  <w:pPr>
                    <w:keepNext w:val="0"/>
                    <w:keepLines w:val="0"/>
                    <w:pageBreakBefore w:val="0"/>
                    <w:kinsoku/>
                    <w:wordWrap/>
                    <w:overflowPunct/>
                    <w:topLinePunct w:val="0"/>
                    <w:bidi w:val="0"/>
                    <w:spacing w:line="240" w:lineRule="auto"/>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0.8</w:t>
                  </w:r>
                </w:p>
              </w:tc>
              <w:tc>
                <w:tcPr>
                  <w:tcW w:w="930"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800L/瓶</w:t>
                  </w:r>
                </w:p>
              </w:tc>
              <w:tc>
                <w:tcPr>
                  <w:tcW w:w="735"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eastAsia="zh-CN" w:bidi="ar"/>
                    </w:rPr>
                  </w:pPr>
                  <w:r>
                    <w:rPr>
                      <w:rFonts w:hint="eastAsia"/>
                      <w:color w:val="auto"/>
                      <w:szCs w:val="21"/>
                      <w:highlight w:val="none"/>
                      <w:u w:val="none"/>
                      <w:lang w:eastAsia="zh-CN" w:bidi="ar"/>
                    </w:rPr>
                    <w:t>气态</w:t>
                  </w:r>
                </w:p>
              </w:tc>
              <w:tc>
                <w:tcPr>
                  <w:tcW w:w="660" w:type="dxa"/>
                  <w:noWrap w:val="0"/>
                  <w:vAlign w:val="center"/>
                </w:tcPr>
                <w:p>
                  <w:pPr>
                    <w:keepNext w:val="0"/>
                    <w:keepLines w:val="0"/>
                    <w:pageBreakBefore w:val="0"/>
                    <w:kinsoku/>
                    <w:wordWrap/>
                    <w:overflowPunct/>
                    <w:topLinePunct w:val="0"/>
                    <w:bidi w:val="0"/>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外购</w:t>
                  </w:r>
                </w:p>
              </w:tc>
              <w:tc>
                <w:tcPr>
                  <w:tcW w:w="1129"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highlight w:val="none"/>
                      <w:u w:val="none"/>
                      <w:lang w:eastAsia="zh-CN"/>
                    </w:rPr>
                  </w:pPr>
                  <w:r>
                    <w:rPr>
                      <w:rFonts w:hint="eastAsia"/>
                      <w:color w:val="auto"/>
                      <w:szCs w:val="21"/>
                      <w:highlight w:val="none"/>
                      <w:u w:val="none"/>
                      <w:lang w:eastAsia="zh-CN"/>
                    </w:rPr>
                    <w:t>液氨罐区</w:t>
                  </w:r>
                </w:p>
              </w:tc>
            </w:tr>
          </w:tbl>
          <w:p>
            <w:pPr>
              <w:pStyle w:val="62"/>
              <w:bidi w:val="0"/>
              <w:rPr>
                <w:rFonts w:hint="eastAsia" w:cs="宋体"/>
                <w:color w:val="auto"/>
                <w:sz w:val="24"/>
                <w:szCs w:val="24"/>
                <w:u w:val="single"/>
                <w:lang w:val="en-US" w:eastAsia="zh-CN"/>
              </w:rPr>
            </w:pPr>
            <w:r>
              <w:rPr>
                <w:rFonts w:hint="eastAsia" w:cs="宋体"/>
                <w:color w:val="auto"/>
                <w:sz w:val="24"/>
                <w:szCs w:val="24"/>
                <w:u w:val="single"/>
                <w:lang w:val="en-US" w:eastAsia="zh-CN"/>
              </w:rPr>
              <w:t>药芯焊丝、特种电焊条、塑料盘均为新建。本项目塑料盘使用聚苯乙烯粒进行生产，不可外购再生塑料为原料，禁止使用再生塑料用于生产加工。</w:t>
            </w:r>
            <w:r>
              <w:rPr>
                <w:rFonts w:hint="eastAsia" w:ascii="Times New Roman" w:hAnsi="Times New Roman" w:eastAsia="宋体" w:cs="宋体"/>
                <w:color w:val="auto"/>
                <w:sz w:val="24"/>
                <w:szCs w:val="24"/>
                <w:u w:val="single"/>
                <w:lang w:val="en-US" w:eastAsia="zh-CN"/>
              </w:rPr>
              <w:t>原辅材料</w:t>
            </w:r>
            <w:r>
              <w:rPr>
                <w:rFonts w:hint="eastAsia" w:cs="宋体"/>
                <w:color w:val="auto"/>
                <w:sz w:val="24"/>
                <w:szCs w:val="24"/>
                <w:u w:val="single"/>
                <w:lang w:val="en-US" w:eastAsia="zh-CN"/>
              </w:rPr>
              <w:t>和能源</w:t>
            </w:r>
            <w:r>
              <w:rPr>
                <w:rFonts w:hint="eastAsia" w:ascii="Times New Roman" w:hAnsi="Times New Roman" w:eastAsia="宋体" w:cs="宋体"/>
                <w:color w:val="auto"/>
                <w:sz w:val="24"/>
                <w:szCs w:val="24"/>
                <w:u w:val="single"/>
                <w:lang w:val="en-US" w:eastAsia="zh-CN"/>
              </w:rPr>
              <w:t>消耗</w:t>
            </w:r>
            <w:r>
              <w:rPr>
                <w:rFonts w:hint="eastAsia" w:cs="宋体"/>
                <w:color w:val="auto"/>
                <w:sz w:val="24"/>
                <w:szCs w:val="24"/>
                <w:u w:val="single"/>
                <w:lang w:val="en-US" w:eastAsia="zh-CN"/>
              </w:rPr>
              <w:t>一览表见表2.4-2。</w:t>
            </w:r>
          </w:p>
          <w:p>
            <w:pPr>
              <w:pStyle w:val="62"/>
              <w:bidi w:val="0"/>
              <w:spacing w:line="240" w:lineRule="auto"/>
              <w:ind w:left="0" w:leftChars="0" w:firstLine="0" w:firstLineChars="0"/>
              <w:jc w:val="center"/>
              <w:rPr>
                <w:rFonts w:hint="default" w:cs="宋体"/>
                <w:color w:val="auto"/>
                <w:sz w:val="24"/>
                <w:szCs w:val="24"/>
                <w:u w:val="none"/>
                <w:lang w:val="en-US" w:eastAsia="zh-CN"/>
              </w:rPr>
            </w:pPr>
            <w:r>
              <w:rPr>
                <w:rFonts w:ascii="Times New Roman" w:hAnsi="Times New Roman" w:cs="Times New Roman"/>
                <w:b/>
                <w:bCs/>
                <w:color w:val="auto"/>
                <w:sz w:val="24"/>
                <w:szCs w:val="24"/>
                <w:u w:val="none"/>
              </w:rPr>
              <w:t>表</w:t>
            </w:r>
            <w:r>
              <w:rPr>
                <w:rFonts w:hint="eastAsia" w:ascii="Times New Roman" w:hAnsi="Times New Roman" w:cs="Times New Roman"/>
                <w:b/>
                <w:bCs/>
                <w:color w:val="auto"/>
                <w:sz w:val="24"/>
                <w:szCs w:val="24"/>
                <w:u w:val="none"/>
              </w:rPr>
              <w:t>2</w:t>
            </w:r>
            <w:r>
              <w:rPr>
                <w:rFonts w:hint="eastAsia" w:ascii="Times New Roman" w:hAnsi="Times New Roman" w:cs="Times New Roman"/>
                <w:b/>
                <w:bCs/>
                <w:color w:val="auto"/>
                <w:sz w:val="24"/>
                <w:szCs w:val="24"/>
                <w:u w:val="none"/>
                <w:lang w:val="en-US" w:eastAsia="zh-CN"/>
              </w:rPr>
              <w:t>.4-</w:t>
            </w:r>
            <w:r>
              <w:rPr>
                <w:rFonts w:hint="eastAsia" w:cs="Times New Roman"/>
                <w:b/>
                <w:bCs/>
                <w:color w:val="auto"/>
                <w:sz w:val="24"/>
                <w:szCs w:val="24"/>
                <w:u w:val="none"/>
                <w:lang w:val="en-US" w:eastAsia="zh-CN"/>
              </w:rPr>
              <w:t>2本次改扩建新增的</w:t>
            </w:r>
            <w:r>
              <w:rPr>
                <w:rFonts w:hint="eastAsia" w:ascii="Times New Roman" w:hAnsi="Times New Roman" w:cs="Times New Roman"/>
                <w:b/>
                <w:bCs/>
                <w:color w:val="auto"/>
                <w:sz w:val="24"/>
                <w:szCs w:val="24"/>
                <w:u w:val="none"/>
              </w:rPr>
              <w:t>原辅料</w:t>
            </w:r>
            <w:r>
              <w:rPr>
                <w:rFonts w:hint="eastAsia" w:cs="Times New Roman"/>
                <w:b/>
                <w:bCs/>
                <w:color w:val="auto"/>
                <w:sz w:val="24"/>
                <w:szCs w:val="24"/>
                <w:u w:val="none"/>
                <w:lang w:eastAsia="zh-CN"/>
              </w:rPr>
              <w:t>和能源</w:t>
            </w:r>
            <w:r>
              <w:rPr>
                <w:rFonts w:hint="eastAsia" w:ascii="Times New Roman" w:hAnsi="Times New Roman" w:cs="Times New Roman"/>
                <w:b/>
                <w:bCs/>
                <w:color w:val="auto"/>
                <w:sz w:val="24"/>
                <w:szCs w:val="24"/>
                <w:u w:val="none"/>
              </w:rPr>
              <w:t>消耗情况一览表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27"/>
              <w:gridCol w:w="1013"/>
              <w:gridCol w:w="1113"/>
              <w:gridCol w:w="1054"/>
              <w:gridCol w:w="1179"/>
              <w:gridCol w:w="799"/>
              <w:gridCol w:w="900"/>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680" w:type="dxa"/>
                  <w:noWrap w:val="0"/>
                  <w:vAlign w:val="center"/>
                </w:tcPr>
                <w:p>
                  <w:pPr>
                    <w:keepNext w:val="0"/>
                    <w:keepLines w:val="0"/>
                    <w:pageBreakBefore w:val="0"/>
                    <w:kinsoku/>
                    <w:wordWrap/>
                    <w:overflowPunct/>
                    <w:topLinePunct w:val="0"/>
                    <w:bidi w:val="0"/>
                    <w:spacing w:line="240" w:lineRule="auto"/>
                    <w:jc w:val="center"/>
                    <w:rPr>
                      <w:b/>
                      <w:color w:val="auto"/>
                      <w:szCs w:val="21"/>
                      <w:u w:val="none"/>
                    </w:rPr>
                  </w:pPr>
                  <w:r>
                    <w:rPr>
                      <w:b/>
                      <w:color w:val="auto"/>
                      <w:szCs w:val="21"/>
                      <w:u w:val="none"/>
                      <w:lang w:bidi="ar"/>
                    </w:rPr>
                    <w:t>序号</w:t>
                  </w:r>
                </w:p>
              </w:tc>
              <w:tc>
                <w:tcPr>
                  <w:tcW w:w="1427" w:type="dxa"/>
                  <w:noWrap w:val="0"/>
                  <w:vAlign w:val="center"/>
                </w:tcPr>
                <w:p>
                  <w:pPr>
                    <w:keepNext w:val="0"/>
                    <w:keepLines w:val="0"/>
                    <w:pageBreakBefore w:val="0"/>
                    <w:kinsoku/>
                    <w:wordWrap/>
                    <w:overflowPunct/>
                    <w:topLinePunct w:val="0"/>
                    <w:bidi w:val="0"/>
                    <w:spacing w:line="240" w:lineRule="auto"/>
                    <w:jc w:val="center"/>
                    <w:rPr>
                      <w:b/>
                      <w:color w:val="auto"/>
                      <w:szCs w:val="21"/>
                      <w:u w:val="none"/>
                    </w:rPr>
                  </w:pPr>
                  <w:r>
                    <w:rPr>
                      <w:b/>
                      <w:color w:val="auto"/>
                      <w:szCs w:val="21"/>
                      <w:u w:val="none"/>
                      <w:lang w:bidi="ar"/>
                    </w:rPr>
                    <w:t>名称</w:t>
                  </w:r>
                </w:p>
              </w:tc>
              <w:tc>
                <w:tcPr>
                  <w:tcW w:w="1013" w:type="dxa"/>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bidi="ar"/>
                    </w:rPr>
                  </w:pPr>
                  <w:r>
                    <w:rPr>
                      <w:rFonts w:hint="eastAsia"/>
                      <w:b/>
                      <w:color w:val="auto"/>
                      <w:szCs w:val="21"/>
                      <w:u w:val="none"/>
                      <w:lang w:eastAsia="zh-CN" w:bidi="ar"/>
                    </w:rPr>
                    <w:t>单位</w:t>
                  </w:r>
                </w:p>
              </w:tc>
              <w:tc>
                <w:tcPr>
                  <w:tcW w:w="1113" w:type="dxa"/>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eastAsia="zh-CN"/>
                    </w:rPr>
                  </w:pPr>
                  <w:r>
                    <w:rPr>
                      <w:rFonts w:hint="eastAsia"/>
                      <w:b/>
                      <w:color w:val="auto"/>
                      <w:szCs w:val="21"/>
                      <w:u w:val="none"/>
                      <w:lang w:eastAsia="zh-CN"/>
                    </w:rPr>
                    <w:t>使用量</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lang w:bidi="ar"/>
                    </w:rPr>
                  </w:pPr>
                  <w:r>
                    <w:rPr>
                      <w:rFonts w:hint="eastAsia"/>
                      <w:b/>
                      <w:color w:val="auto"/>
                      <w:szCs w:val="21"/>
                      <w:u w:val="none"/>
                      <w:lang w:bidi="ar"/>
                    </w:rPr>
                    <w:t>最大储存量</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eastAsia="宋体"/>
                      <w:b/>
                      <w:color w:val="auto"/>
                      <w:szCs w:val="21"/>
                      <w:u w:val="none"/>
                      <w:lang w:eastAsia="zh-CN" w:bidi="ar"/>
                    </w:rPr>
                  </w:pPr>
                  <w:r>
                    <w:rPr>
                      <w:rFonts w:hint="eastAsia"/>
                      <w:b/>
                      <w:color w:val="auto"/>
                      <w:szCs w:val="21"/>
                      <w:u w:val="none"/>
                      <w:lang w:bidi="ar"/>
                    </w:rPr>
                    <w:t>贮存</w:t>
                  </w:r>
                  <w:r>
                    <w:rPr>
                      <w:rFonts w:hint="eastAsia"/>
                      <w:b/>
                      <w:color w:val="auto"/>
                      <w:szCs w:val="21"/>
                      <w:u w:val="none"/>
                      <w:lang w:eastAsia="zh-CN" w:bidi="ar"/>
                    </w:rPr>
                    <w:t>方式</w:t>
                  </w:r>
                </w:p>
              </w:tc>
              <w:tc>
                <w:tcPr>
                  <w:tcW w:w="799" w:type="dxa"/>
                  <w:noWrap w:val="0"/>
                  <w:vAlign w:val="center"/>
                </w:tcPr>
                <w:p>
                  <w:pPr>
                    <w:keepNext w:val="0"/>
                    <w:keepLines w:val="0"/>
                    <w:pageBreakBefore w:val="0"/>
                    <w:kinsoku/>
                    <w:wordWrap/>
                    <w:overflowPunct/>
                    <w:topLinePunct w:val="0"/>
                    <w:bidi w:val="0"/>
                    <w:spacing w:line="240" w:lineRule="auto"/>
                    <w:jc w:val="center"/>
                    <w:rPr>
                      <w:b/>
                      <w:color w:val="auto"/>
                      <w:szCs w:val="21"/>
                      <w:u w:val="none"/>
                      <w:lang w:bidi="ar"/>
                    </w:rPr>
                  </w:pPr>
                  <w:r>
                    <w:rPr>
                      <w:b/>
                      <w:color w:val="auto"/>
                      <w:szCs w:val="21"/>
                      <w:u w:val="none"/>
                      <w:lang w:bidi="ar"/>
                    </w:rPr>
                    <w:t>状态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b/>
                      <w:color w:val="auto"/>
                      <w:szCs w:val="21"/>
                      <w:u w:val="none"/>
                    </w:rPr>
                  </w:pPr>
                  <w:r>
                    <w:rPr>
                      <w:rFonts w:hint="eastAsia"/>
                      <w:b/>
                      <w:color w:val="auto"/>
                      <w:szCs w:val="21"/>
                      <w:u w:val="none"/>
                      <w:lang w:bidi="ar"/>
                    </w:rPr>
                    <w:t>来源</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eastAsia="宋体"/>
                      <w:b/>
                      <w:color w:val="auto"/>
                      <w:szCs w:val="21"/>
                      <w:u w:val="none"/>
                      <w:lang w:eastAsia="zh-CN"/>
                    </w:rPr>
                  </w:pPr>
                  <w:r>
                    <w:rPr>
                      <w:rFonts w:hint="eastAsia"/>
                      <w:b/>
                      <w:color w:val="auto"/>
                      <w:szCs w:val="21"/>
                      <w:u w:val="none"/>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kinsoku/>
                    <w:wordWrap/>
                    <w:overflowPunct/>
                    <w:topLinePunct w:val="0"/>
                    <w:bidi w:val="0"/>
                    <w:spacing w:line="240" w:lineRule="auto"/>
                    <w:jc w:val="center"/>
                    <w:rPr>
                      <w:rFonts w:hint="eastAsia" w:eastAsia="宋体"/>
                      <w:b/>
                      <w:color w:val="auto"/>
                      <w:szCs w:val="21"/>
                      <w:u w:val="none"/>
                      <w:lang w:eastAsia="zh-CN" w:bidi="ar"/>
                    </w:rPr>
                  </w:pPr>
                  <w:r>
                    <w:rPr>
                      <w:rFonts w:hint="eastAsia"/>
                      <w:b/>
                      <w:color w:val="auto"/>
                      <w:szCs w:val="21"/>
                      <w:u w:val="none"/>
                      <w:lang w:eastAsia="zh-CN" w:bidi="ar"/>
                    </w:rPr>
                    <w:t>一</w:t>
                  </w:r>
                </w:p>
              </w:tc>
              <w:tc>
                <w:tcPr>
                  <w:tcW w:w="8633" w:type="dxa"/>
                  <w:gridSpan w:val="8"/>
                  <w:noWrap w:val="0"/>
                  <w:vAlign w:val="center"/>
                </w:tcPr>
                <w:p>
                  <w:pPr>
                    <w:keepNext w:val="0"/>
                    <w:keepLines w:val="0"/>
                    <w:pageBreakBefore w:val="0"/>
                    <w:kinsoku/>
                    <w:wordWrap/>
                    <w:overflowPunct/>
                    <w:topLinePunct w:val="0"/>
                    <w:bidi w:val="0"/>
                    <w:spacing w:line="240" w:lineRule="auto"/>
                    <w:jc w:val="left"/>
                    <w:rPr>
                      <w:rFonts w:hint="eastAsia"/>
                      <w:b/>
                      <w:color w:val="auto"/>
                      <w:szCs w:val="21"/>
                      <w:u w:val="none"/>
                      <w:lang w:eastAsia="zh-CN" w:bidi="ar"/>
                    </w:rPr>
                  </w:pPr>
                  <w:r>
                    <w:rPr>
                      <w:rFonts w:hint="eastAsia"/>
                      <w:b/>
                      <w:color w:val="auto"/>
                      <w:szCs w:val="21"/>
                      <w:u w:val="none"/>
                      <w:lang w:val="en-US" w:eastAsia="zh-CN" w:bidi="ar"/>
                    </w:rPr>
                    <w:t>药芯焊丝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钢带</w:t>
                  </w:r>
                </w:p>
              </w:tc>
              <w:tc>
                <w:tcPr>
                  <w:tcW w:w="10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default"/>
                      <w:color w:val="auto"/>
                      <w:szCs w:val="21"/>
                      <w:u w:val="none"/>
                      <w:lang w:val="en-US" w:eastAsia="zh-CN"/>
                    </w:rPr>
                  </w:pPr>
                  <w:r>
                    <w:rPr>
                      <w:rFonts w:hint="default" w:ascii="Times New Roman" w:hAnsi="Times New Roman" w:cs="Times New Roman"/>
                      <w:color w:val="auto"/>
                      <w:sz w:val="21"/>
                      <w:szCs w:val="21"/>
                      <w:highlight w:val="none"/>
                      <w:u w:val="none" w:color="auto"/>
                      <w:lang w:val="en-US" w:eastAsia="zh-CN"/>
                    </w:rPr>
                    <w:t>2622</w:t>
                  </w:r>
                  <w:r>
                    <w:rPr>
                      <w:rFonts w:hint="eastAsia" w:cs="Times New Roman"/>
                      <w:color w:val="auto"/>
                      <w:sz w:val="21"/>
                      <w:szCs w:val="21"/>
                      <w:highlight w:val="none"/>
                      <w:u w:val="none" w:color="auto"/>
                      <w:lang w:val="en-US" w:eastAsia="zh-CN"/>
                    </w:rPr>
                    <w:t>3.09</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捆装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eastAsia="zh-CN"/>
                    </w:rPr>
                    <w:t>外购</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b w:val="0"/>
                      <w:bCs/>
                      <w:color w:val="auto"/>
                      <w:szCs w:val="21"/>
                      <w:u w:val="none"/>
                      <w:lang w:eastAsia="zh-CN" w:bidi="ar"/>
                    </w:rPr>
                    <w:t>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滑石粉</w:t>
                  </w:r>
                </w:p>
              </w:tc>
              <w:tc>
                <w:tcPr>
                  <w:tcW w:w="10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30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eastAsia="zh-CN"/>
                    </w:rPr>
                    <w:t>外购</w:t>
                  </w:r>
                </w:p>
              </w:tc>
              <w:tc>
                <w:tcPr>
                  <w:tcW w:w="1148" w:type="dxa"/>
                  <w:vMerge w:val="restart"/>
                  <w:noWrap w:val="0"/>
                  <w:vAlign w:val="center"/>
                </w:tcPr>
                <w:p>
                  <w:pPr>
                    <w:spacing w:line="240" w:lineRule="auto"/>
                    <w:jc w:val="center"/>
                    <w:rPr>
                      <w:rFonts w:hint="eastAsia"/>
                      <w:color w:val="auto"/>
                      <w:szCs w:val="21"/>
                      <w:u w:val="none"/>
                      <w:lang w:val="en-US" w:eastAsia="zh-CN"/>
                    </w:rPr>
                  </w:pPr>
                  <w:r>
                    <w:rPr>
                      <w:rFonts w:hint="eastAsia" w:ascii="Times New Roman" w:hAnsi="Times New Roman" w:eastAsia="宋体" w:cs="Times New Roman"/>
                      <w:color w:val="auto"/>
                      <w:szCs w:val="21"/>
                      <w:u w:val="none"/>
                      <w:lang w:val="en-US" w:eastAsia="zh-CN"/>
                    </w:rPr>
                    <w:t>车间</w:t>
                  </w:r>
                  <w:r>
                    <w:rPr>
                      <w:rFonts w:hint="eastAsia" w:cs="Times New Roman"/>
                      <w:color w:val="auto"/>
                      <w:szCs w:val="21"/>
                      <w:u w:val="none"/>
                      <w:lang w:val="en-US" w:eastAsia="zh-CN"/>
                    </w:rPr>
                    <w:t>内</w:t>
                  </w:r>
                  <w:r>
                    <w:rPr>
                      <w:rFonts w:hint="eastAsia" w:ascii="Times New Roman" w:hAnsi="Times New Roman" w:eastAsia="宋体" w:cs="Times New Roman"/>
                      <w:color w:val="auto"/>
                      <w:szCs w:val="21"/>
                      <w:u w:val="none"/>
                      <w:lang w:val="en-US" w:eastAsia="zh-CN"/>
                    </w:rPr>
                    <w:t>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金红石</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1500</w:t>
                  </w:r>
                </w:p>
              </w:tc>
              <w:tc>
                <w:tcPr>
                  <w:tcW w:w="1054" w:type="dxa"/>
                  <w:noWrap w:val="0"/>
                  <w:vAlign w:val="center"/>
                </w:tcPr>
                <w:p>
                  <w:pPr>
                    <w:spacing w:line="240" w:lineRule="auto"/>
                    <w:jc w:val="center"/>
                    <w:rPr>
                      <w:rFonts w:hint="eastAsia"/>
                      <w:color w:val="auto"/>
                      <w:szCs w:val="21"/>
                      <w:u w:val="none"/>
                      <w:lang w:val="en-US" w:eastAsia="zh-CN"/>
                    </w:rPr>
                  </w:pPr>
                  <w:r>
                    <w:rPr>
                      <w:rFonts w:hint="eastAsia" w:cs="Times New Roman"/>
                      <w:color w:val="auto"/>
                      <w:szCs w:val="21"/>
                      <w:u w:val="none"/>
                      <w:lang w:val="en-US" w:eastAsia="zh-CN"/>
                    </w:rPr>
                    <w:t>80</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highlight w:val="none"/>
                      <w:u w:val="none"/>
                      <w:lang w:val="en-US" w:eastAsia="zh-CN"/>
                    </w:rPr>
                    <w:t>硅锰合金</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750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20</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低碳铬铁</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150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80</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云母</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250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20</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石英粉</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200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20</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藻酸钠</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5</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钾长石</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200</w:t>
                  </w:r>
                </w:p>
              </w:tc>
              <w:tc>
                <w:tcPr>
                  <w:tcW w:w="1054" w:type="dxa"/>
                  <w:noWrap w:val="0"/>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20</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磁铁矿</w:t>
                  </w:r>
                </w:p>
              </w:tc>
              <w:tc>
                <w:tcPr>
                  <w:tcW w:w="1013" w:type="dxa"/>
                  <w:noWrap w:val="0"/>
                  <w:vAlign w:val="top"/>
                </w:tcPr>
                <w:p>
                  <w:pPr>
                    <w:spacing w:line="240" w:lineRule="auto"/>
                    <w:jc w:val="center"/>
                    <w:rPr>
                      <w:rFonts w:hint="eastAsia"/>
                      <w:color w:val="auto"/>
                      <w:szCs w:val="21"/>
                      <w:u w:val="none"/>
                      <w:lang w:val="en-US" w:eastAsia="zh-CN"/>
                    </w:rPr>
                  </w:pPr>
                  <w:r>
                    <w:rPr>
                      <w:rFonts w:hint="eastAsia"/>
                      <w:color w:val="auto"/>
                      <w:szCs w:val="21"/>
                      <w:u w:val="none"/>
                      <w:lang w:val="en-US" w:eastAsia="zh-CN"/>
                    </w:rPr>
                    <w:t>t/a</w:t>
                  </w:r>
                </w:p>
              </w:tc>
              <w:tc>
                <w:tcPr>
                  <w:tcW w:w="11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100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s="Times New Roman"/>
                      <w:color w:val="auto"/>
                      <w:szCs w:val="21"/>
                      <w:u w:val="none"/>
                      <w:lang w:val="en-US" w:eastAsia="zh-CN"/>
                    </w:rPr>
                    <w:t>5</w:t>
                  </w:r>
                </w:p>
              </w:tc>
              <w:tc>
                <w:tcPr>
                  <w:tcW w:w="117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spacing w:line="240" w:lineRule="auto"/>
                    <w:jc w:val="center"/>
                    <w:rPr>
                      <w:rFonts w:hint="eastAsia"/>
                      <w:color w:val="auto"/>
                      <w:szCs w:val="21"/>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钛白粉</w:t>
                  </w:r>
                </w:p>
              </w:tc>
              <w:tc>
                <w:tcPr>
                  <w:tcW w:w="1013" w:type="dxa"/>
                  <w:noWrap w:val="0"/>
                  <w:vAlign w:val="top"/>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t/a</w:t>
                  </w:r>
                </w:p>
              </w:tc>
              <w:tc>
                <w:tcPr>
                  <w:tcW w:w="1113" w:type="dxa"/>
                  <w:noWrap w:val="0"/>
                  <w:vAlign w:val="center"/>
                </w:tcPr>
                <w:p>
                  <w:pPr>
                    <w:spacing w:line="240" w:lineRule="auto"/>
                    <w:jc w:val="center"/>
                    <w:rPr>
                      <w:rFonts w:hint="default"/>
                      <w:color w:val="auto"/>
                      <w:szCs w:val="21"/>
                      <w:highlight w:val="none"/>
                      <w:u w:val="none"/>
                      <w:lang w:val="en-US" w:eastAsia="zh-CN"/>
                    </w:rPr>
                  </w:pPr>
                  <w:r>
                    <w:rPr>
                      <w:rFonts w:hint="eastAsia"/>
                      <w:color w:val="auto"/>
                      <w:szCs w:val="21"/>
                      <w:highlight w:val="none"/>
                      <w:u w:val="none"/>
                      <w:lang w:val="en-US" w:eastAsia="zh-CN"/>
                    </w:rPr>
                    <w:t>80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spacing w:line="240" w:lineRule="auto"/>
                    <w:jc w:val="center"/>
                    <w:rPr>
                      <w:rFonts w:hint="eastAsia"/>
                      <w:color w:val="auto"/>
                      <w:szCs w:val="21"/>
                      <w:highlight w:val="none"/>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萤石</w:t>
                  </w:r>
                  <w:r>
                    <w:rPr>
                      <w:rFonts w:hint="eastAsia" w:hAnsi="宋体"/>
                      <w:color w:val="auto"/>
                      <w:szCs w:val="21"/>
                      <w:highlight w:val="none"/>
                      <w:u w:val="none"/>
                      <w:lang w:val="en-US" w:eastAsia="zh-CN"/>
                    </w:rPr>
                    <w:t>粉</w:t>
                  </w:r>
                </w:p>
              </w:tc>
              <w:tc>
                <w:tcPr>
                  <w:tcW w:w="1013" w:type="dxa"/>
                  <w:noWrap w:val="0"/>
                  <w:vAlign w:val="top"/>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t/a</w:t>
                  </w:r>
                </w:p>
              </w:tc>
              <w:tc>
                <w:tcPr>
                  <w:tcW w:w="1113"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100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spacing w:line="240" w:lineRule="auto"/>
                    <w:jc w:val="center"/>
                    <w:rPr>
                      <w:rFonts w:hint="eastAsia"/>
                      <w:color w:val="auto"/>
                      <w:szCs w:val="21"/>
                      <w:highlight w:val="none"/>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钛酸钾</w:t>
                  </w:r>
                </w:p>
              </w:tc>
              <w:tc>
                <w:tcPr>
                  <w:tcW w:w="1013" w:type="dxa"/>
                  <w:noWrap w:val="0"/>
                  <w:vAlign w:val="top"/>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t/a</w:t>
                  </w:r>
                </w:p>
              </w:tc>
              <w:tc>
                <w:tcPr>
                  <w:tcW w:w="1113"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150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spacing w:line="240" w:lineRule="auto"/>
                    <w:jc w:val="center"/>
                    <w:rPr>
                      <w:rFonts w:hint="eastAsia"/>
                      <w:color w:val="auto"/>
                      <w:szCs w:val="21"/>
                      <w:highlight w:val="none"/>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中碳锰铁</w:t>
                  </w:r>
                </w:p>
              </w:tc>
              <w:tc>
                <w:tcPr>
                  <w:tcW w:w="1013" w:type="dxa"/>
                  <w:noWrap w:val="0"/>
                  <w:vAlign w:val="top"/>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t/a</w:t>
                  </w:r>
                </w:p>
              </w:tc>
              <w:tc>
                <w:tcPr>
                  <w:tcW w:w="1113" w:type="dxa"/>
                  <w:noWrap w:val="0"/>
                  <w:vAlign w:val="center"/>
                </w:tcPr>
                <w:p>
                  <w:pPr>
                    <w:spacing w:line="240" w:lineRule="auto"/>
                    <w:jc w:val="center"/>
                    <w:rPr>
                      <w:rFonts w:hint="default"/>
                      <w:color w:val="auto"/>
                      <w:szCs w:val="21"/>
                      <w:highlight w:val="none"/>
                      <w:u w:val="none"/>
                      <w:lang w:val="en-US" w:eastAsia="zh-CN"/>
                    </w:rPr>
                  </w:pPr>
                  <w:r>
                    <w:rPr>
                      <w:rFonts w:hint="eastAsia"/>
                      <w:color w:val="auto"/>
                      <w:szCs w:val="21"/>
                      <w:highlight w:val="none"/>
                      <w:u w:val="none"/>
                      <w:lang w:val="en-US" w:eastAsia="zh-CN"/>
                    </w:rPr>
                    <w:t>200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spacing w:line="240" w:lineRule="auto"/>
                    <w:jc w:val="center"/>
                    <w:rPr>
                      <w:rFonts w:hint="eastAsia"/>
                      <w:color w:val="auto"/>
                      <w:szCs w:val="21"/>
                      <w:highlight w:val="none"/>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大理石</w:t>
                  </w:r>
                </w:p>
              </w:tc>
              <w:tc>
                <w:tcPr>
                  <w:tcW w:w="1013" w:type="dxa"/>
                  <w:noWrap w:val="0"/>
                  <w:vAlign w:val="top"/>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t/a</w:t>
                  </w:r>
                </w:p>
              </w:tc>
              <w:tc>
                <w:tcPr>
                  <w:tcW w:w="1113"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80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spacing w:line="240" w:lineRule="auto"/>
                    <w:jc w:val="center"/>
                    <w:rPr>
                      <w:rFonts w:hint="eastAsia"/>
                      <w:color w:val="auto"/>
                      <w:szCs w:val="21"/>
                      <w:highlight w:val="none"/>
                      <w:u w:val="none"/>
                      <w:lang w:val="en-US" w:eastAsia="zh-CN" w:bidi="ar"/>
                    </w:rPr>
                  </w:pPr>
                  <w:r>
                    <w:rPr>
                      <w:rFonts w:hint="eastAsia"/>
                      <w:color w:val="auto"/>
                      <w:szCs w:val="21"/>
                      <w:highlight w:val="none"/>
                      <w:u w:val="none"/>
                      <w:lang w:val="en-US" w:eastAsia="zh-CN" w:bidi="ar"/>
                    </w:rPr>
                    <w:t>袋装</w:t>
                  </w:r>
                </w:p>
              </w:tc>
              <w:tc>
                <w:tcPr>
                  <w:tcW w:w="799" w:type="dxa"/>
                  <w:noWrap w:val="0"/>
                  <w:vAlign w:val="center"/>
                </w:tcPr>
                <w:p>
                  <w:pPr>
                    <w:spacing w:line="240" w:lineRule="auto"/>
                    <w:jc w:val="center"/>
                    <w:rPr>
                      <w:rFonts w:hint="eastAsia"/>
                      <w:color w:val="auto"/>
                      <w:szCs w:val="21"/>
                      <w:highlight w:val="none"/>
                      <w:u w:val="none"/>
                      <w:lang w:eastAsia="zh-CN" w:bidi="ar"/>
                    </w:rPr>
                  </w:pPr>
                  <w:r>
                    <w:rPr>
                      <w:rFonts w:hint="eastAsia"/>
                      <w:color w:val="auto"/>
                      <w:szCs w:val="21"/>
                      <w:highlight w:val="none"/>
                      <w:u w:val="none"/>
                      <w:lang w:eastAsia="zh-CN" w:bidi="ar"/>
                    </w:rPr>
                    <w:t>固态</w:t>
                  </w:r>
                </w:p>
              </w:tc>
              <w:tc>
                <w:tcPr>
                  <w:tcW w:w="900" w:type="dxa"/>
                  <w:noWrap w:val="0"/>
                  <w:vAlign w:val="center"/>
                </w:tcPr>
                <w:p>
                  <w:pPr>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外购</w:t>
                  </w:r>
                </w:p>
              </w:tc>
              <w:tc>
                <w:tcPr>
                  <w:tcW w:w="1148" w:type="dxa"/>
                  <w:vMerge w:val="continue"/>
                  <w:noWrap w:val="0"/>
                  <w:vAlign w:val="center"/>
                </w:tcPr>
                <w:p>
                  <w:pPr>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塑料盘</w:t>
                  </w:r>
                </w:p>
              </w:tc>
              <w:tc>
                <w:tcPr>
                  <w:tcW w:w="1013"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万只/a</w:t>
                  </w:r>
                </w:p>
              </w:tc>
              <w:tc>
                <w:tcPr>
                  <w:tcW w:w="1113" w:type="dxa"/>
                  <w:noWrap w:val="0"/>
                  <w:vAlign w:val="center"/>
                </w:tcPr>
                <w:p>
                  <w:pPr>
                    <w:spacing w:line="240" w:lineRule="auto"/>
                    <w:jc w:val="center"/>
                    <w:rPr>
                      <w:rFonts w:hint="default"/>
                      <w:color w:val="auto"/>
                      <w:szCs w:val="21"/>
                      <w:highlight w:val="none"/>
                      <w:u w:val="none"/>
                      <w:lang w:val="en-US" w:eastAsia="zh-CN"/>
                    </w:rPr>
                  </w:pPr>
                  <w:r>
                    <w:rPr>
                      <w:rFonts w:hint="eastAsia"/>
                      <w:color w:val="auto"/>
                      <w:szCs w:val="21"/>
                      <w:highlight w:val="none"/>
                      <w:u w:val="none"/>
                      <w:lang w:val="en-US" w:eastAsia="zh-CN"/>
                    </w:rPr>
                    <w:t>201.5</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bidi="ar"/>
                    </w:rPr>
                    <w:t>/</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ascii="宋体"/>
                      <w:color w:val="auto"/>
                      <w:szCs w:val="21"/>
                      <w:highlight w:val="none"/>
                      <w:u w:val="none"/>
                      <w:lang w:eastAsia="zh-CN"/>
                    </w:rPr>
                    <w:t>自产</w:t>
                  </w:r>
                </w:p>
              </w:tc>
              <w:tc>
                <w:tcPr>
                  <w:tcW w:w="1148" w:type="dxa"/>
                  <w:vMerge w:val="restart"/>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eastAsia="zh-CN"/>
                    </w:rPr>
                    <w:t>产品堆场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0"/>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纸箱</w:t>
                  </w:r>
                </w:p>
              </w:tc>
              <w:tc>
                <w:tcPr>
                  <w:tcW w:w="1013" w:type="dxa"/>
                  <w:noWrap w:val="0"/>
                  <w:vAlign w:val="center"/>
                </w:tcPr>
                <w:p>
                  <w:pPr>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万只/a</w:t>
                  </w:r>
                </w:p>
              </w:tc>
              <w:tc>
                <w:tcPr>
                  <w:tcW w:w="1113" w:type="dxa"/>
                  <w:noWrap w:val="0"/>
                  <w:vAlign w:val="center"/>
                </w:tcPr>
                <w:p>
                  <w:pPr>
                    <w:spacing w:line="240" w:lineRule="auto"/>
                    <w:jc w:val="center"/>
                    <w:rPr>
                      <w:rFonts w:hint="default"/>
                      <w:color w:val="auto"/>
                      <w:szCs w:val="21"/>
                      <w:highlight w:val="none"/>
                      <w:u w:val="none"/>
                      <w:lang w:val="en-US" w:eastAsia="zh-CN"/>
                    </w:rPr>
                  </w:pPr>
                  <w:r>
                    <w:rPr>
                      <w:rFonts w:hint="eastAsia"/>
                      <w:color w:val="auto"/>
                      <w:szCs w:val="21"/>
                      <w:highlight w:val="none"/>
                      <w:u w:val="none"/>
                      <w:lang w:val="en-US" w:eastAsia="zh-CN"/>
                    </w:rPr>
                    <w:t>201.5</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rPr>
                    <w:t>/</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olor w:val="auto"/>
                      <w:szCs w:val="21"/>
                      <w:highlight w:val="none"/>
                      <w:u w:val="none"/>
                      <w:lang w:val="en-US" w:eastAsia="zh-CN" w:bidi="ar"/>
                    </w:rPr>
                    <w:t>/</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val="en-US" w:eastAsia="zh-CN"/>
                    </w:rPr>
                  </w:pPr>
                  <w:r>
                    <w:rPr>
                      <w:rFonts w:hint="eastAsia" w:ascii="宋体"/>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0"/>
                    </w:numPr>
                    <w:kinsoku/>
                    <w:wordWrap/>
                    <w:overflowPunct/>
                    <w:topLinePunct w:val="0"/>
                    <w:bidi w:val="0"/>
                    <w:spacing w:line="240" w:lineRule="auto"/>
                    <w:ind w:leftChars="0"/>
                    <w:jc w:val="center"/>
                    <w:rPr>
                      <w:rFonts w:hint="eastAsia" w:ascii="Times New Roman" w:hAnsi="Times New Roman" w:eastAsia="宋体" w:cs="Times New Roman"/>
                      <w:b/>
                      <w:bCs/>
                      <w:color w:val="auto"/>
                      <w:szCs w:val="21"/>
                      <w:u w:val="none"/>
                      <w:lang w:val="en-US" w:eastAsia="zh-CN"/>
                    </w:rPr>
                  </w:pPr>
                  <w:r>
                    <w:rPr>
                      <w:rFonts w:hint="eastAsia" w:cs="Times New Roman"/>
                      <w:b/>
                      <w:bCs/>
                      <w:color w:val="auto"/>
                      <w:szCs w:val="21"/>
                      <w:u w:val="none"/>
                      <w:lang w:val="en-US" w:eastAsia="zh-CN"/>
                    </w:rPr>
                    <w:t>二</w:t>
                  </w:r>
                </w:p>
              </w:tc>
              <w:tc>
                <w:tcPr>
                  <w:tcW w:w="8633" w:type="dxa"/>
                  <w:gridSpan w:val="8"/>
                  <w:noWrap w:val="0"/>
                  <w:vAlign w:val="center"/>
                </w:tcPr>
                <w:p>
                  <w:pPr>
                    <w:keepNext w:val="0"/>
                    <w:keepLines w:val="0"/>
                    <w:pageBreakBefore w:val="0"/>
                    <w:kinsoku/>
                    <w:wordWrap/>
                    <w:overflowPunct/>
                    <w:topLinePunct w:val="0"/>
                    <w:bidi w:val="0"/>
                    <w:spacing w:line="240" w:lineRule="auto"/>
                    <w:jc w:val="left"/>
                    <w:rPr>
                      <w:rFonts w:hint="eastAsia"/>
                      <w:b/>
                      <w:bCs/>
                      <w:color w:val="auto"/>
                      <w:szCs w:val="21"/>
                      <w:u w:val="none"/>
                      <w:lang w:val="en-US" w:eastAsia="zh-CN"/>
                    </w:rPr>
                  </w:pPr>
                  <w:r>
                    <w:rPr>
                      <w:rFonts w:hint="eastAsia"/>
                      <w:b/>
                      <w:bCs/>
                      <w:color w:val="auto"/>
                      <w:szCs w:val="21"/>
                      <w:u w:val="none"/>
                      <w:lang w:val="en-US" w:eastAsia="zh-CN"/>
                    </w:rPr>
                    <w:t>特种电焊条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钢芯</w:t>
                  </w:r>
                </w:p>
              </w:tc>
              <w:tc>
                <w:tcPr>
                  <w:tcW w:w="1013"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3200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w:t>
                  </w:r>
                </w:p>
              </w:tc>
              <w:tc>
                <w:tcPr>
                  <w:tcW w:w="1179" w:type="dxa"/>
                  <w:noWrap w:val="0"/>
                  <w:vAlign w:val="center"/>
                </w:tcPr>
                <w:p>
                  <w:pPr>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val="en-US" w:eastAsia="zh-CN"/>
                    </w:rPr>
                    <w:t>捆装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rPr>
                    <w:t>外购</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b w:val="0"/>
                      <w:bCs/>
                      <w:color w:val="auto"/>
                      <w:szCs w:val="21"/>
                      <w:u w:val="none"/>
                      <w:lang w:eastAsia="zh-CN" w:bidi="ar"/>
                    </w:rPr>
                    <w:t>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滑石粉</w:t>
                  </w:r>
                </w:p>
              </w:tc>
              <w:tc>
                <w:tcPr>
                  <w:tcW w:w="1013"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10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rPr>
                    <w:t>外购</w:t>
                  </w:r>
                </w:p>
              </w:tc>
              <w:tc>
                <w:tcPr>
                  <w:tcW w:w="1148" w:type="dxa"/>
                  <w:vMerge w:val="restart"/>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车间暂存区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金红石</w:t>
                  </w:r>
                </w:p>
              </w:tc>
              <w:tc>
                <w:tcPr>
                  <w:tcW w:w="1013" w:type="dxa"/>
                  <w:noWrap w:val="0"/>
                  <w:vAlign w:val="top"/>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450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金属锰</w:t>
                  </w:r>
                </w:p>
              </w:tc>
              <w:tc>
                <w:tcPr>
                  <w:tcW w:w="1013" w:type="dxa"/>
                  <w:noWrap w:val="0"/>
                  <w:vAlign w:val="top"/>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75</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低碳铬铁</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75</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云母</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75</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方解石</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150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藻酸钠</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50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钾长石</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200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磁铁矿</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100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钛白粉</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75</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萤石粉</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200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hAnsi="宋体"/>
                      <w:color w:val="auto"/>
                      <w:szCs w:val="21"/>
                      <w:highlight w:val="none"/>
                      <w:u w:val="none"/>
                      <w:lang w:val="en-US" w:eastAsia="zh-CN"/>
                    </w:rPr>
                    <w:t>钛酸钾</w:t>
                  </w:r>
                </w:p>
              </w:tc>
              <w:tc>
                <w:tcPr>
                  <w:tcW w:w="1013" w:type="dxa"/>
                  <w:noWrap w:val="0"/>
                  <w:vAlign w:val="top"/>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100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中碳硅铁</w:t>
                  </w:r>
                </w:p>
              </w:tc>
              <w:tc>
                <w:tcPr>
                  <w:tcW w:w="1013" w:type="dxa"/>
                  <w:noWrap w:val="0"/>
                  <w:vAlign w:val="top"/>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100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大理石</w:t>
                  </w:r>
                </w:p>
              </w:tc>
              <w:tc>
                <w:tcPr>
                  <w:tcW w:w="1013" w:type="dxa"/>
                  <w:noWrap w:val="0"/>
                  <w:vAlign w:val="top"/>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150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水玻璃</w:t>
                  </w:r>
                </w:p>
              </w:tc>
              <w:tc>
                <w:tcPr>
                  <w:tcW w:w="1013" w:type="dxa"/>
                  <w:noWrap w:val="0"/>
                  <w:vAlign w:val="top"/>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eastAsia"/>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500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u w:val="none"/>
                      <w:lang w:val="en-US" w:eastAsia="zh-CN"/>
                    </w:rPr>
                  </w:pPr>
                  <w:r>
                    <w:rPr>
                      <w:rFonts w:hint="eastAsia" w:cs="Times New Roman"/>
                      <w:color w:val="auto"/>
                      <w:szCs w:val="21"/>
                      <w:u w:val="none"/>
                      <w:lang w:val="en-US" w:eastAsia="zh-CN"/>
                    </w:rPr>
                    <w:t>20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bidi="ar"/>
                    </w:rPr>
                  </w:pPr>
                  <w:r>
                    <w:rPr>
                      <w:rFonts w:hint="eastAsia"/>
                      <w:color w:val="auto"/>
                      <w:szCs w:val="21"/>
                      <w:u w:val="none"/>
                      <w:lang w:val="en-US" w:eastAsia="zh-CN"/>
                    </w:rPr>
                    <w:t>瓶装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s="Times New Roman"/>
                      <w:color w:val="auto"/>
                      <w:szCs w:val="21"/>
                      <w:u w:val="none"/>
                      <w:lang w:val="en-US" w:eastAsia="zh-CN"/>
                    </w:rPr>
                    <w:t>液态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ascii="宋体"/>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印字液</w:t>
                  </w:r>
                </w:p>
              </w:tc>
              <w:tc>
                <w:tcPr>
                  <w:tcW w:w="1013" w:type="dxa"/>
                  <w:noWrap w:val="0"/>
                  <w:vAlign w:val="top"/>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autoSpaceDE/>
                    <w:autoSpaceDN/>
                    <w:spacing w:before="0" w:after="0" w:line="240" w:lineRule="auto"/>
                    <w:ind w:left="0" w:leftChars="0" w:right="0" w:rightChars="0"/>
                    <w:jc w:val="center"/>
                    <w:rPr>
                      <w:rFonts w:hint="default" w:ascii="Times New Roman" w:hAnsi="Times New Roman"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0.1</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cs="Times New Roman"/>
                      <w:color w:val="auto"/>
                      <w:szCs w:val="21"/>
                      <w:u w:val="none"/>
                      <w:lang w:val="en-US" w:eastAsia="zh-CN"/>
                    </w:rPr>
                  </w:pPr>
                  <w:r>
                    <w:rPr>
                      <w:rFonts w:hint="eastAsia" w:cs="Times New Roman"/>
                      <w:color w:val="auto"/>
                      <w:szCs w:val="21"/>
                      <w:u w:val="none"/>
                      <w:lang w:val="en-US" w:eastAsia="zh-CN"/>
                    </w:rPr>
                    <w:t>0.1</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val="en-US" w:eastAsia="zh-CN"/>
                    </w:rPr>
                    <w:t>瓶装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u w:val="none"/>
                      <w:lang w:val="en-US" w:eastAsia="zh-CN"/>
                    </w:rPr>
                  </w:pPr>
                  <w:r>
                    <w:rPr>
                      <w:rFonts w:hint="eastAsia" w:cs="Times New Roman"/>
                      <w:color w:val="auto"/>
                      <w:szCs w:val="21"/>
                      <w:u w:val="none"/>
                      <w:lang w:val="en-US" w:eastAsia="zh-CN"/>
                    </w:rPr>
                    <w:t>液态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1"/>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纸箱</w:t>
                  </w:r>
                </w:p>
              </w:tc>
              <w:tc>
                <w:tcPr>
                  <w:tcW w:w="1013" w:type="dxa"/>
                  <w:noWrap w:val="0"/>
                  <w:vAlign w:val="center"/>
                </w:tcPr>
                <w:p>
                  <w:pPr>
                    <w:spacing w:line="240" w:lineRule="auto"/>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万只/a</w:t>
                  </w:r>
                </w:p>
              </w:tc>
              <w:tc>
                <w:tcPr>
                  <w:tcW w:w="1113" w:type="dxa"/>
                  <w:noWrap w:val="0"/>
                  <w:vAlign w:val="center"/>
                </w:tcPr>
                <w:p>
                  <w:pPr>
                    <w:autoSpaceDE/>
                    <w:autoSpaceDN/>
                    <w:spacing w:before="0" w:after="0" w:line="240" w:lineRule="auto"/>
                    <w:ind w:left="0" w:leftChars="0" w:right="0" w:rightChars="0"/>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kern w:val="2"/>
                      <w:sz w:val="21"/>
                      <w:szCs w:val="21"/>
                      <w:highlight w:val="none"/>
                      <w:u w:val="none"/>
                      <w:lang w:val="en-US" w:eastAsia="zh-CN" w:bidi="ar-SA"/>
                    </w:rPr>
                    <w:t>30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val="en-US" w:eastAsia="zh-CN"/>
                    </w:rPr>
                    <w:t>/</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val="en-US" w:eastAsia="zh-CN" w:bidi="ar"/>
                    </w:rPr>
                    <w:t>/</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ascii="宋体"/>
                      <w:color w:val="auto"/>
                      <w:szCs w:val="21"/>
                      <w:highlight w:val="none"/>
                      <w:u w:val="none"/>
                      <w:lang w:eastAsia="zh-CN"/>
                    </w:rPr>
                    <w:t>外购</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rPr>
                    <w:t>产品堆场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0"/>
                    </w:numPr>
                    <w:kinsoku/>
                    <w:wordWrap/>
                    <w:overflowPunct/>
                    <w:topLinePunct w:val="0"/>
                    <w:bidi w:val="0"/>
                    <w:spacing w:line="240" w:lineRule="auto"/>
                    <w:ind w:leftChars="0"/>
                    <w:jc w:val="center"/>
                    <w:rPr>
                      <w:rFonts w:hint="eastAsia" w:ascii="Times New Roman" w:hAnsi="Times New Roman" w:eastAsia="宋体" w:cs="Times New Roman"/>
                      <w:b/>
                      <w:bCs/>
                      <w:color w:val="auto"/>
                      <w:szCs w:val="21"/>
                      <w:u w:val="none"/>
                      <w:lang w:val="en-US" w:eastAsia="zh-CN"/>
                    </w:rPr>
                  </w:pPr>
                  <w:r>
                    <w:rPr>
                      <w:rFonts w:hint="eastAsia" w:cs="Times New Roman"/>
                      <w:b/>
                      <w:bCs/>
                      <w:color w:val="auto"/>
                      <w:szCs w:val="21"/>
                      <w:u w:val="none"/>
                      <w:lang w:val="en-US" w:eastAsia="zh-CN"/>
                    </w:rPr>
                    <w:t>三</w:t>
                  </w:r>
                </w:p>
              </w:tc>
              <w:tc>
                <w:tcPr>
                  <w:tcW w:w="8633" w:type="dxa"/>
                  <w:gridSpan w:val="8"/>
                  <w:noWrap w:val="0"/>
                  <w:vAlign w:val="center"/>
                </w:tcPr>
                <w:p>
                  <w:pPr>
                    <w:keepNext w:val="0"/>
                    <w:keepLines w:val="0"/>
                    <w:pageBreakBefore w:val="0"/>
                    <w:kinsoku/>
                    <w:wordWrap/>
                    <w:overflowPunct/>
                    <w:topLinePunct w:val="0"/>
                    <w:bidi w:val="0"/>
                    <w:spacing w:line="240" w:lineRule="auto"/>
                    <w:jc w:val="left"/>
                    <w:rPr>
                      <w:rFonts w:hint="eastAsia"/>
                      <w:b/>
                      <w:bCs/>
                      <w:color w:val="auto"/>
                      <w:szCs w:val="21"/>
                      <w:u w:val="none"/>
                      <w:lang w:eastAsia="zh-CN"/>
                    </w:rPr>
                  </w:pPr>
                  <w:r>
                    <w:rPr>
                      <w:rFonts w:hint="eastAsia"/>
                      <w:b/>
                      <w:bCs/>
                      <w:color w:val="auto"/>
                      <w:szCs w:val="21"/>
                      <w:u w:val="none"/>
                      <w:lang w:eastAsia="zh-CN"/>
                    </w:rPr>
                    <w:t>塑料盘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2"/>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PS塑料粒</w:t>
                  </w:r>
                </w:p>
              </w:tc>
              <w:tc>
                <w:tcPr>
                  <w:tcW w:w="1013" w:type="dxa"/>
                  <w:noWrap w:val="0"/>
                  <w:vAlign w:val="center"/>
                </w:tcPr>
                <w:p>
                  <w:pPr>
                    <w:spacing w:line="240" w:lineRule="auto"/>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t/a</w:t>
                  </w:r>
                </w:p>
              </w:tc>
              <w:tc>
                <w:tcPr>
                  <w:tcW w:w="1113" w:type="dxa"/>
                  <w:noWrap w:val="0"/>
                  <w:vAlign w:val="center"/>
                </w:tcPr>
                <w:p>
                  <w:pPr>
                    <w:spacing w:line="240" w:lineRule="auto"/>
                    <w:jc w:val="center"/>
                    <w:rPr>
                      <w:rFonts w:hint="eastAsia"/>
                      <w:color w:val="auto"/>
                      <w:szCs w:val="21"/>
                      <w:u w:val="none"/>
                      <w:lang w:val="en-US" w:eastAsia="zh-CN"/>
                    </w:rPr>
                  </w:pPr>
                  <w:r>
                    <w:rPr>
                      <w:rFonts w:hint="eastAsia"/>
                      <w:color w:val="auto"/>
                      <w:szCs w:val="21"/>
                      <w:u w:val="none"/>
                      <w:lang w:val="en-US" w:eastAsia="zh-CN"/>
                    </w:rPr>
                    <w:t>3000</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rPr>
                  </w:pPr>
                  <w:r>
                    <w:rPr>
                      <w:rFonts w:hint="eastAsia"/>
                      <w:color w:val="auto"/>
                      <w:szCs w:val="21"/>
                      <w:u w:val="none"/>
                      <w:lang w:val="en-US" w:eastAsia="zh-CN"/>
                    </w:rPr>
                    <w:t>100</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val="en-US" w:eastAsia="zh-CN" w:bidi="ar"/>
                    </w:rPr>
                  </w:pPr>
                  <w:r>
                    <w:rPr>
                      <w:rFonts w:hint="eastAsia"/>
                      <w:color w:val="auto"/>
                      <w:szCs w:val="21"/>
                      <w:u w:val="non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olor w:val="auto"/>
                      <w:szCs w:val="21"/>
                      <w:u w:val="none"/>
                      <w:lang w:val="en-US" w:eastAsia="zh-CN" w:bidi="ar"/>
                    </w:rPr>
                    <w:t>固体颗粒</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color w:val="auto"/>
                      <w:szCs w:val="21"/>
                      <w:u w:val="none"/>
                      <w:lang w:eastAsia="zh-CN"/>
                    </w:rPr>
                    <w:t>外购全新料</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rPr>
                  </w:pPr>
                  <w:r>
                    <w:rPr>
                      <w:rFonts w:hint="eastAsia"/>
                      <w:color w:val="auto"/>
                      <w:szCs w:val="21"/>
                      <w:u w:val="none"/>
                      <w:lang w:eastAsia="zh-CN"/>
                    </w:rPr>
                    <w:t>产品堆场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0"/>
                    </w:numPr>
                    <w:kinsoku/>
                    <w:wordWrap/>
                    <w:overflowPunct/>
                    <w:topLinePunct w:val="0"/>
                    <w:bidi w:val="0"/>
                    <w:spacing w:line="240" w:lineRule="auto"/>
                    <w:ind w:leftChars="0"/>
                    <w:jc w:val="center"/>
                    <w:rPr>
                      <w:rFonts w:hint="default" w:ascii="Times New Roman" w:hAnsi="Times New Roman" w:eastAsia="宋体" w:cs="Times New Roman"/>
                      <w:b/>
                      <w:bCs/>
                      <w:color w:val="auto"/>
                      <w:szCs w:val="21"/>
                      <w:u w:val="none"/>
                      <w:lang w:val="en-US" w:eastAsia="zh-CN"/>
                    </w:rPr>
                  </w:pPr>
                  <w:r>
                    <w:rPr>
                      <w:rFonts w:hint="eastAsia" w:cs="Times New Roman"/>
                      <w:b/>
                      <w:bCs/>
                      <w:color w:val="auto"/>
                      <w:szCs w:val="21"/>
                      <w:u w:val="none"/>
                      <w:lang w:val="en-US" w:eastAsia="zh-CN"/>
                    </w:rPr>
                    <w:t>四</w:t>
                  </w:r>
                </w:p>
              </w:tc>
              <w:tc>
                <w:tcPr>
                  <w:tcW w:w="8633" w:type="dxa"/>
                  <w:gridSpan w:val="8"/>
                  <w:noWrap w:val="0"/>
                  <w:vAlign w:val="center"/>
                </w:tcPr>
                <w:p>
                  <w:pPr>
                    <w:keepNext w:val="0"/>
                    <w:keepLines w:val="0"/>
                    <w:pageBreakBefore w:val="0"/>
                    <w:kinsoku/>
                    <w:wordWrap/>
                    <w:overflowPunct/>
                    <w:topLinePunct w:val="0"/>
                    <w:bidi w:val="0"/>
                    <w:spacing w:line="240" w:lineRule="auto"/>
                    <w:jc w:val="left"/>
                    <w:rPr>
                      <w:rFonts w:hint="eastAsia"/>
                      <w:b/>
                      <w:bCs/>
                      <w:color w:val="auto"/>
                      <w:szCs w:val="21"/>
                      <w:u w:val="none"/>
                      <w:lang w:eastAsia="zh-CN"/>
                    </w:rPr>
                  </w:pPr>
                  <w:r>
                    <w:rPr>
                      <w:rFonts w:hint="eastAsia"/>
                      <w:b/>
                      <w:bCs/>
                      <w:color w:val="auto"/>
                      <w:szCs w:val="21"/>
                      <w:u w:val="none"/>
                      <w:lang w:eastAsia="zh-CN"/>
                    </w:rPr>
                    <w:t>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3"/>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none"/>
                      <w:lang w:val="en-US" w:eastAsia="zh-CN"/>
                    </w:rPr>
                  </w:pPr>
                </w:p>
              </w:tc>
              <w:tc>
                <w:tcPr>
                  <w:tcW w:w="1427"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润滑油</w:t>
                  </w:r>
                </w:p>
              </w:tc>
              <w:tc>
                <w:tcPr>
                  <w:tcW w:w="1013"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s="Times New Roman"/>
                      <w:color w:val="auto"/>
                      <w:kern w:val="2"/>
                      <w:sz w:val="21"/>
                      <w:szCs w:val="21"/>
                      <w:u w:val="none"/>
                      <w:lang w:val="en-US" w:eastAsia="zh-CN" w:bidi="ar-SA"/>
                    </w:rPr>
                    <w:t>t/a</w:t>
                  </w:r>
                </w:p>
              </w:tc>
              <w:tc>
                <w:tcPr>
                  <w:tcW w:w="1113"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bidi="ar"/>
                    </w:rPr>
                    <w:t>桶装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val="en-US" w:eastAsia="zh-CN" w:bidi="ar"/>
                    </w:rPr>
                    <w:t>液态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olor w:val="auto"/>
                      <w:szCs w:val="21"/>
                      <w:u w:val="none"/>
                      <w:lang w:eastAsia="zh-CN"/>
                    </w:rPr>
                    <w:t>外购</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原料堆场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3"/>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single"/>
                      <w:lang w:val="en-US" w:eastAsia="zh-CN"/>
                    </w:rPr>
                  </w:pPr>
                </w:p>
              </w:tc>
              <w:tc>
                <w:tcPr>
                  <w:tcW w:w="1427" w:type="dxa"/>
                  <w:noWrap w:val="0"/>
                  <w:vAlign w:val="center"/>
                </w:tcPr>
                <w:p>
                  <w:pPr>
                    <w:keepNext w:val="0"/>
                    <w:keepLines w:val="0"/>
                    <w:pageBreakBefore w:val="0"/>
                    <w:numPr>
                      <w:ilvl w:val="0"/>
                      <w:numId w:val="0"/>
                    </w:numPr>
                    <w:kinsoku/>
                    <w:wordWrap/>
                    <w:overflowPunct/>
                    <w:topLinePunct w:val="0"/>
                    <w:bidi w:val="0"/>
                    <w:spacing w:line="240" w:lineRule="auto"/>
                    <w:ind w:leftChars="0"/>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bidi="ar"/>
                    </w:rPr>
                    <w:t>氢氧化钠</w:t>
                  </w:r>
                </w:p>
              </w:tc>
              <w:tc>
                <w:tcPr>
                  <w:tcW w:w="1013"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kern w:val="2"/>
                      <w:sz w:val="21"/>
                      <w:szCs w:val="21"/>
                      <w:highlight w:val="none"/>
                      <w:u w:val="single"/>
                      <w:lang w:val="en-US" w:eastAsia="zh-CN" w:bidi="ar"/>
                    </w:rPr>
                  </w:pPr>
                  <w:r>
                    <w:rPr>
                      <w:rFonts w:hint="eastAsia" w:cs="Times New Roman"/>
                      <w:color w:val="auto"/>
                      <w:kern w:val="2"/>
                      <w:sz w:val="21"/>
                      <w:szCs w:val="21"/>
                      <w:highlight w:val="none"/>
                      <w:u w:val="single"/>
                      <w:lang w:val="en-US" w:eastAsia="zh-CN" w:bidi="ar-SA"/>
                    </w:rPr>
                    <w:t>t/a</w:t>
                  </w:r>
                </w:p>
              </w:tc>
              <w:tc>
                <w:tcPr>
                  <w:tcW w:w="1113" w:type="dxa"/>
                  <w:noWrap w:val="0"/>
                  <w:vAlign w:val="center"/>
                </w:tcPr>
                <w:p>
                  <w:pPr>
                    <w:keepNext w:val="0"/>
                    <w:keepLines w:val="0"/>
                    <w:pageBreakBefore w:val="0"/>
                    <w:kinsoku/>
                    <w:wordWrap/>
                    <w:overflowPunct/>
                    <w:topLinePunct w:val="0"/>
                    <w:bidi w:val="0"/>
                    <w:spacing w:line="240" w:lineRule="auto"/>
                    <w:jc w:val="center"/>
                    <w:rPr>
                      <w:rFonts w:hint="default" w:cs="Times New Roman"/>
                      <w:color w:val="auto"/>
                      <w:szCs w:val="21"/>
                      <w:highlight w:val="none"/>
                      <w:u w:val="single"/>
                      <w:lang w:val="en-US" w:eastAsia="zh-CN"/>
                    </w:rPr>
                  </w:pPr>
                  <w:r>
                    <w:rPr>
                      <w:rFonts w:hint="eastAsia" w:cs="Times New Roman"/>
                      <w:color w:val="auto"/>
                      <w:szCs w:val="21"/>
                      <w:highlight w:val="none"/>
                      <w:u w:val="single"/>
                      <w:lang w:val="en-US" w:eastAsia="zh-CN"/>
                    </w:rPr>
                    <w:t>0.5</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cs="Times New Roman"/>
                      <w:color w:val="auto"/>
                      <w:szCs w:val="21"/>
                      <w:highlight w:val="none"/>
                      <w:u w:val="single"/>
                      <w:lang w:val="en-US" w:eastAsia="zh-CN"/>
                    </w:rPr>
                  </w:pPr>
                  <w:r>
                    <w:rPr>
                      <w:rFonts w:hint="eastAsia" w:cs="Times New Roman"/>
                      <w:color w:val="auto"/>
                      <w:szCs w:val="21"/>
                      <w:highlight w:val="none"/>
                      <w:u w:val="single"/>
                      <w:lang w:val="en-US" w:eastAsia="zh-CN"/>
                    </w:rPr>
                    <w:t>/</w:t>
                  </w:r>
                </w:p>
              </w:tc>
              <w:tc>
                <w:tcPr>
                  <w:tcW w:w="1179"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u w:val="single"/>
                      <w:lang w:val="en-US" w:eastAsia="zh-CN" w:bidi="ar"/>
                    </w:rPr>
                  </w:pPr>
                  <w:r>
                    <w:rPr>
                      <w:rFonts w:hint="eastAsia"/>
                      <w:color w:val="auto"/>
                      <w:szCs w:val="21"/>
                      <w:highlight w:val="none"/>
                      <w:u w:val="singl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u w:val="single"/>
                      <w:lang w:val="en-US" w:eastAsia="zh-CN" w:bidi="ar"/>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single"/>
                      <w:lang w:eastAsia="zh-CN"/>
                    </w:rPr>
                  </w:pPr>
                  <w:r>
                    <w:rPr>
                      <w:rFonts w:hint="eastAsia"/>
                      <w:color w:val="auto"/>
                      <w:szCs w:val="21"/>
                      <w:highlight w:val="none"/>
                      <w:u w:val="none"/>
                      <w:lang w:eastAsia="zh-CN"/>
                    </w:rPr>
                    <w:t>外购</w:t>
                  </w:r>
                </w:p>
              </w:tc>
              <w:tc>
                <w:tcPr>
                  <w:tcW w:w="1148"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u w:val="single"/>
                      <w:lang w:val="en-US" w:eastAsia="zh-CN"/>
                    </w:rPr>
                  </w:pPr>
                  <w:r>
                    <w:rPr>
                      <w:rFonts w:hint="eastAsia" w:cs="Times New Roman"/>
                      <w:color w:val="auto"/>
                      <w:szCs w:val="21"/>
                      <w:highlight w:val="none"/>
                      <w:u w:val="single"/>
                      <w:lang w:val="en-US" w:eastAsia="zh-CN"/>
                    </w:rPr>
                    <w:t>废水废气处理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3"/>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single"/>
                      <w:lang w:val="en-US" w:eastAsia="zh-CN"/>
                    </w:rPr>
                  </w:pPr>
                </w:p>
              </w:tc>
              <w:tc>
                <w:tcPr>
                  <w:tcW w:w="1427" w:type="dxa"/>
                  <w:noWrap w:val="0"/>
                  <w:vAlign w:val="center"/>
                </w:tcPr>
                <w:p>
                  <w:pPr>
                    <w:keepNext w:val="0"/>
                    <w:keepLines w:val="0"/>
                    <w:pageBreakBefore w:val="0"/>
                    <w:numPr>
                      <w:ilvl w:val="0"/>
                      <w:numId w:val="0"/>
                    </w:numPr>
                    <w:kinsoku/>
                    <w:wordWrap/>
                    <w:overflowPunct/>
                    <w:topLinePunct w:val="0"/>
                    <w:bidi w:val="0"/>
                    <w:spacing w:line="240" w:lineRule="auto"/>
                    <w:ind w:leftChars="0"/>
                    <w:jc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PAC</w:t>
                  </w:r>
                </w:p>
              </w:tc>
              <w:tc>
                <w:tcPr>
                  <w:tcW w:w="1013"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t/a</w:t>
                  </w:r>
                </w:p>
              </w:tc>
              <w:tc>
                <w:tcPr>
                  <w:tcW w:w="1113" w:type="dxa"/>
                  <w:noWrap w:val="0"/>
                  <w:vAlign w:val="center"/>
                </w:tcPr>
                <w:p>
                  <w:pPr>
                    <w:keepNext w:val="0"/>
                    <w:keepLines w:val="0"/>
                    <w:pageBreakBefore w:val="0"/>
                    <w:kinsoku/>
                    <w:wordWrap/>
                    <w:overflowPunct/>
                    <w:topLinePunct w:val="0"/>
                    <w:bidi w:val="0"/>
                    <w:spacing w:line="240" w:lineRule="auto"/>
                    <w:jc w:val="center"/>
                    <w:rPr>
                      <w:rFonts w:hint="default" w:cs="Times New Roman"/>
                      <w:color w:val="auto"/>
                      <w:szCs w:val="21"/>
                      <w:highlight w:val="none"/>
                      <w:u w:val="single"/>
                      <w:lang w:val="en-US" w:eastAsia="zh-CN"/>
                    </w:rPr>
                  </w:pPr>
                  <w:r>
                    <w:rPr>
                      <w:rFonts w:hint="eastAsia" w:cs="Times New Roman"/>
                      <w:color w:val="auto"/>
                      <w:szCs w:val="21"/>
                      <w:highlight w:val="none"/>
                      <w:u w:val="single"/>
                      <w:lang w:val="en-US" w:eastAsia="zh-CN"/>
                    </w:rPr>
                    <w:t>0.02</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u w:val="single"/>
                      <w:lang w:val="en-US" w:eastAsia="zh-CN"/>
                    </w:rPr>
                  </w:pP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single"/>
                      <w:lang w:val="en-US" w:eastAsia="zh-CN" w:bidi="ar"/>
                    </w:rPr>
                  </w:pPr>
                  <w:r>
                    <w:rPr>
                      <w:rFonts w:hint="eastAsia"/>
                      <w:color w:val="auto"/>
                      <w:szCs w:val="21"/>
                      <w:highlight w:val="none"/>
                      <w:u w:val="singl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eastAsia="zh-CN"/>
                    </w:rPr>
                  </w:pPr>
                  <w:r>
                    <w:rPr>
                      <w:rFonts w:hint="eastAsia"/>
                      <w:color w:val="auto"/>
                      <w:szCs w:val="21"/>
                      <w:highlight w:val="none"/>
                      <w:u w:val="none"/>
                      <w:lang w:eastAsia="zh-CN"/>
                    </w:rPr>
                    <w:t>外购</w:t>
                  </w:r>
                </w:p>
              </w:tc>
              <w:tc>
                <w:tcPr>
                  <w:tcW w:w="1148" w:type="dxa"/>
                  <w:vMerge w:val="restart"/>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u w:val="single"/>
                      <w:lang w:val="en-US" w:eastAsia="zh-CN"/>
                    </w:rPr>
                  </w:pPr>
                  <w:r>
                    <w:rPr>
                      <w:rFonts w:hint="eastAsia" w:cs="Times New Roman"/>
                      <w:color w:val="auto"/>
                      <w:szCs w:val="21"/>
                      <w:highlight w:val="none"/>
                      <w:u w:val="single"/>
                      <w:lang w:val="en-US" w:eastAsia="zh-CN"/>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3"/>
                    </w:numPr>
                    <w:kinsoku/>
                    <w:wordWrap/>
                    <w:overflowPunct/>
                    <w:topLinePunct w:val="0"/>
                    <w:bidi w:val="0"/>
                    <w:spacing w:line="240" w:lineRule="auto"/>
                    <w:ind w:left="0" w:leftChars="0" w:firstLine="0" w:firstLineChars="0"/>
                    <w:jc w:val="center"/>
                    <w:rPr>
                      <w:rFonts w:hint="eastAsia" w:ascii="Times New Roman" w:hAnsi="Times New Roman" w:eastAsia="宋体" w:cs="Times New Roman"/>
                      <w:color w:val="auto"/>
                      <w:szCs w:val="21"/>
                      <w:u w:val="single"/>
                      <w:lang w:val="en-US" w:eastAsia="zh-CN"/>
                    </w:rPr>
                  </w:pPr>
                </w:p>
              </w:tc>
              <w:tc>
                <w:tcPr>
                  <w:tcW w:w="1427" w:type="dxa"/>
                  <w:noWrap w:val="0"/>
                  <w:vAlign w:val="center"/>
                </w:tcPr>
                <w:p>
                  <w:pPr>
                    <w:keepNext w:val="0"/>
                    <w:keepLines w:val="0"/>
                    <w:pageBreakBefore w:val="0"/>
                    <w:numPr>
                      <w:ilvl w:val="0"/>
                      <w:numId w:val="0"/>
                    </w:numPr>
                    <w:kinsoku/>
                    <w:wordWrap/>
                    <w:overflowPunct/>
                    <w:topLinePunct w:val="0"/>
                    <w:bidi w:val="0"/>
                    <w:spacing w:line="240" w:lineRule="auto"/>
                    <w:ind w:leftChars="0"/>
                    <w:jc w:val="center"/>
                    <w:rPr>
                      <w:rFonts w:hint="default" w:cs="Times New Roman"/>
                      <w:color w:val="auto"/>
                      <w:sz w:val="21"/>
                      <w:szCs w:val="21"/>
                      <w:highlight w:val="none"/>
                      <w:u w:val="single"/>
                      <w:lang w:val="en-US" w:eastAsia="zh-CN" w:bidi="ar"/>
                    </w:rPr>
                  </w:pPr>
                  <w:r>
                    <w:rPr>
                      <w:rFonts w:hint="eastAsia" w:cs="Times New Roman"/>
                      <w:color w:val="auto"/>
                      <w:sz w:val="21"/>
                      <w:szCs w:val="21"/>
                      <w:highlight w:val="none"/>
                      <w:u w:val="single"/>
                      <w:lang w:val="en-US" w:eastAsia="zh-CN" w:bidi="ar"/>
                    </w:rPr>
                    <w:t>PAM</w:t>
                  </w:r>
                </w:p>
              </w:tc>
              <w:tc>
                <w:tcPr>
                  <w:tcW w:w="1013"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t/a</w:t>
                  </w:r>
                </w:p>
              </w:tc>
              <w:tc>
                <w:tcPr>
                  <w:tcW w:w="1113" w:type="dxa"/>
                  <w:noWrap w:val="0"/>
                  <w:vAlign w:val="center"/>
                </w:tcPr>
                <w:p>
                  <w:pPr>
                    <w:keepNext w:val="0"/>
                    <w:keepLines w:val="0"/>
                    <w:pageBreakBefore w:val="0"/>
                    <w:kinsoku/>
                    <w:wordWrap/>
                    <w:overflowPunct/>
                    <w:topLinePunct w:val="0"/>
                    <w:bidi w:val="0"/>
                    <w:spacing w:line="240" w:lineRule="auto"/>
                    <w:jc w:val="center"/>
                    <w:rPr>
                      <w:rFonts w:hint="default" w:cs="Times New Roman"/>
                      <w:color w:val="auto"/>
                      <w:szCs w:val="21"/>
                      <w:highlight w:val="none"/>
                      <w:u w:val="single"/>
                      <w:lang w:val="en-US" w:eastAsia="zh-CN"/>
                    </w:rPr>
                  </w:pPr>
                  <w:r>
                    <w:rPr>
                      <w:rFonts w:hint="eastAsia" w:cs="Times New Roman"/>
                      <w:color w:val="auto"/>
                      <w:szCs w:val="21"/>
                      <w:highlight w:val="none"/>
                      <w:u w:val="single"/>
                      <w:lang w:val="en-US" w:eastAsia="zh-CN"/>
                    </w:rPr>
                    <w:t>0.03</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u w:val="single"/>
                      <w:lang w:val="en-US" w:eastAsia="zh-CN"/>
                    </w:rPr>
                  </w:pP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single"/>
                      <w:lang w:val="en-US" w:eastAsia="zh-CN" w:bidi="ar"/>
                    </w:rPr>
                  </w:pPr>
                  <w:r>
                    <w:rPr>
                      <w:rFonts w:hint="eastAsia"/>
                      <w:color w:val="auto"/>
                      <w:szCs w:val="21"/>
                      <w:highlight w:val="none"/>
                      <w:u w:val="single"/>
                      <w:lang w:val="en-US" w:eastAsia="zh-CN" w:bidi="ar"/>
                    </w:rPr>
                    <w:t>袋装</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u w:val="none"/>
                      <w:lang w:eastAsia="zh-CN" w:bidi="ar"/>
                    </w:rPr>
                  </w:pPr>
                  <w:r>
                    <w:rPr>
                      <w:rFonts w:hint="eastAsia"/>
                      <w:color w:val="auto"/>
                      <w:szCs w:val="21"/>
                      <w:u w:val="none"/>
                      <w:lang w:eastAsia="zh-CN" w:bidi="ar"/>
                    </w:rPr>
                    <w:t>固态</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eastAsia="zh-CN"/>
                    </w:rPr>
                  </w:pPr>
                  <w:r>
                    <w:rPr>
                      <w:rFonts w:hint="eastAsia"/>
                      <w:color w:val="auto"/>
                      <w:szCs w:val="21"/>
                      <w:highlight w:val="none"/>
                      <w:u w:val="none"/>
                      <w:lang w:eastAsia="zh-CN"/>
                    </w:rPr>
                    <w:t>外购</w:t>
                  </w:r>
                </w:p>
              </w:tc>
              <w:tc>
                <w:tcPr>
                  <w:tcW w:w="1148" w:type="dxa"/>
                  <w:vMerge w:val="continue"/>
                  <w:noWrap w:val="0"/>
                  <w:vAlign w:val="center"/>
                </w:tcPr>
                <w:p>
                  <w:pPr>
                    <w:keepNext w:val="0"/>
                    <w:keepLines w:val="0"/>
                    <w:pageBreakBefore w:val="0"/>
                    <w:kinsoku/>
                    <w:wordWrap/>
                    <w:overflowPunct/>
                    <w:topLinePunct w:val="0"/>
                    <w:bidi w:val="0"/>
                    <w:spacing w:line="240" w:lineRule="auto"/>
                    <w:jc w:val="center"/>
                    <w:rPr>
                      <w:rFonts w:hint="eastAsia" w:cs="Times New Roman"/>
                      <w:color w:val="auto"/>
                      <w:szCs w:val="21"/>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3"/>
                    </w:numPr>
                    <w:kinsoku/>
                    <w:wordWrap/>
                    <w:overflowPunct/>
                    <w:topLinePunct w:val="0"/>
                    <w:bidi w:val="0"/>
                    <w:spacing w:line="240" w:lineRule="auto"/>
                    <w:ind w:left="0" w:leftChars="0" w:firstLine="0" w:firstLineChars="0"/>
                    <w:jc w:val="center"/>
                    <w:rPr>
                      <w:rFonts w:hint="default"/>
                      <w:color w:val="auto"/>
                      <w:szCs w:val="21"/>
                      <w:u w:val="none"/>
                      <w:lang w:val="en-US" w:eastAsia="zh-CN"/>
                    </w:rPr>
                  </w:pPr>
                </w:p>
              </w:tc>
              <w:tc>
                <w:tcPr>
                  <w:tcW w:w="1427"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highlight w:val="none"/>
                      <w:u w:val="single"/>
                      <w:lang w:val="en-US" w:eastAsia="zh-CN" w:bidi="ar"/>
                    </w:rPr>
                  </w:pPr>
                  <w:r>
                    <w:rPr>
                      <w:rFonts w:hint="eastAsia" w:ascii="Times New Roman" w:hAnsi="Times New Roman" w:eastAsia="宋体" w:cs="Times New Roman"/>
                      <w:color w:val="auto"/>
                      <w:sz w:val="21"/>
                      <w:szCs w:val="21"/>
                      <w:highlight w:val="none"/>
                      <w:u w:val="single"/>
                      <w:lang w:val="en-US" w:eastAsia="zh-CN" w:bidi="ar"/>
                    </w:rPr>
                    <w:t>水</w:t>
                  </w:r>
                </w:p>
              </w:tc>
              <w:tc>
                <w:tcPr>
                  <w:tcW w:w="1013"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eastAsia"/>
                      <w:color w:val="auto"/>
                      <w:kern w:val="0"/>
                      <w:szCs w:val="21"/>
                      <w:highlight w:val="none"/>
                      <w:u w:val="single"/>
                      <w:lang w:val="en-US" w:eastAsia="zh-CN" w:bidi="ar"/>
                    </w:rPr>
                  </w:pPr>
                  <w:r>
                    <w:rPr>
                      <w:color w:val="auto"/>
                      <w:szCs w:val="21"/>
                      <w:highlight w:val="none"/>
                      <w:u w:val="single"/>
                    </w:rPr>
                    <w:t>m</w:t>
                  </w:r>
                  <w:r>
                    <w:rPr>
                      <w:color w:val="auto"/>
                      <w:szCs w:val="21"/>
                      <w:highlight w:val="none"/>
                      <w:u w:val="single"/>
                      <w:vertAlign w:val="superscript"/>
                    </w:rPr>
                    <w:t>3</w:t>
                  </w:r>
                  <w:r>
                    <w:rPr>
                      <w:color w:val="auto"/>
                      <w:szCs w:val="21"/>
                      <w:highlight w:val="none"/>
                      <w:u w:val="single"/>
                    </w:rPr>
                    <w:t>/a</w:t>
                  </w:r>
                </w:p>
              </w:tc>
              <w:tc>
                <w:tcPr>
                  <w:tcW w:w="1113" w:type="dxa"/>
                  <w:noWrap w:val="0"/>
                  <w:vAlign w:val="center"/>
                </w:tcPr>
                <w:p>
                  <w:pPr>
                    <w:spacing w:line="240" w:lineRule="auto"/>
                    <w:jc w:val="center"/>
                    <w:rPr>
                      <w:rFonts w:hint="default"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u w:val="single"/>
                      <w:lang w:val="en-US" w:eastAsia="zh-CN"/>
                    </w:rPr>
                    <w:t>13963</w:t>
                  </w:r>
                </w:p>
              </w:tc>
              <w:tc>
                <w:tcPr>
                  <w:tcW w:w="1054"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single"/>
                      <w:lang w:val="en-US" w:eastAsia="zh-CN" w:bidi="ar"/>
                    </w:rPr>
                  </w:pPr>
                  <w:r>
                    <w:rPr>
                      <w:rFonts w:hint="eastAsia"/>
                      <w:color w:val="auto"/>
                      <w:szCs w:val="21"/>
                      <w:highlight w:val="none"/>
                      <w:u w:val="none"/>
                      <w:lang w:val="en-US" w:eastAsia="zh-CN" w:bidi="ar"/>
                    </w:rPr>
                    <w:t>/</w:t>
                  </w:r>
                </w:p>
              </w:tc>
              <w:tc>
                <w:tcPr>
                  <w:tcW w:w="1179" w:type="dxa"/>
                  <w:noWrap w:val="0"/>
                  <w:vAlign w:val="center"/>
                </w:tcPr>
                <w:p>
                  <w:pPr>
                    <w:keepNext w:val="0"/>
                    <w:keepLines w:val="0"/>
                    <w:pageBreakBefore w:val="0"/>
                    <w:kinsoku/>
                    <w:wordWrap/>
                    <w:overflowPunct/>
                    <w:topLinePunct w:val="0"/>
                    <w:bidi w:val="0"/>
                    <w:spacing w:line="240" w:lineRule="auto"/>
                    <w:jc w:val="center"/>
                    <w:rPr>
                      <w:rFonts w:hint="eastAsia"/>
                      <w:color w:val="auto"/>
                      <w:szCs w:val="21"/>
                      <w:highlight w:val="none"/>
                      <w:u w:val="none"/>
                      <w:lang w:eastAsia="zh-CN" w:bidi="ar"/>
                    </w:rPr>
                  </w:pPr>
                  <w:r>
                    <w:rPr>
                      <w:rFonts w:hint="eastAsia"/>
                      <w:color w:val="auto"/>
                      <w:szCs w:val="21"/>
                      <w:highlight w:val="none"/>
                      <w:u w:val="none"/>
                      <w:lang w:val="en-US" w:eastAsia="zh-CN" w:bidi="ar"/>
                    </w:rPr>
                    <w:t>/</w:t>
                  </w:r>
                </w:p>
              </w:tc>
              <w:tc>
                <w:tcPr>
                  <w:tcW w:w="799" w:type="dxa"/>
                  <w:noWrap w:val="0"/>
                  <w:vAlign w:val="center"/>
                </w:tcPr>
                <w:p>
                  <w:pPr>
                    <w:keepNext w:val="0"/>
                    <w:keepLines w:val="0"/>
                    <w:pageBreakBefore w:val="0"/>
                    <w:kinsoku/>
                    <w:wordWrap/>
                    <w:overflowPunct/>
                    <w:topLinePunct w:val="0"/>
                    <w:bidi w:val="0"/>
                    <w:spacing w:line="240" w:lineRule="auto"/>
                    <w:jc w:val="center"/>
                    <w:rPr>
                      <w:color w:val="auto"/>
                      <w:szCs w:val="21"/>
                      <w:highlight w:val="none"/>
                      <w:u w:val="none"/>
                      <w:lang w:bidi="ar"/>
                    </w:rPr>
                  </w:pPr>
                  <w:r>
                    <w:rPr>
                      <w:rFonts w:hint="eastAsia"/>
                      <w:color w:val="auto"/>
                      <w:szCs w:val="21"/>
                      <w:highlight w:val="none"/>
                      <w:u w:val="none"/>
                      <w:lang w:val="en-US" w:eastAsia="zh-CN" w:bidi="ar"/>
                    </w:rPr>
                    <w:t>/</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市政</w:t>
                  </w:r>
                </w:p>
                <w:p>
                  <w:pPr>
                    <w:keepNext w:val="0"/>
                    <w:keepLines w:val="0"/>
                    <w:pageBreakBefore w:val="0"/>
                    <w:kinsoku/>
                    <w:wordWrap/>
                    <w:overflowPunct/>
                    <w:topLinePunct w:val="0"/>
                    <w:bidi w:val="0"/>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供水</w:t>
                  </w:r>
                </w:p>
              </w:tc>
              <w:tc>
                <w:tcPr>
                  <w:tcW w:w="1148"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u w:val="none"/>
                      <w:lang w:val="en-US" w:eastAsia="zh-CN"/>
                    </w:rPr>
                  </w:pPr>
                  <w:r>
                    <w:rPr>
                      <w:rFonts w:hint="eastAsia"/>
                      <w:color w:val="auto"/>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80" w:type="dxa"/>
                  <w:noWrap w:val="0"/>
                  <w:vAlign w:val="center"/>
                </w:tcPr>
                <w:p>
                  <w:pPr>
                    <w:keepNext w:val="0"/>
                    <w:keepLines w:val="0"/>
                    <w:pageBreakBefore w:val="0"/>
                    <w:numPr>
                      <w:ilvl w:val="0"/>
                      <w:numId w:val="13"/>
                    </w:numPr>
                    <w:kinsoku/>
                    <w:wordWrap/>
                    <w:overflowPunct/>
                    <w:topLinePunct w:val="0"/>
                    <w:bidi w:val="0"/>
                    <w:spacing w:line="240" w:lineRule="auto"/>
                    <w:ind w:left="0" w:leftChars="0" w:firstLine="0" w:firstLineChars="0"/>
                    <w:jc w:val="center"/>
                    <w:rPr>
                      <w:rFonts w:hint="default"/>
                      <w:color w:val="auto"/>
                      <w:szCs w:val="21"/>
                      <w:u w:val="none"/>
                      <w:lang w:val="en-US" w:eastAsia="zh-CN"/>
                    </w:rPr>
                  </w:pPr>
                </w:p>
              </w:tc>
              <w:tc>
                <w:tcPr>
                  <w:tcW w:w="1427" w:type="dxa"/>
                  <w:noWrap w:val="0"/>
                  <w:vAlign w:val="center"/>
                </w:tcPr>
                <w:p>
                  <w:pPr>
                    <w:keepNext w:val="0"/>
                    <w:keepLines w:val="0"/>
                    <w:pageBreakBefore w:val="0"/>
                    <w:kinsoku/>
                    <w:wordWrap/>
                    <w:overflowPunct/>
                    <w:topLinePunct w:val="0"/>
                    <w:bidi w:val="0"/>
                    <w:spacing w:line="240" w:lineRule="auto"/>
                    <w:jc w:val="center"/>
                    <w:rPr>
                      <w:rFonts w:hint="eastAsia" w:ascii="Times New Roman" w:hAnsi="Times New Roman" w:eastAsia="宋体" w:cs="Times New Roman"/>
                      <w:color w:val="auto"/>
                      <w:sz w:val="21"/>
                      <w:szCs w:val="21"/>
                      <w:highlight w:val="none"/>
                      <w:u w:val="none"/>
                      <w:lang w:val="en-US" w:eastAsia="zh-CN" w:bidi="ar"/>
                    </w:rPr>
                  </w:pPr>
                  <w:r>
                    <w:rPr>
                      <w:rFonts w:hint="eastAsia" w:ascii="Times New Roman" w:hAnsi="Times New Roman" w:eastAsia="宋体" w:cs="Times New Roman"/>
                      <w:color w:val="auto"/>
                      <w:sz w:val="21"/>
                      <w:szCs w:val="21"/>
                      <w:highlight w:val="none"/>
                      <w:u w:val="none"/>
                      <w:lang w:val="en-US" w:eastAsia="zh-CN" w:bidi="ar"/>
                    </w:rPr>
                    <w:t>电</w:t>
                  </w:r>
                </w:p>
              </w:tc>
              <w:tc>
                <w:tcPr>
                  <w:tcW w:w="1013" w:type="dxa"/>
                  <w:noWrap w:val="0"/>
                  <w:vAlign w:val="center"/>
                </w:tcPr>
                <w:p>
                  <w:pPr>
                    <w:keepNext w:val="0"/>
                    <w:keepLines w:val="0"/>
                    <w:pageBreakBefore w:val="0"/>
                    <w:widowControl/>
                    <w:kinsoku/>
                    <w:wordWrap/>
                    <w:overflowPunct/>
                    <w:topLinePunct w:val="0"/>
                    <w:bidi w:val="0"/>
                    <w:spacing w:line="240" w:lineRule="auto"/>
                    <w:jc w:val="center"/>
                    <w:textAlignment w:val="center"/>
                    <w:rPr>
                      <w:rFonts w:hint="eastAsia"/>
                      <w:color w:val="auto"/>
                      <w:kern w:val="0"/>
                      <w:szCs w:val="21"/>
                      <w:highlight w:val="none"/>
                      <w:u w:val="none"/>
                      <w:lang w:val="en-US" w:eastAsia="zh-CN" w:bidi="ar"/>
                    </w:rPr>
                  </w:pPr>
                  <w:r>
                    <w:rPr>
                      <w:rFonts w:hAnsi="宋体"/>
                      <w:color w:val="auto"/>
                      <w:szCs w:val="21"/>
                      <w:u w:val="none"/>
                    </w:rPr>
                    <w:t>万</w:t>
                  </w:r>
                  <w:r>
                    <w:rPr>
                      <w:color w:val="auto"/>
                      <w:szCs w:val="21"/>
                      <w:u w:val="none"/>
                    </w:rPr>
                    <w:t>kw·h/a</w:t>
                  </w:r>
                </w:p>
              </w:tc>
              <w:tc>
                <w:tcPr>
                  <w:tcW w:w="1113"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054"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w:t>
                  </w:r>
                </w:p>
              </w:tc>
              <w:tc>
                <w:tcPr>
                  <w:tcW w:w="1179"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w:t>
                  </w:r>
                </w:p>
              </w:tc>
              <w:tc>
                <w:tcPr>
                  <w:tcW w:w="799" w:type="dxa"/>
                  <w:noWrap w:val="0"/>
                  <w:vAlign w:val="center"/>
                </w:tcPr>
                <w:p>
                  <w:pPr>
                    <w:keepNext w:val="0"/>
                    <w:keepLines w:val="0"/>
                    <w:pageBreakBefore w:val="0"/>
                    <w:kinsoku/>
                    <w:wordWrap/>
                    <w:overflowPunct/>
                    <w:topLinePunct w:val="0"/>
                    <w:bidi w:val="0"/>
                    <w:spacing w:line="240" w:lineRule="auto"/>
                    <w:jc w:val="center"/>
                    <w:rPr>
                      <w:rFonts w:hint="eastAsia" w:eastAsia="宋体"/>
                      <w:color w:val="auto"/>
                      <w:szCs w:val="21"/>
                      <w:highlight w:val="none"/>
                      <w:u w:val="none"/>
                      <w:lang w:val="en-US" w:eastAsia="zh-CN" w:bidi="ar"/>
                    </w:rPr>
                  </w:pPr>
                  <w:r>
                    <w:rPr>
                      <w:rFonts w:hint="eastAsia"/>
                      <w:color w:val="auto"/>
                      <w:szCs w:val="21"/>
                      <w:highlight w:val="none"/>
                      <w:u w:val="none"/>
                      <w:lang w:val="en-US" w:eastAsia="zh-CN" w:bidi="ar"/>
                    </w:rPr>
                    <w:t>/</w:t>
                  </w:r>
                </w:p>
              </w:tc>
              <w:tc>
                <w:tcPr>
                  <w:tcW w:w="900" w:type="dxa"/>
                  <w:noWrap w:val="0"/>
                  <w:vAlign w:val="center"/>
                </w:tcPr>
                <w:p>
                  <w:pPr>
                    <w:keepNext w:val="0"/>
                    <w:keepLines w:val="0"/>
                    <w:pageBreakBefore w:val="0"/>
                    <w:kinsoku/>
                    <w:wordWrap/>
                    <w:overflowPunct/>
                    <w:topLinePunct w:val="0"/>
                    <w:bidi w:val="0"/>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市政</w:t>
                  </w:r>
                </w:p>
                <w:p>
                  <w:pPr>
                    <w:keepNext w:val="0"/>
                    <w:keepLines w:val="0"/>
                    <w:pageBreakBefore w:val="0"/>
                    <w:kinsoku/>
                    <w:wordWrap/>
                    <w:overflowPunct/>
                    <w:topLinePunct w:val="0"/>
                    <w:bidi w:val="0"/>
                    <w:spacing w:line="240" w:lineRule="auto"/>
                    <w:jc w:val="center"/>
                    <w:rPr>
                      <w:rFonts w:hint="eastAsia" w:ascii="宋体"/>
                      <w:color w:val="auto"/>
                      <w:szCs w:val="21"/>
                      <w:highlight w:val="none"/>
                      <w:u w:val="none"/>
                      <w:lang w:eastAsia="zh-CN"/>
                    </w:rPr>
                  </w:pPr>
                  <w:r>
                    <w:rPr>
                      <w:rFonts w:hint="eastAsia" w:ascii="宋体"/>
                      <w:color w:val="auto"/>
                      <w:szCs w:val="21"/>
                      <w:highlight w:val="none"/>
                      <w:u w:val="none"/>
                      <w:lang w:eastAsia="zh-CN"/>
                    </w:rPr>
                    <w:t>供电</w:t>
                  </w:r>
                </w:p>
              </w:tc>
              <w:tc>
                <w:tcPr>
                  <w:tcW w:w="1148" w:type="dxa"/>
                  <w:noWrap w:val="0"/>
                  <w:vAlign w:val="center"/>
                </w:tcPr>
                <w:p>
                  <w:pPr>
                    <w:keepNext w:val="0"/>
                    <w:keepLines w:val="0"/>
                    <w:pageBreakBefore w:val="0"/>
                    <w:kinsoku/>
                    <w:wordWrap/>
                    <w:overflowPunct/>
                    <w:topLinePunct w:val="0"/>
                    <w:bidi w:val="0"/>
                    <w:spacing w:line="240" w:lineRule="auto"/>
                    <w:jc w:val="center"/>
                    <w:rPr>
                      <w:rFonts w:hint="default"/>
                      <w:color w:val="auto"/>
                      <w:szCs w:val="21"/>
                      <w:u w:val="none"/>
                      <w:lang w:val="en-US" w:eastAsia="zh-CN"/>
                    </w:rPr>
                  </w:pPr>
                  <w:r>
                    <w:rPr>
                      <w:rFonts w:hint="eastAsia"/>
                      <w:color w:val="auto"/>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313" w:type="dxa"/>
                  <w:gridSpan w:val="9"/>
                  <w:noWrap w:val="0"/>
                  <w:vAlign w:val="center"/>
                </w:tcPr>
                <w:p>
                  <w:pPr>
                    <w:keepNext w:val="0"/>
                    <w:keepLines w:val="0"/>
                    <w:pageBreakBefore w:val="0"/>
                    <w:kinsoku/>
                    <w:wordWrap/>
                    <w:overflowPunct/>
                    <w:topLinePunct w:val="0"/>
                    <w:bidi w:val="0"/>
                    <w:spacing w:line="240" w:lineRule="auto"/>
                    <w:jc w:val="left"/>
                    <w:rPr>
                      <w:rFonts w:hint="eastAsia"/>
                      <w:color w:val="auto"/>
                      <w:szCs w:val="21"/>
                      <w:u w:val="none"/>
                      <w:lang w:val="en-US" w:eastAsia="zh-CN"/>
                    </w:rPr>
                  </w:pPr>
                  <w:r>
                    <w:rPr>
                      <w:rFonts w:hint="eastAsia"/>
                      <w:b/>
                      <w:bCs/>
                      <w:color w:val="auto"/>
                      <w:u w:val="single" w:color="auto"/>
                      <w:lang w:eastAsia="zh-CN"/>
                    </w:rPr>
                    <w:t>注：本项目</w:t>
                  </w:r>
                  <w:r>
                    <w:rPr>
                      <w:rFonts w:hint="eastAsia"/>
                      <w:b/>
                      <w:bCs/>
                      <w:color w:val="auto"/>
                      <w:u w:val="single" w:color="auto"/>
                      <w:lang w:val="en-US" w:eastAsia="zh-CN"/>
                    </w:rPr>
                    <w:t>塑料盘</w:t>
                  </w:r>
                  <w:r>
                    <w:rPr>
                      <w:rFonts w:hint="eastAsia"/>
                      <w:b/>
                      <w:bCs/>
                      <w:color w:val="auto"/>
                      <w:u w:val="single" w:color="auto"/>
                      <w:lang w:eastAsia="zh-CN"/>
                    </w:rPr>
                    <w:t>使用的聚苯乙烯</w:t>
                  </w:r>
                  <w:r>
                    <w:rPr>
                      <w:rFonts w:hint="eastAsia"/>
                      <w:b/>
                      <w:bCs/>
                      <w:color w:val="auto"/>
                      <w:u w:val="single" w:color="auto"/>
                      <w:lang w:val="en-US" w:eastAsia="zh-CN"/>
                    </w:rPr>
                    <w:t>粒</w:t>
                  </w:r>
                  <w:r>
                    <w:rPr>
                      <w:rFonts w:hint="eastAsia"/>
                      <w:b/>
                      <w:bCs/>
                      <w:color w:val="auto"/>
                      <w:u w:val="single" w:color="auto"/>
                      <w:lang w:eastAsia="zh-CN"/>
                    </w:rPr>
                    <w:t>属于新料，不属于再生塑料；同时本项目</w:t>
                  </w:r>
                  <w:r>
                    <w:rPr>
                      <w:rFonts w:hint="eastAsia"/>
                      <w:b/>
                      <w:bCs/>
                      <w:color w:val="auto"/>
                      <w:u w:val="single" w:color="auto"/>
                      <w:lang w:val="en-US" w:eastAsia="zh-CN"/>
                    </w:rPr>
                    <w:t>不可外购再生塑料为原料，</w:t>
                  </w:r>
                  <w:r>
                    <w:rPr>
                      <w:rFonts w:hint="eastAsia"/>
                      <w:b/>
                      <w:bCs/>
                      <w:color w:val="auto"/>
                      <w:u w:val="single" w:color="auto"/>
                      <w:lang w:eastAsia="zh-CN"/>
                    </w:rPr>
                    <w:t>禁止使用再生塑料用于生产加工。</w:t>
                  </w:r>
                </w:p>
              </w:tc>
            </w:tr>
          </w:tbl>
          <w:p>
            <w:pPr>
              <w:pStyle w:val="28"/>
              <w:keepNext w:val="0"/>
              <w:widowControl w:val="0"/>
              <w:spacing w:before="0" w:after="0" w:line="240" w:lineRule="auto"/>
              <w:ind w:firstLine="3373" w:firstLineChars="1400"/>
              <w:rPr>
                <w:rFonts w:hint="eastAsia" w:ascii="Times New Roman" w:hAnsi="Times New Roman" w:eastAsia="宋体" w:cs="Times New Roman"/>
                <w:b/>
                <w:bCs/>
                <w:color w:val="auto"/>
                <w:kern w:val="2"/>
                <w:sz w:val="24"/>
                <w:u w:val="single"/>
              </w:rPr>
            </w:pPr>
            <w:r>
              <w:rPr>
                <w:rFonts w:hint="eastAsia" w:ascii="Times New Roman" w:hAnsi="Times New Roman" w:eastAsia="宋体" w:cs="Times New Roman"/>
                <w:b/>
                <w:bCs/>
                <w:color w:val="auto"/>
                <w:kern w:val="2"/>
                <w:sz w:val="24"/>
                <w:u w:val="single"/>
                <w:lang w:val="en-US"/>
              </w:rPr>
              <w:t>表</w:t>
            </w:r>
            <w:r>
              <w:rPr>
                <w:rFonts w:hint="eastAsia" w:eastAsia="宋体" w:cs="Times New Roman"/>
                <w:b/>
                <w:bCs/>
                <w:color w:val="auto"/>
                <w:kern w:val="2"/>
                <w:sz w:val="24"/>
                <w:u w:val="single"/>
                <w:lang w:val="en-US" w:eastAsia="zh-CN"/>
              </w:rPr>
              <w:t>2.4-3硫酸库内</w:t>
            </w:r>
            <w:r>
              <w:rPr>
                <w:rFonts w:hint="eastAsia" w:ascii="Times New Roman" w:hAnsi="Times New Roman" w:eastAsia="宋体" w:cs="Times New Roman"/>
                <w:b/>
                <w:bCs/>
                <w:color w:val="auto"/>
                <w:kern w:val="2"/>
                <w:sz w:val="24"/>
                <w:u w:val="single"/>
                <w:lang w:val="en-US"/>
              </w:rPr>
              <w:t>储罐一览表</w:t>
            </w:r>
          </w:p>
          <w:tbl>
            <w:tblPr>
              <w:tblStyle w:val="29"/>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1504"/>
              <w:gridCol w:w="2396"/>
              <w:gridCol w:w="961"/>
              <w:gridCol w:w="955"/>
              <w:gridCol w:w="873"/>
              <w:gridCol w:w="110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61"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编号</w:t>
                  </w:r>
                </w:p>
              </w:tc>
              <w:tc>
                <w:tcPr>
                  <w:tcW w:w="1504"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设备名称</w:t>
                  </w:r>
                </w:p>
              </w:tc>
              <w:tc>
                <w:tcPr>
                  <w:tcW w:w="2396"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型号、参数</w:t>
                  </w:r>
                </w:p>
              </w:tc>
              <w:tc>
                <w:tcPr>
                  <w:tcW w:w="961"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数量（个）</w:t>
                  </w:r>
                </w:p>
              </w:tc>
              <w:tc>
                <w:tcPr>
                  <w:tcW w:w="955"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储存物质</w:t>
                  </w:r>
                </w:p>
              </w:tc>
              <w:tc>
                <w:tcPr>
                  <w:tcW w:w="873"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耐火等级</w:t>
                  </w:r>
                </w:p>
              </w:tc>
              <w:tc>
                <w:tcPr>
                  <w:tcW w:w="1103" w:type="dxa"/>
                  <w:shd w:val="clear" w:color="000000" w:fill="auto"/>
                  <w:noWrap w:val="0"/>
                  <w:vAlign w:val="center"/>
                </w:tcPr>
                <w:p>
                  <w:pPr>
                    <w:widowControl/>
                    <w:jc w:val="center"/>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u w:val="single"/>
                    </w:rPr>
                    <w:t>类型</w:t>
                  </w:r>
                </w:p>
              </w:tc>
              <w:tc>
                <w:tcPr>
                  <w:tcW w:w="859" w:type="dxa"/>
                  <w:shd w:val="clear" w:color="000000" w:fill="auto"/>
                  <w:noWrap w:val="0"/>
                  <w:vAlign w:val="center"/>
                </w:tcPr>
                <w:p>
                  <w:pPr>
                    <w:widowControl/>
                    <w:jc w:val="center"/>
                    <w:rPr>
                      <w:rFonts w:hint="eastAsia" w:ascii="Times New Roman" w:hAnsi="Times New Roman" w:eastAsia="宋体" w:cs="Times New Roman"/>
                      <w:bCs/>
                      <w:color w:val="auto"/>
                      <w:kern w:val="0"/>
                      <w:highlight w:val="none"/>
                      <w:u w:val="single"/>
                      <w:lang w:val="en-US" w:eastAsia="zh-CN"/>
                    </w:rPr>
                  </w:pPr>
                  <w:r>
                    <w:rPr>
                      <w:rFonts w:hint="eastAsia" w:cs="Times New Roman"/>
                      <w:bCs/>
                      <w:color w:val="auto"/>
                      <w:kern w:val="0"/>
                      <w:highlight w:val="none"/>
                      <w:u w:val="singl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1" w:type="dxa"/>
                  <w:noWrap w:val="0"/>
                  <w:vAlign w:val="center"/>
                </w:tcPr>
                <w:p>
                  <w:pPr>
                    <w:widowControl/>
                    <w:jc w:val="center"/>
                    <w:rPr>
                      <w:rFonts w:ascii="Times New Roman" w:hAnsi="Times New Roman" w:cs="Times New Roman"/>
                      <w:color w:val="auto"/>
                      <w:kern w:val="0"/>
                      <w:highlight w:val="none"/>
                      <w:u w:val="single"/>
                    </w:rPr>
                  </w:pPr>
                  <w:r>
                    <w:rPr>
                      <w:rFonts w:ascii="Times New Roman" w:hAnsi="Times New Roman" w:cs="Times New Roman"/>
                      <w:color w:val="auto"/>
                      <w:kern w:val="0"/>
                      <w:highlight w:val="none"/>
                      <w:u w:val="single"/>
                    </w:rPr>
                    <w:t>1</w:t>
                  </w:r>
                </w:p>
              </w:tc>
              <w:tc>
                <w:tcPr>
                  <w:tcW w:w="1504" w:type="dxa"/>
                  <w:noWrap w:val="0"/>
                  <w:vAlign w:val="center"/>
                </w:tcPr>
                <w:p>
                  <w:pPr>
                    <w:spacing w:line="287" w:lineRule="atLeast"/>
                    <w:jc w:val="center"/>
                    <w:textAlignment w:val="center"/>
                    <w:rPr>
                      <w:rFonts w:ascii="Times New Roman" w:hAnsi="Times New Roman" w:eastAsia="方正宋三简体" w:cs="Times New Roman"/>
                      <w:color w:val="auto"/>
                      <w:highlight w:val="none"/>
                      <w:u w:val="single"/>
                    </w:rPr>
                  </w:pPr>
                  <w:r>
                    <w:rPr>
                      <w:rFonts w:hint="eastAsia" w:cs="Times New Roman"/>
                      <w:color w:val="auto"/>
                      <w:kern w:val="0"/>
                      <w:highlight w:val="none"/>
                      <w:u w:val="single"/>
                      <w:lang w:eastAsia="zh-CN"/>
                    </w:rPr>
                    <w:t>硫酸</w:t>
                  </w:r>
                  <w:r>
                    <w:rPr>
                      <w:rFonts w:ascii="Times New Roman" w:hAnsi="Times New Roman" w:cs="Times New Roman"/>
                      <w:color w:val="auto"/>
                      <w:kern w:val="0"/>
                      <w:highlight w:val="none"/>
                      <w:u w:val="single"/>
                    </w:rPr>
                    <w:t>储罐</w:t>
                  </w:r>
                </w:p>
              </w:tc>
              <w:tc>
                <w:tcPr>
                  <w:tcW w:w="2396" w:type="dxa"/>
                  <w:noWrap w:val="0"/>
                  <w:vAlign w:val="center"/>
                </w:tcPr>
                <w:p>
                  <w:pPr>
                    <w:widowControl/>
                    <w:jc w:val="center"/>
                    <w:rPr>
                      <w:rFonts w:hint="eastAsia" w:ascii="Times New Roman" w:hAnsi="Times New Roman" w:eastAsia="宋体" w:cs="Times New Roman"/>
                      <w:color w:val="auto"/>
                      <w:kern w:val="0"/>
                      <w:highlight w:val="none"/>
                      <w:u w:val="single"/>
                      <w:lang w:eastAsia="zh-CN"/>
                    </w:rPr>
                  </w:pPr>
                  <w:r>
                    <w:rPr>
                      <w:rFonts w:hint="eastAsia" w:cs="Times New Roman"/>
                      <w:color w:val="auto"/>
                      <w:kern w:val="0"/>
                      <w:highlight w:val="none"/>
                      <w:u w:val="single"/>
                      <w:lang w:val="en-US" w:eastAsia="zh-CN"/>
                    </w:rPr>
                    <w:t>20</w:t>
                  </w:r>
                  <w:r>
                    <w:rPr>
                      <w:rFonts w:ascii="Times New Roman" w:hAnsi="Times New Roman" w:cs="Times New Roman"/>
                      <w:color w:val="auto"/>
                      <w:kern w:val="0"/>
                      <w:highlight w:val="none"/>
                      <w:u w:val="single"/>
                    </w:rPr>
                    <w:t>m</w:t>
                  </w:r>
                  <w:r>
                    <w:rPr>
                      <w:rFonts w:ascii="Times New Roman" w:hAnsi="Times New Roman" w:cs="Times New Roman"/>
                      <w:color w:val="auto"/>
                      <w:kern w:val="0"/>
                      <w:highlight w:val="none"/>
                      <w:u w:val="single"/>
                      <w:vertAlign w:val="superscript"/>
                    </w:rPr>
                    <w:t>3</w:t>
                  </w:r>
                  <w:r>
                    <w:rPr>
                      <w:rFonts w:ascii="Times New Roman" w:hAnsi="Times New Roman" w:cs="Times New Roman"/>
                      <w:color w:val="auto"/>
                      <w:kern w:val="0"/>
                      <w:highlight w:val="none"/>
                      <w:u w:val="single"/>
                    </w:rPr>
                    <w:t>，φ</w:t>
                  </w:r>
                  <w:r>
                    <w:rPr>
                      <w:rFonts w:hint="eastAsia" w:cs="Times New Roman"/>
                      <w:color w:val="auto"/>
                      <w:kern w:val="0"/>
                      <w:highlight w:val="none"/>
                      <w:u w:val="single"/>
                      <w:lang w:val="en-US" w:eastAsia="zh-CN"/>
                    </w:rPr>
                    <w:t>2.4</w:t>
                  </w:r>
                  <w:r>
                    <w:rPr>
                      <w:rFonts w:ascii="Times New Roman" w:hAnsi="Times New Roman" w:cs="Times New Roman"/>
                      <w:color w:val="auto"/>
                      <w:kern w:val="0"/>
                      <w:highlight w:val="none"/>
                      <w:u w:val="single"/>
                    </w:rPr>
                    <w:t>×</w:t>
                  </w:r>
                  <w:r>
                    <w:rPr>
                      <w:rFonts w:hint="eastAsia" w:cs="Times New Roman"/>
                      <w:color w:val="auto"/>
                      <w:kern w:val="0"/>
                      <w:highlight w:val="none"/>
                      <w:u w:val="single"/>
                      <w:lang w:val="en-US" w:eastAsia="zh-CN"/>
                    </w:rPr>
                    <w:t>5</w:t>
                  </w:r>
                </w:p>
              </w:tc>
              <w:tc>
                <w:tcPr>
                  <w:tcW w:w="961" w:type="dxa"/>
                  <w:noWrap w:val="0"/>
                  <w:vAlign w:val="center"/>
                </w:tcPr>
                <w:p>
                  <w:pPr>
                    <w:widowControl/>
                    <w:jc w:val="center"/>
                    <w:rPr>
                      <w:rFonts w:ascii="Times New Roman" w:hAnsi="Times New Roman" w:cs="Times New Roman"/>
                      <w:color w:val="auto"/>
                      <w:kern w:val="0"/>
                      <w:highlight w:val="none"/>
                      <w:u w:val="single"/>
                    </w:rPr>
                  </w:pPr>
                  <w:r>
                    <w:rPr>
                      <w:rFonts w:ascii="Times New Roman" w:hAnsi="Times New Roman" w:cs="Times New Roman"/>
                      <w:color w:val="auto"/>
                      <w:kern w:val="0"/>
                      <w:highlight w:val="none"/>
                      <w:u w:val="single"/>
                    </w:rPr>
                    <w:t>1</w:t>
                  </w:r>
                </w:p>
              </w:tc>
              <w:tc>
                <w:tcPr>
                  <w:tcW w:w="955" w:type="dxa"/>
                  <w:noWrap w:val="0"/>
                  <w:vAlign w:val="center"/>
                </w:tcPr>
                <w:p>
                  <w:pPr>
                    <w:widowControl/>
                    <w:jc w:val="center"/>
                    <w:rPr>
                      <w:rFonts w:hint="eastAsia" w:ascii="Times New Roman" w:hAnsi="Times New Roman" w:eastAsia="宋体" w:cs="Times New Roman"/>
                      <w:color w:val="auto"/>
                      <w:kern w:val="0"/>
                      <w:highlight w:val="none"/>
                      <w:u w:val="single"/>
                      <w:lang w:eastAsia="zh-CN"/>
                    </w:rPr>
                  </w:pPr>
                  <w:r>
                    <w:rPr>
                      <w:rFonts w:hint="eastAsia" w:cs="Times New Roman"/>
                      <w:color w:val="auto"/>
                      <w:kern w:val="0"/>
                      <w:highlight w:val="none"/>
                      <w:u w:val="single"/>
                      <w:lang w:eastAsia="zh-CN"/>
                    </w:rPr>
                    <w:t>硫酸</w:t>
                  </w:r>
                </w:p>
              </w:tc>
              <w:tc>
                <w:tcPr>
                  <w:tcW w:w="873" w:type="dxa"/>
                  <w:noWrap w:val="0"/>
                  <w:vAlign w:val="center"/>
                </w:tcPr>
                <w:p>
                  <w:pPr>
                    <w:widowControl/>
                    <w:jc w:val="center"/>
                    <w:rPr>
                      <w:rFonts w:ascii="Times New Roman" w:hAnsi="Times New Roman" w:cs="Times New Roman"/>
                      <w:color w:val="auto"/>
                      <w:kern w:val="0"/>
                      <w:highlight w:val="none"/>
                      <w:u w:val="single"/>
                    </w:rPr>
                  </w:pPr>
                  <w:r>
                    <w:rPr>
                      <w:rFonts w:ascii="Times New Roman" w:hAnsi="Times New Roman" w:cs="Times New Roman"/>
                      <w:color w:val="auto"/>
                      <w:kern w:val="0"/>
                      <w:highlight w:val="none"/>
                      <w:u w:val="single"/>
                    </w:rPr>
                    <w:t>丙B</w:t>
                  </w:r>
                </w:p>
              </w:tc>
              <w:tc>
                <w:tcPr>
                  <w:tcW w:w="1103" w:type="dxa"/>
                  <w:noWrap w:val="0"/>
                  <w:vAlign w:val="center"/>
                </w:tcPr>
                <w:p>
                  <w:pPr>
                    <w:widowControl/>
                    <w:jc w:val="center"/>
                    <w:rPr>
                      <w:rFonts w:ascii="Times New Roman" w:hAnsi="Times New Roman" w:cs="Times New Roman"/>
                      <w:color w:val="auto"/>
                      <w:kern w:val="0"/>
                      <w:highlight w:val="none"/>
                      <w:u w:val="single"/>
                    </w:rPr>
                  </w:pPr>
                  <w:r>
                    <w:rPr>
                      <w:rFonts w:hint="eastAsia" w:cs="Times New Roman"/>
                      <w:color w:val="auto"/>
                      <w:kern w:val="0"/>
                      <w:highlight w:val="none"/>
                      <w:u w:val="single"/>
                      <w:lang w:eastAsia="zh-CN"/>
                    </w:rPr>
                    <w:t>卧</w:t>
                  </w:r>
                  <w:r>
                    <w:rPr>
                      <w:rFonts w:ascii="Times New Roman" w:hAnsi="Times New Roman" w:cs="Times New Roman"/>
                      <w:color w:val="auto"/>
                      <w:kern w:val="0"/>
                      <w:highlight w:val="none"/>
                      <w:u w:val="single"/>
                    </w:rPr>
                    <w:t>式固定顶</w:t>
                  </w:r>
                </w:p>
              </w:tc>
              <w:tc>
                <w:tcPr>
                  <w:tcW w:w="859" w:type="dxa"/>
                  <w:vMerge w:val="restart"/>
                  <w:noWrap w:val="0"/>
                  <w:vAlign w:val="center"/>
                </w:tcPr>
                <w:p>
                  <w:pPr>
                    <w:widowControl/>
                    <w:jc w:val="center"/>
                    <w:rPr>
                      <w:rFonts w:hint="default" w:cs="Times New Roman"/>
                      <w:color w:val="auto"/>
                      <w:kern w:val="0"/>
                      <w:highlight w:val="none"/>
                      <w:u w:val="single"/>
                      <w:lang w:val="en-US" w:eastAsia="zh-CN"/>
                    </w:rPr>
                  </w:pPr>
                  <w:r>
                    <w:rPr>
                      <w:rFonts w:hint="eastAsia" w:cs="Times New Roman"/>
                      <w:color w:val="auto"/>
                      <w:kern w:val="0"/>
                      <w:highlight w:val="none"/>
                      <w:u w:val="singl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1" w:type="dxa"/>
                  <w:noWrap w:val="0"/>
                  <w:vAlign w:val="center"/>
                </w:tcPr>
                <w:p>
                  <w:pPr>
                    <w:widowControl/>
                    <w:jc w:val="center"/>
                    <w:rPr>
                      <w:rFonts w:ascii="Times New Roman" w:hAnsi="Times New Roman" w:cs="Times New Roman"/>
                      <w:color w:val="auto"/>
                      <w:kern w:val="0"/>
                      <w:highlight w:val="none"/>
                      <w:u w:val="single"/>
                    </w:rPr>
                  </w:pPr>
                  <w:r>
                    <w:rPr>
                      <w:rFonts w:ascii="Times New Roman" w:hAnsi="Times New Roman" w:cs="Times New Roman"/>
                      <w:color w:val="auto"/>
                      <w:kern w:val="0"/>
                      <w:highlight w:val="none"/>
                      <w:u w:val="single"/>
                    </w:rPr>
                    <w:t>2</w:t>
                  </w:r>
                </w:p>
              </w:tc>
              <w:tc>
                <w:tcPr>
                  <w:tcW w:w="1504" w:type="dxa"/>
                  <w:noWrap w:val="0"/>
                  <w:vAlign w:val="center"/>
                </w:tcPr>
                <w:p>
                  <w:pPr>
                    <w:widowControl/>
                    <w:jc w:val="center"/>
                    <w:rPr>
                      <w:rFonts w:hint="eastAsia" w:ascii="Times New Roman" w:hAnsi="Times New Roman" w:eastAsia="宋体" w:cs="Times New Roman"/>
                      <w:color w:val="auto"/>
                      <w:kern w:val="0"/>
                      <w:highlight w:val="none"/>
                      <w:u w:val="single"/>
                      <w:lang w:eastAsia="zh-CN"/>
                    </w:rPr>
                  </w:pPr>
                  <w:r>
                    <w:rPr>
                      <w:rFonts w:hint="eastAsia" w:cs="Times New Roman"/>
                      <w:color w:val="auto"/>
                      <w:kern w:val="0"/>
                      <w:highlight w:val="none"/>
                      <w:u w:val="single"/>
                      <w:lang w:eastAsia="zh-CN"/>
                    </w:rPr>
                    <w:t>高位罐</w:t>
                  </w:r>
                </w:p>
              </w:tc>
              <w:tc>
                <w:tcPr>
                  <w:tcW w:w="2396" w:type="dxa"/>
                  <w:noWrap w:val="0"/>
                  <w:vAlign w:val="center"/>
                </w:tcPr>
                <w:p>
                  <w:pPr>
                    <w:widowControl/>
                    <w:jc w:val="center"/>
                    <w:rPr>
                      <w:rFonts w:hint="default" w:ascii="Times New Roman" w:hAnsi="Times New Roman" w:eastAsia="宋体" w:cs="Times New Roman"/>
                      <w:color w:val="auto"/>
                      <w:kern w:val="0"/>
                      <w:highlight w:val="none"/>
                      <w:u w:val="single"/>
                      <w:lang w:val="en-US" w:eastAsia="zh-CN"/>
                    </w:rPr>
                  </w:pPr>
                  <w:r>
                    <w:rPr>
                      <w:rFonts w:hint="eastAsia" w:cs="Times New Roman"/>
                      <w:color w:val="auto"/>
                      <w:kern w:val="0"/>
                      <w:highlight w:val="none"/>
                      <w:u w:val="single"/>
                      <w:lang w:val="en-US" w:eastAsia="zh-CN"/>
                    </w:rPr>
                    <w:t>6</w:t>
                  </w:r>
                  <w:r>
                    <w:rPr>
                      <w:rFonts w:ascii="Times New Roman" w:hAnsi="Times New Roman" w:cs="Times New Roman"/>
                      <w:color w:val="auto"/>
                      <w:kern w:val="0"/>
                      <w:highlight w:val="none"/>
                      <w:u w:val="single"/>
                    </w:rPr>
                    <w:t>m</w:t>
                  </w:r>
                  <w:r>
                    <w:rPr>
                      <w:rFonts w:ascii="Times New Roman" w:hAnsi="Times New Roman" w:cs="Times New Roman"/>
                      <w:color w:val="auto"/>
                      <w:kern w:val="0"/>
                      <w:highlight w:val="none"/>
                      <w:u w:val="single"/>
                      <w:vertAlign w:val="superscript"/>
                    </w:rPr>
                    <w:t>3</w:t>
                  </w:r>
                  <w:r>
                    <w:rPr>
                      <w:rFonts w:ascii="Times New Roman" w:hAnsi="Times New Roman" w:cs="Times New Roman"/>
                      <w:color w:val="auto"/>
                      <w:kern w:val="0"/>
                      <w:highlight w:val="none"/>
                      <w:u w:val="single"/>
                    </w:rPr>
                    <w:t>，φ</w:t>
                  </w:r>
                  <w:r>
                    <w:rPr>
                      <w:rFonts w:hint="eastAsia" w:cs="Times New Roman"/>
                      <w:color w:val="auto"/>
                      <w:kern w:val="0"/>
                      <w:highlight w:val="none"/>
                      <w:u w:val="single"/>
                      <w:lang w:val="en-US" w:eastAsia="zh-CN"/>
                    </w:rPr>
                    <w:t>1.2</w:t>
                  </w:r>
                  <w:r>
                    <w:rPr>
                      <w:rFonts w:ascii="Times New Roman" w:hAnsi="Times New Roman" w:cs="Times New Roman"/>
                      <w:color w:val="auto"/>
                      <w:kern w:val="0"/>
                      <w:highlight w:val="none"/>
                      <w:u w:val="single"/>
                    </w:rPr>
                    <w:t>×</w:t>
                  </w:r>
                  <w:r>
                    <w:rPr>
                      <w:rFonts w:hint="eastAsia" w:cs="Times New Roman"/>
                      <w:color w:val="auto"/>
                      <w:kern w:val="0"/>
                      <w:highlight w:val="none"/>
                      <w:u w:val="single"/>
                      <w:lang w:val="en-US" w:eastAsia="zh-CN"/>
                    </w:rPr>
                    <w:t>5.6</w:t>
                  </w:r>
                </w:p>
              </w:tc>
              <w:tc>
                <w:tcPr>
                  <w:tcW w:w="961" w:type="dxa"/>
                  <w:noWrap w:val="0"/>
                  <w:vAlign w:val="center"/>
                </w:tcPr>
                <w:p>
                  <w:pPr>
                    <w:widowControl/>
                    <w:jc w:val="center"/>
                    <w:rPr>
                      <w:rFonts w:ascii="Times New Roman" w:hAnsi="Times New Roman" w:cs="Times New Roman"/>
                      <w:color w:val="auto"/>
                      <w:kern w:val="0"/>
                      <w:highlight w:val="none"/>
                      <w:u w:val="single"/>
                    </w:rPr>
                  </w:pPr>
                  <w:r>
                    <w:rPr>
                      <w:rFonts w:ascii="Times New Roman" w:hAnsi="Times New Roman" w:cs="Times New Roman"/>
                      <w:color w:val="auto"/>
                      <w:kern w:val="0"/>
                      <w:highlight w:val="none"/>
                      <w:u w:val="single"/>
                    </w:rPr>
                    <w:t>1</w:t>
                  </w:r>
                </w:p>
              </w:tc>
              <w:tc>
                <w:tcPr>
                  <w:tcW w:w="955" w:type="dxa"/>
                  <w:noWrap w:val="0"/>
                  <w:vAlign w:val="center"/>
                </w:tcPr>
                <w:p>
                  <w:pPr>
                    <w:widowControl/>
                    <w:jc w:val="center"/>
                    <w:rPr>
                      <w:rFonts w:ascii="Times New Roman" w:hAnsi="Times New Roman" w:cs="Times New Roman"/>
                      <w:color w:val="auto"/>
                      <w:kern w:val="0"/>
                      <w:highlight w:val="none"/>
                      <w:u w:val="single"/>
                    </w:rPr>
                  </w:pPr>
                  <w:r>
                    <w:rPr>
                      <w:rFonts w:hint="eastAsia" w:cs="Times New Roman"/>
                      <w:color w:val="auto"/>
                      <w:kern w:val="0"/>
                      <w:highlight w:val="none"/>
                      <w:u w:val="single"/>
                      <w:lang w:eastAsia="zh-CN"/>
                    </w:rPr>
                    <w:t>硫酸</w:t>
                  </w:r>
                </w:p>
              </w:tc>
              <w:tc>
                <w:tcPr>
                  <w:tcW w:w="873" w:type="dxa"/>
                  <w:noWrap w:val="0"/>
                  <w:vAlign w:val="center"/>
                </w:tcPr>
                <w:p>
                  <w:pPr>
                    <w:widowControl/>
                    <w:jc w:val="center"/>
                    <w:rPr>
                      <w:rFonts w:ascii="Times New Roman" w:hAnsi="Times New Roman" w:cs="Times New Roman"/>
                      <w:color w:val="auto"/>
                      <w:kern w:val="0"/>
                      <w:highlight w:val="none"/>
                      <w:u w:val="single"/>
                    </w:rPr>
                  </w:pPr>
                  <w:r>
                    <w:rPr>
                      <w:rFonts w:ascii="Times New Roman" w:hAnsi="Times New Roman" w:cs="Times New Roman"/>
                      <w:color w:val="auto"/>
                      <w:kern w:val="0"/>
                      <w:highlight w:val="none"/>
                      <w:u w:val="single"/>
                    </w:rPr>
                    <w:t>丙B</w:t>
                  </w:r>
                </w:p>
              </w:tc>
              <w:tc>
                <w:tcPr>
                  <w:tcW w:w="1103" w:type="dxa"/>
                  <w:noWrap w:val="0"/>
                  <w:vAlign w:val="center"/>
                </w:tcPr>
                <w:p>
                  <w:pPr>
                    <w:widowControl/>
                    <w:jc w:val="center"/>
                    <w:rPr>
                      <w:rFonts w:ascii="Times New Roman" w:hAnsi="Times New Roman" w:cs="Times New Roman"/>
                      <w:color w:val="auto"/>
                      <w:kern w:val="0"/>
                      <w:highlight w:val="none"/>
                      <w:u w:val="single"/>
                    </w:rPr>
                  </w:pPr>
                  <w:r>
                    <w:rPr>
                      <w:rFonts w:hint="eastAsia" w:cs="Times New Roman"/>
                      <w:color w:val="auto"/>
                      <w:kern w:val="0"/>
                      <w:highlight w:val="none"/>
                      <w:u w:val="single"/>
                      <w:lang w:eastAsia="zh-CN"/>
                    </w:rPr>
                    <w:t>卧</w:t>
                  </w:r>
                  <w:r>
                    <w:rPr>
                      <w:rFonts w:ascii="Times New Roman" w:hAnsi="Times New Roman" w:cs="Times New Roman"/>
                      <w:color w:val="auto"/>
                      <w:kern w:val="0"/>
                      <w:highlight w:val="none"/>
                      <w:u w:val="single"/>
                    </w:rPr>
                    <w:t>式固定顶</w:t>
                  </w:r>
                </w:p>
              </w:tc>
              <w:tc>
                <w:tcPr>
                  <w:tcW w:w="859" w:type="dxa"/>
                  <w:vMerge w:val="continue"/>
                  <w:noWrap w:val="0"/>
                  <w:vAlign w:val="center"/>
                </w:tcPr>
                <w:p>
                  <w:pPr>
                    <w:widowControl/>
                    <w:jc w:val="center"/>
                    <w:rPr>
                      <w:rFonts w:hint="eastAsia" w:cs="Times New Roman"/>
                      <w:color w:val="auto"/>
                      <w:kern w:val="0"/>
                      <w:highlight w:val="none"/>
                      <w:u w:val="single"/>
                      <w:lang w:eastAsia="zh-CN"/>
                    </w:rPr>
                  </w:pPr>
                </w:p>
              </w:tc>
            </w:tr>
          </w:tbl>
          <w:p>
            <w:pPr>
              <w:pStyle w:val="62"/>
              <w:bidi w:val="0"/>
              <w:rPr>
                <w:rFonts w:hint="default" w:ascii="Times New Roman" w:hAnsi="Times New Roman" w:eastAsia="宋体" w:cs="宋体"/>
                <w:color w:val="auto"/>
                <w:sz w:val="24"/>
                <w:szCs w:val="24"/>
                <w:u w:val="none"/>
                <w:lang w:val="en-US" w:eastAsia="zh-CN"/>
              </w:rPr>
            </w:pPr>
            <w:r>
              <w:rPr>
                <w:rFonts w:hint="eastAsia" w:ascii="Times New Roman" w:hAnsi="Times New Roman" w:eastAsia="宋体" w:cs="宋体"/>
                <w:color w:val="auto"/>
                <w:sz w:val="24"/>
                <w:szCs w:val="24"/>
                <w:u w:val="none"/>
                <w:lang w:val="en-US" w:eastAsia="zh-CN"/>
              </w:rPr>
              <w:t>项目主要原辅材料性质见表2.4-</w:t>
            </w:r>
            <w:r>
              <w:rPr>
                <w:rFonts w:hint="eastAsia" w:cs="宋体"/>
                <w:color w:val="auto"/>
                <w:sz w:val="24"/>
                <w:szCs w:val="24"/>
                <w:u w:val="none"/>
                <w:lang w:val="en-US" w:eastAsia="zh-CN"/>
              </w:rPr>
              <w:t>4</w:t>
            </w:r>
            <w:r>
              <w:rPr>
                <w:rFonts w:hint="eastAsia" w:ascii="Times New Roman" w:hAnsi="Times New Roman" w:eastAsia="宋体" w:cs="宋体"/>
                <w:color w:val="auto"/>
                <w:sz w:val="24"/>
                <w:szCs w:val="24"/>
                <w:u w:val="none"/>
                <w:lang w:val="en-US" w:eastAsia="zh-CN"/>
              </w:rPr>
              <w:t>。</w:t>
            </w:r>
          </w:p>
          <w:p>
            <w:pPr>
              <w:pStyle w:val="28"/>
              <w:keepNext w:val="0"/>
              <w:keepLines w:val="0"/>
              <w:pageBreakBefore w:val="0"/>
              <w:widowControl w:val="0"/>
              <w:kinsoku/>
              <w:wordWrap/>
              <w:overflowPunct/>
              <w:topLinePunct w:val="0"/>
              <w:autoSpaceDE/>
              <w:autoSpaceDN/>
              <w:bidi w:val="0"/>
              <w:adjustRightInd/>
              <w:snapToGrid/>
              <w:spacing w:before="0" w:after="0" w:line="240" w:lineRule="auto"/>
              <w:ind w:firstLine="0"/>
              <w:jc w:val="center"/>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表2.4-</w:t>
            </w:r>
            <w:r>
              <w:rPr>
                <w:rFonts w:hint="eastAsia"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原辅材料理化性质表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8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b/>
                      <w:bCs/>
                      <w:color w:val="auto"/>
                      <w:szCs w:val="21"/>
                    </w:rPr>
                  </w:pPr>
                  <w:r>
                    <w:rPr>
                      <w:rFonts w:hAnsi="宋体"/>
                      <w:b/>
                      <w:bCs/>
                      <w:color w:val="auto"/>
                      <w:szCs w:val="21"/>
                    </w:rPr>
                    <w:t>名称</w:t>
                  </w:r>
                </w:p>
              </w:tc>
              <w:tc>
                <w:tcPr>
                  <w:tcW w:w="8091" w:type="dxa"/>
                  <w:noWrap w:val="0"/>
                  <w:vAlign w:val="center"/>
                </w:tcPr>
                <w:p>
                  <w:pPr>
                    <w:spacing w:line="240" w:lineRule="auto"/>
                    <w:jc w:val="center"/>
                    <w:rPr>
                      <w:b/>
                      <w:bCs/>
                      <w:color w:val="auto"/>
                      <w:szCs w:val="21"/>
                    </w:rPr>
                  </w:pPr>
                  <w:r>
                    <w:rPr>
                      <w:rFonts w:hAnsi="宋体"/>
                      <w:b/>
                      <w:bCs/>
                      <w:color w:val="auto"/>
                      <w:szCs w:val="21"/>
                    </w:rPr>
                    <w:t>主要性质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滑石粉</w:t>
                  </w:r>
                </w:p>
              </w:tc>
              <w:tc>
                <w:tcPr>
                  <w:tcW w:w="8091" w:type="dxa"/>
                  <w:noWrap w:val="0"/>
                  <w:vAlign w:val="center"/>
                </w:tcPr>
                <w:p>
                  <w:pPr>
                    <w:spacing w:line="240" w:lineRule="auto"/>
                    <w:rPr>
                      <w:color w:val="auto"/>
                      <w:szCs w:val="21"/>
                    </w:rPr>
                  </w:pPr>
                  <w:r>
                    <w:rPr>
                      <w:rFonts w:hAnsi="宋体"/>
                      <w:color w:val="auto"/>
                      <w:szCs w:val="21"/>
                    </w:rPr>
                    <w:t>滑石主要成分是滑石含水的硅酸镁，分子式为</w:t>
                  </w:r>
                  <w:r>
                    <w:rPr>
                      <w:color w:val="auto"/>
                      <w:szCs w:val="21"/>
                    </w:rPr>
                    <w:t>Mg</w:t>
                  </w:r>
                  <w:r>
                    <w:rPr>
                      <w:color w:val="auto"/>
                      <w:szCs w:val="21"/>
                      <w:vertAlign w:val="subscript"/>
                    </w:rPr>
                    <w:t>3</w:t>
                  </w:r>
                  <w:r>
                    <w:rPr>
                      <w:color w:val="auto"/>
                      <w:szCs w:val="21"/>
                    </w:rPr>
                    <w:t>[Si</w:t>
                  </w:r>
                  <w:r>
                    <w:rPr>
                      <w:color w:val="auto"/>
                      <w:szCs w:val="21"/>
                      <w:vertAlign w:val="subscript"/>
                    </w:rPr>
                    <w:t>4</w:t>
                  </w:r>
                  <w:r>
                    <w:rPr>
                      <w:color w:val="auto"/>
                      <w:szCs w:val="21"/>
                    </w:rPr>
                    <w:t>O</w:t>
                  </w:r>
                  <w:r>
                    <w:rPr>
                      <w:color w:val="auto"/>
                      <w:szCs w:val="21"/>
                      <w:vertAlign w:val="subscript"/>
                    </w:rPr>
                    <w:t>10</w:t>
                  </w:r>
                  <w:r>
                    <w:rPr>
                      <w:color w:val="auto"/>
                      <w:szCs w:val="21"/>
                    </w:rPr>
                    <w:t>](OH)</w:t>
                  </w:r>
                  <w:r>
                    <w:rPr>
                      <w:color w:val="auto"/>
                      <w:szCs w:val="21"/>
                      <w:vertAlign w:val="subscript"/>
                    </w:rPr>
                    <w:t>2</w:t>
                  </w:r>
                  <w:r>
                    <w:rPr>
                      <w:rFonts w:hAnsi="宋体"/>
                      <w:color w:val="auto"/>
                      <w:szCs w:val="21"/>
                    </w:rPr>
                    <w:t>，属单斜晶系，晶体呈假六方或菱形的片状，通常成致密的块状、叶片状、放射状、纤维状集合体，无色透明或白色，但因含少量的杂质而呈现浅绿、浅黄、浅棕甚至浅红色，解理面上呈珍珠光泽，硬度</w:t>
                  </w:r>
                  <w:r>
                    <w:rPr>
                      <w:color w:val="auto"/>
                      <w:szCs w:val="21"/>
                    </w:rPr>
                    <w:t>1</w:t>
                  </w:r>
                  <w:r>
                    <w:rPr>
                      <w:rFonts w:hAnsi="宋体"/>
                      <w:color w:val="auto"/>
                      <w:szCs w:val="21"/>
                    </w:rPr>
                    <w:t>，比重</w:t>
                  </w:r>
                  <w:r>
                    <w:rPr>
                      <w:color w:val="auto"/>
                      <w:szCs w:val="21"/>
                    </w:rPr>
                    <w:t>2.7</w:t>
                  </w:r>
                  <w:r>
                    <w:rPr>
                      <w:rFonts w:hAnsi="宋体"/>
                      <w:color w:val="auto"/>
                      <w:szCs w:val="21"/>
                    </w:rPr>
                    <w:t>～</w:t>
                  </w:r>
                  <w:r>
                    <w:rPr>
                      <w:color w:val="auto"/>
                      <w:szCs w:val="21"/>
                    </w:rPr>
                    <w:t>2.8</w:t>
                  </w:r>
                  <w:r>
                    <w:rPr>
                      <w:rFonts w:hAnsi="宋体"/>
                      <w:color w:val="auto"/>
                      <w:szCs w:val="21"/>
                    </w:rPr>
                    <w:t>，具有润滑性、抗黏、助流、耐火性、抗酸性、绝缘性、熔点高、化学性不活泼、遮盖力良好、柔软、光泽好、吸附力强等优良的物理、化学特性；用作塑料、橡胶、油漆、纸张、化妆品的填料，化肥、催化剂、药物的载体，以及农药的稀释粉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noWrap w:val="0"/>
                  <w:vAlign w:val="center"/>
                </w:tcPr>
                <w:p>
                  <w:pPr>
                    <w:spacing w:line="240" w:lineRule="auto"/>
                    <w:jc w:val="center"/>
                    <w:rPr>
                      <w:color w:val="auto"/>
                      <w:szCs w:val="21"/>
                      <w:highlight w:val="none"/>
                    </w:rPr>
                  </w:pPr>
                  <w:r>
                    <w:rPr>
                      <w:rFonts w:hint="eastAsia" w:hAnsi="宋体"/>
                      <w:color w:val="auto"/>
                      <w:szCs w:val="21"/>
                      <w:highlight w:val="none"/>
                      <w:lang w:val="en-US" w:eastAsia="zh-CN"/>
                    </w:rPr>
                    <w:t>96%</w:t>
                  </w:r>
                  <w:r>
                    <w:rPr>
                      <w:rFonts w:hAnsi="宋体"/>
                      <w:color w:val="auto"/>
                      <w:szCs w:val="21"/>
                      <w:highlight w:val="none"/>
                    </w:rPr>
                    <w:t>硫酸</w:t>
                  </w:r>
                </w:p>
              </w:tc>
              <w:tc>
                <w:tcPr>
                  <w:tcW w:w="8091" w:type="dxa"/>
                  <w:noWrap w:val="0"/>
                  <w:vAlign w:val="center"/>
                </w:tcPr>
                <w:p>
                  <w:pPr>
                    <w:spacing w:line="240" w:lineRule="auto"/>
                    <w:rPr>
                      <w:color w:val="auto"/>
                      <w:szCs w:val="21"/>
                      <w:highlight w:val="none"/>
                    </w:rPr>
                  </w:pPr>
                  <w:r>
                    <w:rPr>
                      <w:rFonts w:hAnsi="宋体"/>
                      <w:color w:val="auto"/>
                      <w:szCs w:val="21"/>
                      <w:highlight w:val="none"/>
                    </w:rPr>
                    <w:t>纯硫酸是一种无色无味油状液体。常用的浓硫酸中</w:t>
                  </w:r>
                  <w:r>
                    <w:rPr>
                      <w:color w:val="auto"/>
                      <w:szCs w:val="21"/>
                      <w:highlight w:val="none"/>
                    </w:rPr>
                    <w:t>H</w:t>
                  </w:r>
                  <w:r>
                    <w:rPr>
                      <w:color w:val="auto"/>
                      <w:szCs w:val="21"/>
                      <w:highlight w:val="none"/>
                      <w:vertAlign w:val="subscript"/>
                    </w:rPr>
                    <w:t>2</w:t>
                  </w:r>
                  <w:r>
                    <w:rPr>
                      <w:color w:val="auto"/>
                      <w:szCs w:val="21"/>
                      <w:highlight w:val="none"/>
                    </w:rPr>
                    <w:t>SO</w:t>
                  </w:r>
                  <w:r>
                    <w:rPr>
                      <w:color w:val="auto"/>
                      <w:szCs w:val="21"/>
                      <w:highlight w:val="none"/>
                      <w:vertAlign w:val="subscript"/>
                    </w:rPr>
                    <w:t>4</w:t>
                  </w:r>
                  <w:r>
                    <w:rPr>
                      <w:rFonts w:hAnsi="宋体"/>
                      <w:color w:val="auto"/>
                      <w:szCs w:val="21"/>
                      <w:highlight w:val="none"/>
                    </w:rPr>
                    <w:t>的质量分数为</w:t>
                  </w:r>
                  <w:r>
                    <w:rPr>
                      <w:rFonts w:hint="eastAsia"/>
                      <w:color w:val="auto"/>
                      <w:szCs w:val="21"/>
                      <w:highlight w:val="none"/>
                      <w:lang w:val="en-US" w:eastAsia="zh-CN"/>
                    </w:rPr>
                    <w:t>96</w:t>
                  </w:r>
                  <w:r>
                    <w:rPr>
                      <w:color w:val="auto"/>
                      <w:szCs w:val="21"/>
                      <w:highlight w:val="none"/>
                    </w:rPr>
                    <w:t>%</w:t>
                  </w:r>
                  <w:r>
                    <w:rPr>
                      <w:rFonts w:hAnsi="宋体"/>
                      <w:color w:val="auto"/>
                      <w:szCs w:val="21"/>
                      <w:highlight w:val="none"/>
                    </w:rPr>
                    <w:t>，其</w:t>
                  </w:r>
                  <w:r>
                    <w:rPr>
                      <w:color w:val="auto"/>
                      <w:szCs w:val="21"/>
                      <w:highlight w:val="none"/>
                    </w:rPr>
                    <w:fldChar w:fldCharType="begin"/>
                  </w:r>
                  <w:r>
                    <w:rPr>
                      <w:color w:val="auto"/>
                      <w:szCs w:val="21"/>
                      <w:highlight w:val="none"/>
                    </w:rPr>
                    <w:instrText xml:space="preserve"> HYPERLINK "http://baike.baidu.com/view/38960.htm" \t "_blank" </w:instrText>
                  </w:r>
                  <w:r>
                    <w:rPr>
                      <w:color w:val="auto"/>
                      <w:szCs w:val="21"/>
                      <w:highlight w:val="none"/>
                    </w:rPr>
                    <w:fldChar w:fldCharType="separate"/>
                  </w:r>
                  <w:r>
                    <w:rPr>
                      <w:rStyle w:val="34"/>
                      <w:rFonts w:hAnsi="宋体"/>
                      <w:color w:val="auto"/>
                      <w:szCs w:val="21"/>
                      <w:highlight w:val="none"/>
                      <w:u w:val="none"/>
                    </w:rPr>
                    <w:t>密度</w:t>
                  </w:r>
                  <w:r>
                    <w:rPr>
                      <w:color w:val="auto"/>
                      <w:szCs w:val="21"/>
                      <w:highlight w:val="none"/>
                    </w:rPr>
                    <w:fldChar w:fldCharType="end"/>
                  </w:r>
                  <w:r>
                    <w:rPr>
                      <w:rFonts w:hAnsi="宋体"/>
                      <w:color w:val="auto"/>
                      <w:szCs w:val="21"/>
                      <w:highlight w:val="none"/>
                    </w:rPr>
                    <w:t>为</w:t>
                  </w:r>
                  <w:r>
                    <w:rPr>
                      <w:color w:val="auto"/>
                      <w:szCs w:val="21"/>
                      <w:highlight w:val="none"/>
                    </w:rPr>
                    <w:t>1.8</w:t>
                  </w:r>
                  <w:r>
                    <w:rPr>
                      <w:rFonts w:hint="eastAsia"/>
                      <w:color w:val="auto"/>
                      <w:szCs w:val="21"/>
                      <w:highlight w:val="none"/>
                      <w:lang w:val="en-US" w:eastAsia="zh-CN"/>
                    </w:rPr>
                    <w:t>3</w:t>
                  </w:r>
                  <w:r>
                    <w:rPr>
                      <w:color w:val="auto"/>
                      <w:szCs w:val="21"/>
                      <w:highlight w:val="none"/>
                    </w:rPr>
                    <w:t>g/cm</w:t>
                  </w:r>
                  <w:r>
                    <w:rPr>
                      <w:color w:val="auto"/>
                      <w:szCs w:val="21"/>
                      <w:highlight w:val="none"/>
                      <w:vertAlign w:val="superscript"/>
                    </w:rPr>
                    <w:t>3</w:t>
                  </w:r>
                  <w:r>
                    <w:rPr>
                      <w:rFonts w:hAnsi="宋体"/>
                      <w:color w:val="auto"/>
                      <w:szCs w:val="21"/>
                      <w:highlight w:val="none"/>
                    </w:rPr>
                    <w:t>，</w:t>
                  </w:r>
                  <w:r>
                    <w:rPr>
                      <w:rFonts w:hint="eastAsia" w:hAnsi="宋体"/>
                      <w:color w:val="auto"/>
                      <w:szCs w:val="21"/>
                      <w:highlight w:val="none"/>
                      <w:lang w:eastAsia="zh-CN"/>
                    </w:rPr>
                    <w:t>分子量为</w:t>
                  </w:r>
                  <w:r>
                    <w:rPr>
                      <w:rFonts w:hint="eastAsia" w:hAnsi="宋体"/>
                      <w:color w:val="auto"/>
                      <w:szCs w:val="21"/>
                      <w:highlight w:val="none"/>
                      <w:lang w:val="en-US" w:eastAsia="zh-CN"/>
                    </w:rPr>
                    <w:t>98</w:t>
                  </w:r>
                  <w:r>
                    <w:rPr>
                      <w:rFonts w:hAnsi="宋体"/>
                      <w:color w:val="auto"/>
                      <w:szCs w:val="21"/>
                      <w:highlight w:val="none"/>
                    </w:rPr>
                    <w:t>。</w:t>
                  </w:r>
                  <w:r>
                    <w:rPr>
                      <w:color w:val="auto"/>
                      <w:szCs w:val="21"/>
                      <w:highlight w:val="none"/>
                    </w:rPr>
                    <w:t>98.3%</w:t>
                  </w:r>
                  <w:r>
                    <w:rPr>
                      <w:rFonts w:hAnsi="宋体"/>
                      <w:color w:val="auto"/>
                      <w:szCs w:val="21"/>
                      <w:highlight w:val="none"/>
                    </w:rPr>
                    <w:t>时，</w:t>
                  </w:r>
                  <w:r>
                    <w:rPr>
                      <w:color w:val="auto"/>
                      <w:szCs w:val="21"/>
                      <w:highlight w:val="none"/>
                    </w:rPr>
                    <w:fldChar w:fldCharType="begin"/>
                  </w:r>
                  <w:r>
                    <w:rPr>
                      <w:color w:val="auto"/>
                      <w:szCs w:val="21"/>
                      <w:highlight w:val="none"/>
                    </w:rPr>
                    <w:instrText xml:space="preserve"> HYPERLINK "http://baike.baidu.com/view/118854.htm" \t "_blank" </w:instrText>
                  </w:r>
                  <w:r>
                    <w:rPr>
                      <w:color w:val="auto"/>
                      <w:szCs w:val="21"/>
                      <w:highlight w:val="none"/>
                    </w:rPr>
                    <w:fldChar w:fldCharType="separate"/>
                  </w:r>
                  <w:r>
                    <w:rPr>
                      <w:rStyle w:val="34"/>
                      <w:rFonts w:hAnsi="宋体"/>
                      <w:color w:val="auto"/>
                      <w:szCs w:val="21"/>
                      <w:highlight w:val="none"/>
                      <w:u w:val="none"/>
                    </w:rPr>
                    <w:t>熔点</w:t>
                  </w:r>
                  <w:r>
                    <w:rPr>
                      <w:color w:val="auto"/>
                      <w:szCs w:val="21"/>
                      <w:highlight w:val="none"/>
                    </w:rPr>
                    <w:fldChar w:fldCharType="end"/>
                  </w:r>
                  <w:r>
                    <w:rPr>
                      <w:rFonts w:hAnsi="宋体"/>
                      <w:color w:val="auto"/>
                      <w:szCs w:val="21"/>
                      <w:highlight w:val="none"/>
                    </w:rPr>
                    <w:t>：</w:t>
                  </w:r>
                  <w:r>
                    <w:rPr>
                      <w:color w:val="auto"/>
                      <w:szCs w:val="21"/>
                      <w:highlight w:val="none"/>
                    </w:rPr>
                    <w:t>10</w:t>
                  </w:r>
                  <w:r>
                    <w:rPr>
                      <w:rFonts w:ascii="宋体" w:hAnsi="宋体"/>
                      <w:color w:val="auto"/>
                      <w:szCs w:val="21"/>
                      <w:highlight w:val="none"/>
                    </w:rPr>
                    <w:t>℃</w:t>
                  </w:r>
                  <w:r>
                    <w:rPr>
                      <w:rFonts w:hAnsi="宋体"/>
                      <w:color w:val="auto"/>
                      <w:szCs w:val="21"/>
                      <w:highlight w:val="none"/>
                    </w:rPr>
                    <w:t>；</w:t>
                  </w:r>
                  <w:r>
                    <w:rPr>
                      <w:color w:val="auto"/>
                      <w:szCs w:val="21"/>
                      <w:highlight w:val="none"/>
                    </w:rPr>
                    <w:fldChar w:fldCharType="begin"/>
                  </w:r>
                  <w:r>
                    <w:rPr>
                      <w:color w:val="auto"/>
                      <w:szCs w:val="21"/>
                      <w:highlight w:val="none"/>
                    </w:rPr>
                    <w:instrText xml:space="preserve"> HYPERLINK "http://baike.baidu.com/view/81200.htm" \t "_blank" </w:instrText>
                  </w:r>
                  <w:r>
                    <w:rPr>
                      <w:color w:val="auto"/>
                      <w:szCs w:val="21"/>
                      <w:highlight w:val="none"/>
                    </w:rPr>
                    <w:fldChar w:fldCharType="separate"/>
                  </w:r>
                  <w:r>
                    <w:rPr>
                      <w:rStyle w:val="34"/>
                      <w:rFonts w:hAnsi="宋体"/>
                      <w:color w:val="auto"/>
                      <w:szCs w:val="21"/>
                      <w:highlight w:val="none"/>
                      <w:u w:val="none"/>
                    </w:rPr>
                    <w:t>沸点</w:t>
                  </w:r>
                  <w:r>
                    <w:rPr>
                      <w:color w:val="auto"/>
                      <w:szCs w:val="21"/>
                      <w:highlight w:val="none"/>
                    </w:rPr>
                    <w:fldChar w:fldCharType="end"/>
                  </w:r>
                  <w:r>
                    <w:rPr>
                      <w:rFonts w:hAnsi="宋体"/>
                      <w:color w:val="auto"/>
                      <w:szCs w:val="21"/>
                      <w:highlight w:val="none"/>
                    </w:rPr>
                    <w:t>：</w:t>
                  </w:r>
                  <w:r>
                    <w:rPr>
                      <w:color w:val="auto"/>
                      <w:szCs w:val="21"/>
                      <w:highlight w:val="none"/>
                    </w:rPr>
                    <w:t>338</w:t>
                  </w:r>
                  <w:r>
                    <w:rPr>
                      <w:rFonts w:ascii="宋体" w:hAnsi="宋体"/>
                      <w:color w:val="auto"/>
                      <w:szCs w:val="21"/>
                      <w:highlight w:val="none"/>
                    </w:rPr>
                    <w:t>℃</w:t>
                  </w:r>
                  <w:r>
                    <w:rPr>
                      <w:rFonts w:hAnsi="宋体"/>
                      <w:color w:val="auto"/>
                      <w:szCs w:val="21"/>
                      <w:highlight w:val="none"/>
                    </w:rPr>
                    <w:t>。硫酸是一种高沸点难挥发的强酸，易溶于水，能以任意比与水混溶。浓硫酸在浓度高时具有强氧化性，脱水性，强氧化性，难挥发性，酸性，稳定性，吸水性等。对皮肤、粘膜等组织有强烈的刺激和腐蚀作用。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涂膜剂</w:t>
                  </w:r>
                </w:p>
                <w:p>
                  <w:pPr>
                    <w:spacing w:line="240" w:lineRule="auto"/>
                    <w:jc w:val="center"/>
                    <w:rPr>
                      <w:color w:val="auto"/>
                      <w:szCs w:val="21"/>
                    </w:rPr>
                  </w:pPr>
                  <w:r>
                    <w:rPr>
                      <w:rFonts w:hAnsi="宋体"/>
                      <w:color w:val="auto"/>
                      <w:szCs w:val="21"/>
                    </w:rPr>
                    <w:t>（硬脂酸钠）</w:t>
                  </w:r>
                </w:p>
              </w:tc>
              <w:tc>
                <w:tcPr>
                  <w:tcW w:w="8091" w:type="dxa"/>
                  <w:noWrap w:val="0"/>
                  <w:vAlign w:val="center"/>
                </w:tcPr>
                <w:p>
                  <w:pPr>
                    <w:spacing w:line="240" w:lineRule="auto"/>
                    <w:rPr>
                      <w:color w:val="auto"/>
                      <w:szCs w:val="21"/>
                    </w:rPr>
                  </w:pPr>
                  <w:r>
                    <w:rPr>
                      <w:rFonts w:hAnsi="宋体"/>
                      <w:color w:val="auto"/>
                      <w:szCs w:val="21"/>
                    </w:rPr>
                    <w:t>化学式</w:t>
                  </w:r>
                  <w:r>
                    <w:rPr>
                      <w:color w:val="auto"/>
                      <w:szCs w:val="21"/>
                    </w:rPr>
                    <w:t>CH</w:t>
                  </w:r>
                  <w:r>
                    <w:rPr>
                      <w:color w:val="auto"/>
                      <w:szCs w:val="21"/>
                      <w:vertAlign w:val="subscript"/>
                    </w:rPr>
                    <w:t>3</w:t>
                  </w:r>
                  <w:r>
                    <w:rPr>
                      <w:color w:val="auto"/>
                      <w:szCs w:val="21"/>
                    </w:rPr>
                    <w:t>(CH</w:t>
                  </w:r>
                  <w:r>
                    <w:rPr>
                      <w:color w:val="auto"/>
                      <w:szCs w:val="21"/>
                      <w:vertAlign w:val="subscript"/>
                    </w:rPr>
                    <w:t>2</w:t>
                  </w:r>
                  <w:r>
                    <w:rPr>
                      <w:color w:val="auto"/>
                      <w:szCs w:val="21"/>
                    </w:rPr>
                    <w:t>)</w:t>
                  </w:r>
                  <w:r>
                    <w:rPr>
                      <w:color w:val="auto"/>
                      <w:szCs w:val="21"/>
                      <w:vertAlign w:val="subscript"/>
                    </w:rPr>
                    <w:t>16</w:t>
                  </w:r>
                  <w:r>
                    <w:rPr>
                      <w:color w:val="auto"/>
                      <w:szCs w:val="21"/>
                    </w:rPr>
                    <w:t>COONa</w:t>
                  </w:r>
                  <w:r>
                    <w:rPr>
                      <w:rFonts w:hAnsi="宋体"/>
                      <w:color w:val="auto"/>
                      <w:szCs w:val="21"/>
                    </w:rPr>
                    <w:t>，白色粉末，微溶于水和乙醇，遇强酸分解成硬脂酸和相应的钠盐。工业硬脂酸钠是由硬脂酸钙与氯化钠进行复分解反应而制得，硬脂酸钙含量</w:t>
                  </w:r>
                  <w:r>
                    <w:rPr>
                      <w:color w:val="auto"/>
                      <w:szCs w:val="21"/>
                    </w:rPr>
                    <w:t>6.5%</w:t>
                  </w:r>
                  <w:r>
                    <w:rPr>
                      <w:rFonts w:hAnsi="宋体"/>
                      <w:color w:val="auto"/>
                      <w:szCs w:val="21"/>
                    </w:rPr>
                    <w:t>，硬脂酸钠</w:t>
                  </w:r>
                  <w:r>
                    <w:rPr>
                      <w:color w:val="auto"/>
                      <w:szCs w:val="21"/>
                    </w:rPr>
                    <w:t>92.50%</w:t>
                  </w:r>
                  <w:r>
                    <w:rPr>
                      <w:rFonts w:hAnsi="宋体"/>
                      <w:color w:val="auto"/>
                      <w:szCs w:val="21"/>
                    </w:rPr>
                    <w:t>，游离酸（以硬脂酸计）</w:t>
                  </w:r>
                  <w:r>
                    <w:rPr>
                      <w:color w:val="auto"/>
                      <w:szCs w:val="21"/>
                    </w:rPr>
                    <w:t>0.5%</w:t>
                  </w:r>
                  <w:r>
                    <w:rPr>
                      <w:rFonts w:hAnsi="宋体"/>
                      <w:color w:val="auto"/>
                      <w:szCs w:val="21"/>
                    </w:rPr>
                    <w:t>，纯度在</w:t>
                  </w:r>
                  <w:r>
                    <w:rPr>
                      <w:color w:val="auto"/>
                      <w:szCs w:val="21"/>
                    </w:rPr>
                    <w:t>99.5%</w:t>
                  </w:r>
                  <w:r>
                    <w:rPr>
                      <w:rFonts w:hAnsi="宋体"/>
                      <w:color w:val="auto"/>
                      <w:szCs w:val="21"/>
                    </w:rPr>
                    <w:t>以上。熔点</w:t>
                  </w:r>
                  <w:r>
                    <w:rPr>
                      <w:color w:val="auto"/>
                      <w:szCs w:val="21"/>
                    </w:rPr>
                    <w:t>149-155</w:t>
                  </w:r>
                  <w:r>
                    <w:rPr>
                      <w:rFonts w:ascii="宋体" w:hAnsi="宋体"/>
                      <w:color w:val="auto"/>
                      <w:szCs w:val="21"/>
                    </w:rPr>
                    <w:t>℃</w:t>
                  </w:r>
                  <w:r>
                    <w:rPr>
                      <w:rFonts w:hAnsi="宋体"/>
                      <w:color w:val="auto"/>
                      <w:szCs w:val="21"/>
                    </w:rPr>
                    <w:t>，加热减量小于</w:t>
                  </w:r>
                  <w:r>
                    <w:rPr>
                      <w:color w:val="auto"/>
                      <w:szCs w:val="21"/>
                    </w:rPr>
                    <w:t>2%</w:t>
                  </w:r>
                  <w:r>
                    <w:rPr>
                      <w:rFonts w:hAnsi="宋体"/>
                      <w:color w:val="auto"/>
                      <w:szCs w:val="21"/>
                    </w:rPr>
                    <w:t>，相对密度</w:t>
                  </w:r>
                  <w:r>
                    <w:rPr>
                      <w:color w:val="auto"/>
                      <w:szCs w:val="21"/>
                    </w:rPr>
                    <w:t>1.08</w:t>
                  </w:r>
                  <w:r>
                    <w:rPr>
                      <w:rFonts w:hAnsi="宋体"/>
                      <w:color w:val="auto"/>
                      <w:szCs w:val="21"/>
                    </w:rPr>
                    <w:t>，细度通过</w:t>
                  </w:r>
                  <w:r>
                    <w:rPr>
                      <w:color w:val="auto"/>
                      <w:szCs w:val="21"/>
                    </w:rPr>
                    <w:t>0.075mm</w:t>
                  </w:r>
                  <w:r>
                    <w:rPr>
                      <w:rFonts w:hAnsi="宋体"/>
                      <w:color w:val="auto"/>
                      <w:szCs w:val="21"/>
                    </w:rPr>
                    <w:t>筛</w:t>
                  </w:r>
                  <w:r>
                    <w:rPr>
                      <w:color w:val="auto"/>
                      <w:szCs w:val="21"/>
                    </w:rPr>
                    <w:t>99.5%</w:t>
                  </w:r>
                  <w:r>
                    <w:rPr>
                      <w:rFonts w:hAnsi="宋体"/>
                      <w:color w:val="auto"/>
                      <w:szCs w:val="21"/>
                    </w:rPr>
                    <w:t>。稠化剂；乳化剂；分散剂；粘合剂；抑制剂。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rPr>
                  </w:pPr>
                  <w:r>
                    <w:rPr>
                      <w:rFonts w:hint="eastAsia" w:hAnsi="宋体"/>
                      <w:color w:val="auto"/>
                      <w:sz w:val="21"/>
                      <w:szCs w:val="21"/>
                      <w:lang w:eastAsia="zh-CN"/>
                    </w:rPr>
                    <w:t>皮膜剂</w:t>
                  </w:r>
                </w:p>
              </w:tc>
              <w:tc>
                <w:tcPr>
                  <w:tcW w:w="80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Ansi="宋体"/>
                      <w:color w:val="auto"/>
                      <w:szCs w:val="21"/>
                    </w:rPr>
                  </w:pPr>
                  <w:r>
                    <w:rPr>
                      <w:rFonts w:hint="eastAsia" w:hAnsi="宋体"/>
                      <w:color w:val="auto"/>
                      <w:sz w:val="21"/>
                      <w:szCs w:val="21"/>
                    </w:rPr>
                    <w:t>皮膜剂是一种常用于不锈钢表面的保护涂层。它能够有效防止不锈钢表面发生氧化反应，延长不锈钢的使用寿命。这种皮膜剂的配方中主要包含草酸(可以提供良好的酸性环境)、稀硫酸(用于稀释草酸，以降低其腐蚀性)、高锰酸钾(作为催化剂，加速草酸的反应)、氢氧化钠(用于调整溶液的pH值)，以及一些辅助材料(如氧化铝和硅酸钠，用于增加涂层的耐蚀性和附着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金红石</w:t>
                  </w:r>
                </w:p>
              </w:tc>
              <w:tc>
                <w:tcPr>
                  <w:tcW w:w="8091" w:type="dxa"/>
                  <w:noWrap w:val="0"/>
                  <w:vAlign w:val="center"/>
                </w:tcPr>
                <w:p>
                  <w:pPr>
                    <w:spacing w:line="240" w:lineRule="auto"/>
                    <w:rPr>
                      <w:color w:val="auto"/>
                      <w:szCs w:val="21"/>
                    </w:rPr>
                  </w:pPr>
                  <w:r>
                    <w:rPr>
                      <w:rFonts w:hAnsi="宋体"/>
                      <w:color w:val="auto"/>
                      <w:szCs w:val="21"/>
                    </w:rPr>
                    <w:t>即较纯的二氧化钛，一般含二氧化钛在</w:t>
                  </w:r>
                  <w:r>
                    <w:rPr>
                      <w:color w:val="auto"/>
                      <w:szCs w:val="21"/>
                    </w:rPr>
                    <w:t>95%</w:t>
                  </w:r>
                  <w:r>
                    <w:rPr>
                      <w:rFonts w:hAnsi="宋体"/>
                      <w:color w:val="auto"/>
                      <w:szCs w:val="21"/>
                    </w:rPr>
                    <w:t>以上，是提炼钛的重要矿物原料，四方晶系，常具完好的四方柱状或针状晶形，集合体呈粒状或致密块状，暗红、褐红、黄或橘黄色，富铁者呈黑色，条痕黄色至浅褐色，金刚光泽，硬度</w:t>
                  </w:r>
                  <w:r>
                    <w:rPr>
                      <w:color w:val="auto"/>
                      <w:szCs w:val="21"/>
                    </w:rPr>
                    <w:t>6</w:t>
                  </w:r>
                  <w:r>
                    <w:rPr>
                      <w:rFonts w:hAnsi="宋体"/>
                      <w:color w:val="auto"/>
                      <w:szCs w:val="21"/>
                    </w:rPr>
                    <w:t>～</w:t>
                  </w:r>
                  <w:r>
                    <w:rPr>
                      <w:color w:val="auto"/>
                      <w:szCs w:val="21"/>
                    </w:rPr>
                    <w:t>6.5</w:t>
                  </w:r>
                  <w:r>
                    <w:rPr>
                      <w:rFonts w:hAnsi="宋体"/>
                      <w:color w:val="auto"/>
                      <w:szCs w:val="21"/>
                    </w:rPr>
                    <w:t>，密度</w:t>
                  </w:r>
                  <w:r>
                    <w:rPr>
                      <w:color w:val="auto"/>
                      <w:szCs w:val="21"/>
                    </w:rPr>
                    <w:t>4.2</w:t>
                  </w:r>
                  <w:r>
                    <w:rPr>
                      <w:rFonts w:hAnsi="宋体"/>
                      <w:color w:val="auto"/>
                      <w:szCs w:val="21"/>
                    </w:rPr>
                    <w:t>～</w:t>
                  </w:r>
                  <w:r>
                    <w:rPr>
                      <w:color w:val="auto"/>
                      <w:szCs w:val="21"/>
                    </w:rPr>
                    <w:t>4.3g/cm</w:t>
                  </w:r>
                  <w:r>
                    <w:rPr>
                      <w:color w:val="auto"/>
                      <w:szCs w:val="21"/>
                      <w:vertAlign w:val="superscript"/>
                    </w:rPr>
                    <w:t>3</w:t>
                  </w:r>
                  <w:r>
                    <w:rPr>
                      <w:rFonts w:hAnsi="宋体"/>
                      <w:color w:val="auto"/>
                      <w:szCs w:val="21"/>
                    </w:rPr>
                    <w:t>；具有耐高温、耐低温、耐腐蚀、高强度、小比重等优异性能，广泛用于军工航空、航天、航海、机械、化工、海水淡化等方面，其本身是高档电焊条必须的原料之一，也是生产金红石型钛白粉的最佳原料。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中碳锰铁</w:t>
                  </w:r>
                </w:p>
              </w:tc>
              <w:tc>
                <w:tcPr>
                  <w:tcW w:w="8091" w:type="dxa"/>
                  <w:noWrap w:val="0"/>
                  <w:vAlign w:val="center"/>
                </w:tcPr>
                <w:p>
                  <w:pPr>
                    <w:spacing w:line="240" w:lineRule="auto"/>
                    <w:rPr>
                      <w:color w:val="auto"/>
                      <w:szCs w:val="21"/>
                    </w:rPr>
                  </w:pPr>
                  <w:r>
                    <w:rPr>
                      <w:rFonts w:hAnsi="宋体"/>
                      <w:color w:val="auto"/>
                      <w:szCs w:val="21"/>
                    </w:rPr>
                    <w:t>主要是由锰、铁两种元素组成的合金，碳不大于</w:t>
                  </w:r>
                  <w:r>
                    <w:rPr>
                      <w:color w:val="auto"/>
                      <w:szCs w:val="21"/>
                    </w:rPr>
                    <w:t>0.7%~2.0%</w:t>
                  </w:r>
                  <w:r>
                    <w:rPr>
                      <w:rFonts w:hAnsi="宋体"/>
                      <w:color w:val="auto"/>
                      <w:szCs w:val="21"/>
                    </w:rPr>
                    <w:t>，锰铁作为合金元素添加剂，能增强钢的硬度、延展性、韧性和抗磨能力。它广泛应用于结构钢、工具钢、不锈耐热钢、耐磨钢等合金钢中。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钛白粉</w:t>
                  </w:r>
                </w:p>
              </w:tc>
              <w:tc>
                <w:tcPr>
                  <w:tcW w:w="8091" w:type="dxa"/>
                  <w:noWrap w:val="0"/>
                  <w:vAlign w:val="center"/>
                </w:tcPr>
                <w:p>
                  <w:pPr>
                    <w:spacing w:line="240" w:lineRule="auto"/>
                    <w:rPr>
                      <w:color w:val="auto"/>
                      <w:szCs w:val="21"/>
                    </w:rPr>
                  </w:pPr>
                  <w:r>
                    <w:rPr>
                      <w:color w:val="auto"/>
                      <w:szCs w:val="21"/>
                    </w:rPr>
                    <w:fldChar w:fldCharType="begin"/>
                  </w:r>
                  <w:r>
                    <w:rPr>
                      <w:color w:val="auto"/>
                      <w:szCs w:val="21"/>
                    </w:rPr>
                    <w:instrText xml:space="preserve"> HYPERLINK "http://baike.baidu.com/view/292167.htm" \t "_blank" </w:instrText>
                  </w:r>
                  <w:r>
                    <w:rPr>
                      <w:color w:val="auto"/>
                      <w:szCs w:val="21"/>
                    </w:rPr>
                    <w:fldChar w:fldCharType="separate"/>
                  </w:r>
                  <w:r>
                    <w:rPr>
                      <w:rStyle w:val="34"/>
                      <w:rFonts w:hAnsi="宋体"/>
                      <w:color w:val="auto"/>
                      <w:szCs w:val="21"/>
                      <w:u w:val="none"/>
                    </w:rPr>
                    <w:t>分子式</w:t>
                  </w:r>
                  <w:r>
                    <w:rPr>
                      <w:color w:val="auto"/>
                      <w:szCs w:val="21"/>
                    </w:rPr>
                    <w:fldChar w:fldCharType="end"/>
                  </w:r>
                  <w:r>
                    <w:rPr>
                      <w:rFonts w:hAnsi="宋体"/>
                      <w:color w:val="auto"/>
                      <w:szCs w:val="21"/>
                    </w:rPr>
                    <w:t>为</w:t>
                  </w:r>
                  <w:r>
                    <w:rPr>
                      <w:color w:val="auto"/>
                      <w:szCs w:val="21"/>
                    </w:rPr>
                    <w:t>TiO</w:t>
                  </w:r>
                  <w:r>
                    <w:rPr>
                      <w:color w:val="auto"/>
                      <w:szCs w:val="21"/>
                      <w:vertAlign w:val="subscript"/>
                    </w:rPr>
                    <w:t>2</w:t>
                  </w:r>
                  <w:r>
                    <w:rPr>
                      <w:rFonts w:hAnsi="宋体"/>
                      <w:color w:val="auto"/>
                      <w:szCs w:val="21"/>
                    </w:rPr>
                    <w:t>，</w:t>
                  </w:r>
                  <w:r>
                    <w:rPr>
                      <w:color w:val="auto"/>
                      <w:szCs w:val="21"/>
                    </w:rPr>
                    <w:fldChar w:fldCharType="begin"/>
                  </w:r>
                  <w:r>
                    <w:rPr>
                      <w:color w:val="auto"/>
                      <w:szCs w:val="21"/>
                    </w:rPr>
                    <w:instrText xml:space="preserve"> HYPERLINK "http://baike.baidu.com/view/295202.htm" \t "_blank" </w:instrText>
                  </w:r>
                  <w:r>
                    <w:rPr>
                      <w:color w:val="auto"/>
                      <w:szCs w:val="21"/>
                    </w:rPr>
                    <w:fldChar w:fldCharType="separate"/>
                  </w:r>
                  <w:r>
                    <w:rPr>
                      <w:rStyle w:val="34"/>
                      <w:rFonts w:hAnsi="宋体"/>
                      <w:color w:val="auto"/>
                      <w:szCs w:val="21"/>
                      <w:u w:val="none"/>
                    </w:rPr>
                    <w:t>相对分子质量</w:t>
                  </w:r>
                  <w:r>
                    <w:rPr>
                      <w:color w:val="auto"/>
                      <w:szCs w:val="21"/>
                    </w:rPr>
                    <w:fldChar w:fldCharType="end"/>
                  </w:r>
                  <w:r>
                    <w:rPr>
                      <w:color w:val="auto"/>
                      <w:szCs w:val="21"/>
                    </w:rPr>
                    <w:t>79.90</w:t>
                  </w:r>
                  <w:r>
                    <w:rPr>
                      <w:rFonts w:hAnsi="宋体"/>
                      <w:color w:val="auto"/>
                      <w:szCs w:val="21"/>
                    </w:rPr>
                    <w:t>。有</w:t>
                  </w:r>
                  <w:r>
                    <w:rPr>
                      <w:color w:val="auto"/>
                      <w:szCs w:val="21"/>
                    </w:rPr>
                    <w:fldChar w:fldCharType="begin"/>
                  </w:r>
                  <w:r>
                    <w:rPr>
                      <w:color w:val="auto"/>
                      <w:szCs w:val="21"/>
                    </w:rPr>
                    <w:instrText xml:space="preserve"> HYPERLINK "http://baike.baidu.com/view/128978.htm" \t "_blank" </w:instrText>
                  </w:r>
                  <w:r>
                    <w:rPr>
                      <w:color w:val="auto"/>
                      <w:szCs w:val="21"/>
                    </w:rPr>
                    <w:fldChar w:fldCharType="separate"/>
                  </w:r>
                  <w:r>
                    <w:rPr>
                      <w:rStyle w:val="34"/>
                      <w:rFonts w:hAnsi="宋体"/>
                      <w:color w:val="auto"/>
                      <w:szCs w:val="21"/>
                      <w:u w:val="none"/>
                    </w:rPr>
                    <w:t>金红石</w:t>
                  </w:r>
                  <w:r>
                    <w:rPr>
                      <w:color w:val="auto"/>
                      <w:szCs w:val="21"/>
                    </w:rPr>
                    <w:fldChar w:fldCharType="end"/>
                  </w:r>
                  <w:r>
                    <w:rPr>
                      <w:rFonts w:hAnsi="宋体"/>
                      <w:color w:val="auto"/>
                      <w:szCs w:val="21"/>
                    </w:rPr>
                    <w:t>型和锐钛型二种结构；</w:t>
                  </w:r>
                  <w:r>
                    <w:rPr>
                      <w:color w:val="auto"/>
                      <w:szCs w:val="21"/>
                    </w:rPr>
                    <w:t>PH</w:t>
                  </w:r>
                  <w:r>
                    <w:rPr>
                      <w:rFonts w:hAnsi="宋体"/>
                      <w:color w:val="auto"/>
                      <w:szCs w:val="21"/>
                    </w:rPr>
                    <w:t>值：</w:t>
                  </w:r>
                  <w:r>
                    <w:rPr>
                      <w:color w:val="auto"/>
                      <w:szCs w:val="21"/>
                    </w:rPr>
                    <w:t>7.0~9.5</w:t>
                  </w:r>
                  <w:r>
                    <w:rPr>
                      <w:rFonts w:hAnsi="宋体"/>
                      <w:color w:val="auto"/>
                      <w:szCs w:val="21"/>
                    </w:rPr>
                    <w:t>；</w:t>
                  </w:r>
                  <w:r>
                    <w:rPr>
                      <w:color w:val="auto"/>
                      <w:szCs w:val="21"/>
                    </w:rPr>
                    <w:fldChar w:fldCharType="begin"/>
                  </w:r>
                  <w:r>
                    <w:rPr>
                      <w:color w:val="auto"/>
                      <w:szCs w:val="21"/>
                    </w:rPr>
                    <w:instrText xml:space="preserve"> HYPERLINK "http://baike.baidu.com/view/38960.htm" \t "_blank" </w:instrText>
                  </w:r>
                  <w:r>
                    <w:rPr>
                      <w:color w:val="auto"/>
                      <w:szCs w:val="21"/>
                    </w:rPr>
                    <w:fldChar w:fldCharType="separate"/>
                  </w:r>
                  <w:r>
                    <w:rPr>
                      <w:rStyle w:val="34"/>
                      <w:rFonts w:hAnsi="宋体"/>
                      <w:color w:val="auto"/>
                      <w:szCs w:val="21"/>
                      <w:u w:val="none"/>
                    </w:rPr>
                    <w:t>密度</w:t>
                  </w:r>
                  <w:r>
                    <w:rPr>
                      <w:color w:val="auto"/>
                      <w:szCs w:val="21"/>
                    </w:rPr>
                    <w:fldChar w:fldCharType="end"/>
                  </w:r>
                  <w:r>
                    <w:rPr>
                      <w:color w:val="auto"/>
                      <w:szCs w:val="21"/>
                    </w:rPr>
                    <w:t>4.23</w:t>
                  </w:r>
                  <w:r>
                    <w:rPr>
                      <w:rFonts w:hAnsi="宋体"/>
                      <w:color w:val="auto"/>
                      <w:szCs w:val="21"/>
                    </w:rPr>
                    <w:t>；熔点为</w:t>
                  </w:r>
                  <w:r>
                    <w:rPr>
                      <w:color w:val="auto"/>
                      <w:szCs w:val="21"/>
                    </w:rPr>
                    <w:t>1850</w:t>
                  </w:r>
                  <w:r>
                    <w:rPr>
                      <w:rFonts w:ascii="宋体" w:hAnsi="宋体"/>
                      <w:color w:val="auto"/>
                      <w:szCs w:val="21"/>
                    </w:rPr>
                    <w:t>℃</w:t>
                  </w:r>
                  <w:r>
                    <w:rPr>
                      <w:rFonts w:hAnsi="宋体"/>
                      <w:color w:val="auto"/>
                      <w:szCs w:val="21"/>
                    </w:rPr>
                    <w:t>；</w:t>
                  </w:r>
                  <w:r>
                    <w:rPr>
                      <w:color w:val="auto"/>
                      <w:szCs w:val="21"/>
                    </w:rPr>
                    <w:fldChar w:fldCharType="begin"/>
                  </w:r>
                  <w:r>
                    <w:rPr>
                      <w:color w:val="auto"/>
                      <w:szCs w:val="21"/>
                    </w:rPr>
                    <w:instrText xml:space="preserve"> HYPERLINK "http://baike.baidu.com/view/81200.htm" \t "_blank" </w:instrText>
                  </w:r>
                  <w:r>
                    <w:rPr>
                      <w:color w:val="auto"/>
                      <w:szCs w:val="21"/>
                    </w:rPr>
                    <w:fldChar w:fldCharType="separate"/>
                  </w:r>
                  <w:r>
                    <w:rPr>
                      <w:rStyle w:val="34"/>
                      <w:rFonts w:hAnsi="宋体"/>
                      <w:color w:val="auto"/>
                      <w:szCs w:val="21"/>
                      <w:u w:val="none"/>
                    </w:rPr>
                    <w:t>沸点</w:t>
                  </w:r>
                  <w:r>
                    <w:rPr>
                      <w:color w:val="auto"/>
                      <w:szCs w:val="21"/>
                    </w:rPr>
                    <w:fldChar w:fldCharType="end"/>
                  </w:r>
                  <w:r>
                    <w:rPr>
                      <w:color w:val="auto"/>
                      <w:szCs w:val="21"/>
                    </w:rPr>
                    <w:t>2900</w:t>
                  </w:r>
                  <w:r>
                    <w:rPr>
                      <w:rFonts w:ascii="宋体" w:hAnsi="宋体"/>
                      <w:color w:val="auto"/>
                      <w:szCs w:val="21"/>
                    </w:rPr>
                    <w:t>℃</w:t>
                  </w:r>
                  <w:r>
                    <w:rPr>
                      <w:rFonts w:hAnsi="宋体"/>
                      <w:color w:val="auto"/>
                      <w:szCs w:val="21"/>
                    </w:rPr>
                    <w:t>；金红石型二氧化钛为</w:t>
                  </w:r>
                  <w:r>
                    <w:rPr>
                      <w:color w:val="auto"/>
                      <w:szCs w:val="21"/>
                    </w:rPr>
                    <w:t>6</w:t>
                  </w:r>
                  <w:r>
                    <w:rPr>
                      <w:rFonts w:hAnsi="宋体"/>
                      <w:color w:val="auto"/>
                      <w:szCs w:val="21"/>
                    </w:rPr>
                    <w:t>～</w:t>
                  </w:r>
                  <w:r>
                    <w:rPr>
                      <w:color w:val="auto"/>
                      <w:szCs w:val="21"/>
                    </w:rPr>
                    <w:t>6.5</w:t>
                  </w:r>
                  <w:r>
                    <w:rPr>
                      <w:rFonts w:hAnsi="宋体"/>
                      <w:color w:val="auto"/>
                      <w:szCs w:val="21"/>
                    </w:rPr>
                    <w:t>，锐钛型二氧化钛为</w:t>
                  </w:r>
                  <w:r>
                    <w:rPr>
                      <w:color w:val="auto"/>
                      <w:szCs w:val="21"/>
                    </w:rPr>
                    <w:t>5.5</w:t>
                  </w:r>
                  <w:r>
                    <w:rPr>
                      <w:rFonts w:hAnsi="宋体"/>
                      <w:color w:val="auto"/>
                      <w:szCs w:val="21"/>
                    </w:rPr>
                    <w:t>～</w:t>
                  </w:r>
                  <w:r>
                    <w:rPr>
                      <w:color w:val="auto"/>
                      <w:szCs w:val="21"/>
                    </w:rPr>
                    <w:t>6.0</w:t>
                  </w:r>
                  <w:r>
                    <w:rPr>
                      <w:rFonts w:hAnsi="宋体"/>
                      <w:color w:val="auto"/>
                      <w:szCs w:val="21"/>
                    </w:rPr>
                    <w:t>。广泛用于涂料、塑料、橡胶、油墨、纸张、化纤、陶瓷、日化、医药、食品等行业。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lang w:eastAsia="zh-TW"/>
                    </w:rPr>
                  </w:pPr>
                  <w:r>
                    <w:rPr>
                      <w:rFonts w:hAnsi="宋体"/>
                      <w:color w:val="auto"/>
                      <w:szCs w:val="21"/>
                    </w:rPr>
                    <w:t>水玻璃</w:t>
                  </w:r>
                </w:p>
              </w:tc>
              <w:tc>
                <w:tcPr>
                  <w:tcW w:w="8091" w:type="dxa"/>
                  <w:noWrap w:val="0"/>
                  <w:vAlign w:val="center"/>
                </w:tcPr>
                <w:p>
                  <w:pPr>
                    <w:spacing w:line="240" w:lineRule="auto"/>
                    <w:rPr>
                      <w:color w:val="auto"/>
                      <w:szCs w:val="21"/>
                    </w:rPr>
                  </w:pPr>
                  <w:r>
                    <w:rPr>
                      <w:rFonts w:hAnsi="宋体"/>
                      <w:color w:val="auto"/>
                      <w:szCs w:val="21"/>
                    </w:rPr>
                    <w:t>即</w:t>
                  </w:r>
                  <w:r>
                    <w:rPr>
                      <w:color w:val="auto"/>
                      <w:szCs w:val="21"/>
                    </w:rPr>
                    <w:t>Na</w:t>
                  </w:r>
                  <w:r>
                    <w:rPr>
                      <w:color w:val="auto"/>
                      <w:szCs w:val="21"/>
                      <w:vertAlign w:val="subscript"/>
                    </w:rPr>
                    <w:t>2</w:t>
                  </w:r>
                  <w:r>
                    <w:rPr>
                      <w:color w:val="auto"/>
                      <w:szCs w:val="21"/>
                    </w:rPr>
                    <w:t>SiO</w:t>
                  </w:r>
                  <w:r>
                    <w:rPr>
                      <w:color w:val="auto"/>
                      <w:szCs w:val="21"/>
                      <w:vertAlign w:val="subscript"/>
                    </w:rPr>
                    <w:t>3</w:t>
                  </w:r>
                  <w:r>
                    <w:rPr>
                      <w:rFonts w:hAnsi="宋体"/>
                      <w:color w:val="auto"/>
                      <w:szCs w:val="21"/>
                    </w:rPr>
                    <w:t>，分子量</w:t>
                  </w:r>
                  <w:r>
                    <w:rPr>
                      <w:color w:val="auto"/>
                      <w:szCs w:val="21"/>
                    </w:rPr>
                    <w:t>122.06</w:t>
                  </w:r>
                  <w:r>
                    <w:rPr>
                      <w:rFonts w:hAnsi="宋体"/>
                      <w:color w:val="auto"/>
                      <w:szCs w:val="21"/>
                    </w:rPr>
                    <w:t>，透明的无色或淡黄色到微红色粘稠液体，密度</w:t>
                  </w:r>
                  <w:r>
                    <w:rPr>
                      <w:color w:val="auto"/>
                      <w:szCs w:val="21"/>
                    </w:rPr>
                    <w:t>2.4g</w:t>
                  </w:r>
                  <w:r>
                    <w:rPr>
                      <w:rFonts w:hAnsi="宋体"/>
                      <w:color w:val="auto"/>
                      <w:szCs w:val="21"/>
                    </w:rPr>
                    <w:t>／</w:t>
                  </w:r>
                  <w:r>
                    <w:rPr>
                      <w:color w:val="auto"/>
                      <w:szCs w:val="21"/>
                    </w:rPr>
                    <w:t>cm</w:t>
                  </w:r>
                  <w:r>
                    <w:rPr>
                      <w:color w:val="auto"/>
                      <w:szCs w:val="21"/>
                      <w:vertAlign w:val="superscript"/>
                    </w:rPr>
                    <w:t>3</w:t>
                  </w:r>
                  <w:r>
                    <w:rPr>
                      <w:rFonts w:hAnsi="宋体"/>
                      <w:color w:val="auto"/>
                      <w:szCs w:val="21"/>
                    </w:rPr>
                    <w:t>，熔点</w:t>
                  </w:r>
                  <w:r>
                    <w:rPr>
                      <w:color w:val="auto"/>
                      <w:szCs w:val="21"/>
                    </w:rPr>
                    <w:t>1088</w:t>
                  </w:r>
                  <w:r>
                    <w:rPr>
                      <w:rFonts w:ascii="宋体" w:hAnsi="宋体"/>
                      <w:color w:val="auto"/>
                      <w:szCs w:val="21"/>
                    </w:rPr>
                    <w:t>℃</w:t>
                  </w:r>
                  <w:r>
                    <w:rPr>
                      <w:color w:val="auto"/>
                      <w:szCs w:val="21"/>
                    </w:rPr>
                    <w:t>(</w:t>
                  </w:r>
                  <w:r>
                    <w:rPr>
                      <w:rFonts w:hAnsi="宋体"/>
                      <w:color w:val="auto"/>
                      <w:szCs w:val="21"/>
                    </w:rPr>
                    <w:t>固体</w:t>
                  </w:r>
                  <w:r>
                    <w:rPr>
                      <w:color w:val="auto"/>
                      <w:szCs w:val="21"/>
                    </w:rPr>
                    <w:t>)</w:t>
                  </w:r>
                  <w:r>
                    <w:rPr>
                      <w:rFonts w:hAnsi="宋体"/>
                      <w:color w:val="auto"/>
                      <w:szCs w:val="21"/>
                    </w:rPr>
                    <w:t>，溶于水，水溶液呈碱性，遇酸分解并析出硅酸的胶质沉淀，无水物为无定形的玻璃状物质；在化工系统被用来制造硅胶、白炭黑、沸石分子筛、五水偏硅酸钠、硅溶胶、层硅及速溶粉状硅酸钠、硅酸钾钠等各种硅酸盐类产品，是硅化合物的基本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中碳硅铁</w:t>
                  </w:r>
                </w:p>
              </w:tc>
              <w:tc>
                <w:tcPr>
                  <w:tcW w:w="8091" w:type="dxa"/>
                  <w:noWrap w:val="0"/>
                  <w:vAlign w:val="center"/>
                </w:tcPr>
                <w:p>
                  <w:pPr>
                    <w:spacing w:line="240" w:lineRule="auto"/>
                    <w:rPr>
                      <w:color w:val="auto"/>
                      <w:szCs w:val="21"/>
                    </w:rPr>
                  </w:pPr>
                  <w:r>
                    <w:rPr>
                      <w:rFonts w:hAnsi="宋体"/>
                      <w:color w:val="auto"/>
                      <w:szCs w:val="21"/>
                    </w:rPr>
                    <w:t>以焦炭、钢屑、石英</w:t>
                  </w:r>
                  <w:r>
                    <w:rPr>
                      <w:color w:val="auto"/>
                      <w:szCs w:val="21"/>
                    </w:rPr>
                    <w:t>(</w:t>
                  </w:r>
                  <w:r>
                    <w:rPr>
                      <w:rFonts w:hAnsi="宋体"/>
                      <w:color w:val="auto"/>
                      <w:szCs w:val="21"/>
                    </w:rPr>
                    <w:t>或硅石</w:t>
                  </w:r>
                  <w:r>
                    <w:rPr>
                      <w:color w:val="auto"/>
                      <w:szCs w:val="21"/>
                    </w:rPr>
                    <w:t>)</w:t>
                  </w:r>
                  <w:r>
                    <w:rPr>
                      <w:rFonts w:hAnsi="宋体"/>
                      <w:color w:val="auto"/>
                      <w:szCs w:val="21"/>
                    </w:rPr>
                    <w:t>为原料，用电炉冶炼制成的铁硅合金。广泛应用于低合金结构钢、弹簧钢、轴承钢、耐热钢及电工硅钢之中，硅铁在铁合金生产及化学工业中，常用作还原剂。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color w:val="auto"/>
                      <w:szCs w:val="21"/>
                    </w:rPr>
                  </w:pPr>
                  <w:r>
                    <w:rPr>
                      <w:rFonts w:hAnsi="宋体"/>
                      <w:color w:val="auto"/>
                      <w:szCs w:val="21"/>
                    </w:rPr>
                    <w:t>大理石</w:t>
                  </w:r>
                </w:p>
              </w:tc>
              <w:tc>
                <w:tcPr>
                  <w:tcW w:w="8091" w:type="dxa"/>
                  <w:noWrap w:val="0"/>
                  <w:vAlign w:val="center"/>
                </w:tcPr>
                <w:p>
                  <w:pPr>
                    <w:spacing w:line="240" w:lineRule="auto"/>
                    <w:rPr>
                      <w:color w:val="auto"/>
                      <w:szCs w:val="21"/>
                    </w:rPr>
                  </w:pPr>
                  <w:r>
                    <w:rPr>
                      <w:rFonts w:hAnsi="宋体"/>
                      <w:color w:val="auto"/>
                      <w:szCs w:val="21"/>
                    </w:rPr>
                    <w:t>主要由粗晶钙或钙镁碳酸盐类矿物组成的变质岩，主要成分是</w:t>
                  </w:r>
                  <w:r>
                    <w:rPr>
                      <w:color w:val="auto"/>
                      <w:szCs w:val="21"/>
                    </w:rPr>
                    <w:t>CaCO</w:t>
                  </w:r>
                  <w:r>
                    <w:rPr>
                      <w:color w:val="auto"/>
                      <w:szCs w:val="21"/>
                      <w:vertAlign w:val="subscript"/>
                    </w:rPr>
                    <w:t>3</w:t>
                  </w:r>
                  <w:r>
                    <w:rPr>
                      <w:rFonts w:hAnsi="宋体"/>
                      <w:color w:val="auto"/>
                      <w:szCs w:val="21"/>
                    </w:rPr>
                    <w:t>，纯粹者呈白色，因含杂质呈淡黄色、玫瑰色、褐色等，三方晶系，晶体成菱面体和偏三角体，集合体成粒状、块状等，由极细方解石的结晶组合而成，玻璃光泽，解理完全，密度</w:t>
                  </w:r>
                  <w:r>
                    <w:rPr>
                      <w:color w:val="auto"/>
                      <w:szCs w:val="21"/>
                    </w:rPr>
                    <w:t>2.6</w:t>
                  </w:r>
                  <w:r>
                    <w:rPr>
                      <w:rFonts w:hAnsi="宋体"/>
                      <w:color w:val="auto"/>
                      <w:szCs w:val="21"/>
                    </w:rPr>
                    <w:t>～</w:t>
                  </w:r>
                  <w:r>
                    <w:rPr>
                      <w:color w:val="auto"/>
                      <w:szCs w:val="21"/>
                    </w:rPr>
                    <w:t>2.8g/cm</w:t>
                  </w:r>
                  <w:r>
                    <w:rPr>
                      <w:color w:val="auto"/>
                      <w:szCs w:val="21"/>
                      <w:vertAlign w:val="superscript"/>
                    </w:rPr>
                    <w:t>3</w:t>
                  </w:r>
                  <w:r>
                    <w:rPr>
                      <w:rFonts w:hAnsi="宋体"/>
                      <w:color w:val="auto"/>
                      <w:szCs w:val="21"/>
                    </w:rPr>
                    <w:t>，硬度约为</w:t>
                  </w:r>
                  <w:r>
                    <w:rPr>
                      <w:color w:val="auto"/>
                      <w:szCs w:val="21"/>
                    </w:rPr>
                    <w:t>3</w:t>
                  </w:r>
                  <w:r>
                    <w:rPr>
                      <w:rFonts w:hAnsi="宋体"/>
                      <w:color w:val="auto"/>
                      <w:szCs w:val="21"/>
                    </w:rPr>
                    <w:t>；用于制取碳酸钙等化工原料和白粉、石灰等建筑材料，磨成细粉，可作橡胶、油漆的填料。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rFonts w:hint="eastAsia" w:hAnsi="宋体" w:eastAsia="宋体"/>
                      <w:color w:val="auto"/>
                      <w:szCs w:val="21"/>
                      <w:lang w:eastAsia="zh-CN"/>
                    </w:rPr>
                  </w:pPr>
                  <w:r>
                    <w:rPr>
                      <w:rFonts w:hint="eastAsia" w:hAnsi="宋体"/>
                      <w:color w:val="auto"/>
                      <w:szCs w:val="21"/>
                      <w:lang w:eastAsia="zh-CN"/>
                    </w:rPr>
                    <w:t>液氨</w:t>
                  </w:r>
                </w:p>
              </w:tc>
              <w:tc>
                <w:tcPr>
                  <w:tcW w:w="8091" w:type="dxa"/>
                  <w:noWrap w:val="0"/>
                  <w:vAlign w:val="center"/>
                </w:tcPr>
                <w:p>
                  <w:pPr>
                    <w:spacing w:line="240" w:lineRule="auto"/>
                    <w:rPr>
                      <w:rFonts w:hAnsi="宋体"/>
                      <w:color w:val="auto"/>
                      <w:szCs w:val="21"/>
                    </w:rPr>
                  </w:pPr>
                  <w:r>
                    <w:rPr>
                      <w:rFonts w:hAnsi="宋体"/>
                      <w:color w:val="auto"/>
                      <w:szCs w:val="21"/>
                    </w:rPr>
                    <w:t>液氨，又称为无水氨，</w:t>
                  </w:r>
                  <w:r>
                    <w:rPr>
                      <w:rFonts w:hint="eastAsia" w:hAnsi="宋体"/>
                      <w:color w:val="auto"/>
                      <w:szCs w:val="21"/>
                    </w:rPr>
                    <w:t>无色液体,有刺激性恶臭味。分子式NH</w:t>
                  </w:r>
                  <w:r>
                    <w:rPr>
                      <w:rFonts w:hint="eastAsia" w:hAnsi="宋体"/>
                      <w:color w:val="auto"/>
                      <w:szCs w:val="21"/>
                      <w:vertAlign w:val="subscript"/>
                      <w:lang w:val="en-US" w:eastAsia="zh-CN"/>
                    </w:rPr>
                    <w:t>3</w:t>
                  </w:r>
                  <w:r>
                    <w:rPr>
                      <w:rFonts w:hint="eastAsia" w:hAnsi="宋体"/>
                      <w:color w:val="auto"/>
                      <w:szCs w:val="21"/>
                      <w:lang w:val="en-US" w:eastAsia="zh-CN"/>
                    </w:rPr>
                    <w:t>;</w:t>
                  </w:r>
                  <w:r>
                    <w:rPr>
                      <w:rFonts w:hint="eastAsia" w:hAnsi="宋体"/>
                      <w:color w:val="auto"/>
                      <w:szCs w:val="21"/>
                    </w:rPr>
                    <w:t>分子量17.03。相对密度0.6028g</w:t>
                  </w:r>
                  <w:r>
                    <w:rPr>
                      <w:rFonts w:hint="eastAsia" w:hAnsi="宋体"/>
                      <w:color w:val="auto"/>
                      <w:szCs w:val="21"/>
                      <w:lang w:val="en-US" w:eastAsia="zh-CN"/>
                    </w:rPr>
                    <w:t>/L</w:t>
                  </w:r>
                  <w:r>
                    <w:rPr>
                      <w:rFonts w:hint="eastAsia" w:hAnsi="宋体"/>
                      <w:color w:val="auto"/>
                      <w:szCs w:val="21"/>
                    </w:rPr>
                    <w:t>。熔点-77.7℃</w:t>
                  </w:r>
                  <w:r>
                    <w:rPr>
                      <w:rFonts w:hint="eastAsia" w:hAnsi="宋体"/>
                      <w:color w:val="auto"/>
                      <w:szCs w:val="21"/>
                      <w:lang w:eastAsia="zh-CN"/>
                    </w:rPr>
                    <w:t>，</w:t>
                  </w:r>
                  <w:r>
                    <w:rPr>
                      <w:rFonts w:hint="eastAsia" w:hAnsi="宋体"/>
                      <w:color w:val="auto"/>
                      <w:szCs w:val="21"/>
                    </w:rPr>
                    <w:t>沸点-33.35℃。自燃点651.11℃。蒸气密度0.6。蒸气压1013.08kPa(25.7℃)</w:t>
                  </w:r>
                  <w:r>
                    <w:rPr>
                      <w:rFonts w:hint="eastAsia" w:hAnsi="宋体"/>
                      <w:color w:val="auto"/>
                      <w:szCs w:val="21"/>
                      <w:lang w:eastAsia="zh-CN"/>
                    </w:rPr>
                    <w:t>，</w:t>
                  </w:r>
                  <w:r>
                    <w:rPr>
                      <w:rFonts w:hint="eastAsia" w:hAnsi="宋体"/>
                      <w:color w:val="auto"/>
                      <w:szCs w:val="21"/>
                    </w:rPr>
                    <w:t>蒸气与空气混合物爆炸极限16~25%(最易引燃浓度17%)。</w:t>
                  </w:r>
                  <w:r>
                    <w:rPr>
                      <w:rFonts w:hint="default" w:hAnsi="宋体"/>
                      <w:color w:val="auto"/>
                      <w:szCs w:val="21"/>
                    </w:rPr>
                    <w:t>氨作为一种重要的</w:t>
                  </w:r>
                  <w:r>
                    <w:rPr>
                      <w:rFonts w:hint="default" w:hAnsi="宋体"/>
                      <w:color w:val="auto"/>
                      <w:szCs w:val="21"/>
                    </w:rPr>
                    <w:fldChar w:fldCharType="begin"/>
                  </w:r>
                  <w:r>
                    <w:rPr>
                      <w:rFonts w:hint="default" w:hAnsi="宋体"/>
                      <w:color w:val="auto"/>
                      <w:szCs w:val="21"/>
                    </w:rPr>
                    <w:instrText xml:space="preserve"> HYPERLINK "https://baike.so.com/doc/5391734-5628479.html" \t "https://baike.so.com/doc/_blank" </w:instrText>
                  </w:r>
                  <w:r>
                    <w:rPr>
                      <w:rFonts w:hint="default" w:hAnsi="宋体"/>
                      <w:color w:val="auto"/>
                      <w:szCs w:val="21"/>
                    </w:rPr>
                    <w:fldChar w:fldCharType="separate"/>
                  </w:r>
                  <w:r>
                    <w:rPr>
                      <w:rFonts w:hint="default" w:hAnsi="宋体"/>
                      <w:color w:val="auto"/>
                      <w:szCs w:val="21"/>
                    </w:rPr>
                    <w:t>化工原料</w:t>
                  </w:r>
                  <w:r>
                    <w:rPr>
                      <w:rFonts w:hint="default" w:hAnsi="宋体"/>
                      <w:color w:val="auto"/>
                      <w:szCs w:val="21"/>
                    </w:rPr>
                    <w:fldChar w:fldCharType="end"/>
                  </w:r>
                  <w:r>
                    <w:rPr>
                      <w:rFonts w:hint="default" w:hAnsi="宋体"/>
                      <w:color w:val="auto"/>
                      <w:szCs w:val="21"/>
                    </w:rPr>
                    <w:t>，为运输及储存便利，通常将气态的氨气通过加压或冷却得到液态氨。氨易溶于水。易分解放出氨气，温度越高，分解速度越快，可形成爆炸性气氛。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rFonts w:hint="eastAsia" w:hAnsi="宋体"/>
                      <w:color w:val="auto"/>
                      <w:szCs w:val="21"/>
                      <w:lang w:eastAsia="zh-CN"/>
                    </w:rPr>
                  </w:pPr>
                  <w:r>
                    <w:rPr>
                      <w:rFonts w:hint="eastAsia" w:hAnsi="宋体"/>
                      <w:color w:val="auto"/>
                      <w:szCs w:val="21"/>
                      <w:lang w:eastAsia="zh-CN"/>
                    </w:rPr>
                    <w:t>金属锰</w:t>
                  </w:r>
                </w:p>
              </w:tc>
              <w:tc>
                <w:tcPr>
                  <w:tcW w:w="8091" w:type="dxa"/>
                  <w:noWrap w:val="0"/>
                  <w:vAlign w:val="center"/>
                </w:tcPr>
                <w:p>
                  <w:pPr>
                    <w:spacing w:line="240" w:lineRule="auto"/>
                    <w:rPr>
                      <w:rFonts w:hAnsi="宋体"/>
                      <w:color w:val="auto"/>
                      <w:szCs w:val="21"/>
                    </w:rPr>
                  </w:pPr>
                  <w:r>
                    <w:rPr>
                      <w:rFonts w:hint="eastAsia" w:hAnsi="宋体"/>
                      <w:color w:val="auto"/>
                      <w:szCs w:val="21"/>
                    </w:rPr>
                    <w:t>锰是一种银白色金属，质</w:t>
                  </w:r>
                  <w:r>
                    <w:rPr>
                      <w:rFonts w:hint="eastAsia" w:hAnsi="宋体"/>
                      <w:color w:val="auto"/>
                      <w:szCs w:val="21"/>
                      <w:lang w:eastAsia="zh-CN"/>
                    </w:rPr>
                    <w:t>级硬</w:t>
                  </w:r>
                  <w:r>
                    <w:rPr>
                      <w:rFonts w:hint="eastAsia" w:hAnsi="宋体"/>
                      <w:color w:val="auto"/>
                      <w:szCs w:val="21"/>
                    </w:rPr>
                    <w:t>而脆</w:t>
                  </w:r>
                  <w:r>
                    <w:rPr>
                      <w:rFonts w:hint="eastAsia" w:hAnsi="宋体"/>
                      <w:color w:val="auto"/>
                      <w:szCs w:val="21"/>
                      <w:lang w:eastAsia="zh-CN"/>
                    </w:rPr>
                    <w:t>，</w:t>
                  </w:r>
                  <w:r>
                    <w:rPr>
                      <w:rFonts w:hint="eastAsia" w:hAnsi="宋体"/>
                      <w:color w:val="auto"/>
                      <w:szCs w:val="21"/>
                    </w:rPr>
                    <w:t>但是在空气中易氧化，生成褐色的氧化物覆盖层，在升温时也容易被氧化，形成层状氧化锈皮。锰的密度为7.44</w:t>
                  </w:r>
                  <w:r>
                    <w:rPr>
                      <w:rFonts w:hint="eastAsia" w:hAnsi="宋体"/>
                      <w:color w:val="auto"/>
                      <w:szCs w:val="21"/>
                      <w:lang w:val="en-US" w:eastAsia="zh-CN"/>
                    </w:rPr>
                    <w:t>g/m</w:t>
                  </w:r>
                  <w:r>
                    <w:rPr>
                      <w:rFonts w:hint="eastAsia" w:hAnsi="宋体"/>
                      <w:color w:val="auto"/>
                      <w:szCs w:val="21"/>
                      <w:vertAlign w:val="superscript"/>
                      <w:lang w:val="en-US" w:eastAsia="zh-CN"/>
                    </w:rPr>
                    <w:t>3</w:t>
                  </w:r>
                  <w:r>
                    <w:rPr>
                      <w:rFonts w:hint="eastAsia" w:hAnsi="宋体"/>
                      <w:color w:val="auto"/>
                      <w:szCs w:val="21"/>
                    </w:rPr>
                    <w:t>，</w:t>
                  </w:r>
                  <w:r>
                    <w:rPr>
                      <w:rFonts w:hint="eastAsia" w:hAnsi="宋体"/>
                      <w:color w:val="auto"/>
                      <w:szCs w:val="21"/>
                      <w:lang w:eastAsia="zh-CN"/>
                    </w:rPr>
                    <w:t>熔</w:t>
                  </w:r>
                  <w:r>
                    <w:rPr>
                      <w:rFonts w:hint="eastAsia" w:hAnsi="宋体"/>
                      <w:color w:val="auto"/>
                      <w:szCs w:val="21"/>
                    </w:rPr>
                    <w:t>点为1244°C，沸点为1962°C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rFonts w:hint="eastAsia" w:hAnsi="宋体"/>
                      <w:color w:val="auto"/>
                      <w:szCs w:val="21"/>
                      <w:lang w:eastAsia="zh-CN"/>
                    </w:rPr>
                  </w:pPr>
                  <w:r>
                    <w:rPr>
                      <w:rFonts w:hint="eastAsia" w:hAnsi="宋体"/>
                      <w:color w:val="auto"/>
                      <w:szCs w:val="21"/>
                      <w:lang w:eastAsia="zh-CN"/>
                    </w:rPr>
                    <w:t>萤石粉</w:t>
                  </w:r>
                </w:p>
              </w:tc>
              <w:tc>
                <w:tcPr>
                  <w:tcW w:w="8091" w:type="dxa"/>
                  <w:noWrap w:val="0"/>
                  <w:vAlign w:val="center"/>
                </w:tcPr>
                <w:p>
                  <w:pPr>
                    <w:spacing w:line="240" w:lineRule="auto"/>
                    <w:rPr>
                      <w:rFonts w:hAnsi="宋体"/>
                      <w:color w:val="auto"/>
                      <w:szCs w:val="21"/>
                    </w:rPr>
                  </w:pPr>
                  <w:r>
                    <w:rPr>
                      <w:rFonts w:hint="eastAsia" w:hAnsi="宋体"/>
                      <w:color w:val="auto"/>
                      <w:szCs w:val="21"/>
                    </w:rPr>
                    <w:t>CaF</w:t>
                  </w:r>
                  <w:r>
                    <w:rPr>
                      <w:rFonts w:hint="eastAsia" w:hAnsi="宋体"/>
                      <w:color w:val="auto"/>
                      <w:szCs w:val="21"/>
                      <w:vertAlign w:val="subscript"/>
                      <w:lang w:val="en-US" w:eastAsia="zh-CN"/>
                    </w:rPr>
                    <w:t>2</w:t>
                  </w:r>
                  <w:r>
                    <w:rPr>
                      <w:rFonts w:hint="eastAsia" w:hAnsi="宋体"/>
                      <w:color w:val="auto"/>
                      <w:szCs w:val="21"/>
                      <w:lang w:eastAsia="zh-CN"/>
                    </w:rPr>
                    <w:t>≥</w:t>
                  </w:r>
                  <w:r>
                    <w:rPr>
                      <w:rFonts w:hint="eastAsia" w:hAnsi="宋体"/>
                      <w:color w:val="auto"/>
                      <w:szCs w:val="21"/>
                    </w:rPr>
                    <w:t>80%、Si</w:t>
                  </w:r>
                  <w:r>
                    <w:rPr>
                      <w:rFonts w:hint="eastAsia" w:hAnsi="宋体"/>
                      <w:color w:val="auto"/>
                      <w:szCs w:val="21"/>
                      <w:lang w:val="en-US" w:eastAsia="zh-CN"/>
                    </w:rPr>
                    <w:t>O</w:t>
                  </w:r>
                  <w:r>
                    <w:rPr>
                      <w:rFonts w:hint="eastAsia" w:hAnsi="宋体"/>
                      <w:color w:val="auto"/>
                      <w:szCs w:val="21"/>
                      <w:vertAlign w:val="subscript"/>
                      <w:lang w:val="en-US" w:eastAsia="zh-CN"/>
                    </w:rPr>
                    <w:t>2</w:t>
                  </w:r>
                  <w:r>
                    <w:rPr>
                      <w:rFonts w:hint="eastAsia" w:hAnsi="宋体"/>
                      <w:color w:val="auto"/>
                      <w:szCs w:val="21"/>
                    </w:rPr>
                    <w:t>≤14.3%、S≤0.15%、P≤0.06%、粒度10-50mm、破碎率不超5%、水分≤0.8%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22" w:type="dxa"/>
                  <w:noWrap w:val="0"/>
                  <w:vAlign w:val="center"/>
                </w:tcPr>
                <w:p>
                  <w:pPr>
                    <w:spacing w:line="240" w:lineRule="auto"/>
                    <w:jc w:val="center"/>
                    <w:rPr>
                      <w:rFonts w:hint="eastAsia"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PS塑料粒</w:t>
                  </w:r>
                </w:p>
              </w:tc>
              <w:tc>
                <w:tcPr>
                  <w:tcW w:w="8091" w:type="dxa"/>
                  <w:noWrap w:val="0"/>
                  <w:vAlign w:val="center"/>
                </w:tcPr>
                <w:p>
                  <w:pPr>
                    <w:spacing w:line="240" w:lineRule="auto"/>
                    <w:jc w:val="both"/>
                    <w:rPr>
                      <w:rFonts w:hint="eastAsia" w:ascii="Times New Roman" w:hAnsi="宋体" w:eastAsia="宋体" w:cs="Times New Roman"/>
                      <w:color w:val="auto"/>
                      <w:szCs w:val="21"/>
                    </w:rPr>
                  </w:pPr>
                  <w:r>
                    <w:rPr>
                      <w:rFonts w:hint="eastAsia" w:ascii="Times New Roman" w:hAnsi="宋体" w:eastAsia="宋体" w:cs="Times New Roman"/>
                      <w:i w:val="0"/>
                      <w:iCs w:val="0"/>
                      <w:caps w:val="0"/>
                      <w:color w:val="auto"/>
                      <w:spacing w:val="0"/>
                      <w:sz w:val="21"/>
                      <w:szCs w:val="21"/>
                      <w:shd w:val="clear"/>
                    </w:rPr>
                    <w:t>PS颗粒又名聚苯乙烯，</w:t>
                  </w:r>
                  <w:r>
                    <w:rPr>
                      <w:rFonts w:hint="eastAsia" w:cs="Times New Roman"/>
                      <w:bCs/>
                      <w:snapToGrid w:val="0"/>
                      <w:color w:val="auto"/>
                      <w:sz w:val="21"/>
                      <w:szCs w:val="21"/>
                      <w:lang w:eastAsia="zh-CN"/>
                    </w:rPr>
                    <w:t>分子式</w:t>
                  </w:r>
                  <w:r>
                    <w:rPr>
                      <w:rFonts w:hint="eastAsia" w:cs="Times New Roman"/>
                      <w:bCs/>
                      <w:snapToGrid w:val="0"/>
                      <w:color w:val="auto"/>
                      <w:sz w:val="21"/>
                      <w:szCs w:val="21"/>
                      <w:lang w:val="en-US" w:eastAsia="zh-CN"/>
                    </w:rPr>
                    <w:t>[C</w:t>
                  </w:r>
                  <w:r>
                    <w:rPr>
                      <w:rFonts w:hint="eastAsia" w:cs="Times New Roman"/>
                      <w:bCs/>
                      <w:snapToGrid w:val="0"/>
                      <w:color w:val="auto"/>
                      <w:sz w:val="21"/>
                      <w:szCs w:val="21"/>
                      <w:vertAlign w:val="subscript"/>
                      <w:lang w:val="en-US" w:eastAsia="zh-CN"/>
                    </w:rPr>
                    <w:t>8</w:t>
                  </w:r>
                  <w:r>
                    <w:rPr>
                      <w:rFonts w:hint="eastAsia" w:cs="Times New Roman"/>
                      <w:bCs/>
                      <w:snapToGrid w:val="0"/>
                      <w:color w:val="auto"/>
                      <w:sz w:val="21"/>
                      <w:szCs w:val="21"/>
                      <w:lang w:val="en-US" w:eastAsia="zh-CN"/>
                    </w:rPr>
                    <w:t>H</w:t>
                  </w:r>
                  <w:r>
                    <w:rPr>
                      <w:rFonts w:hint="eastAsia" w:cs="Times New Roman"/>
                      <w:bCs/>
                      <w:snapToGrid w:val="0"/>
                      <w:color w:val="auto"/>
                      <w:sz w:val="21"/>
                      <w:szCs w:val="21"/>
                      <w:vertAlign w:val="subscript"/>
                      <w:lang w:val="en-US" w:eastAsia="zh-CN"/>
                    </w:rPr>
                    <w:t>8</w:t>
                  </w:r>
                  <w:r>
                    <w:rPr>
                      <w:rFonts w:hint="eastAsia" w:cs="Times New Roman"/>
                      <w:bCs/>
                      <w:snapToGrid w:val="0"/>
                      <w:color w:val="auto"/>
                      <w:sz w:val="21"/>
                      <w:szCs w:val="21"/>
                      <w:lang w:val="en-US" w:eastAsia="zh-CN"/>
                    </w:rPr>
                    <w:t>]</w:t>
                  </w:r>
                  <w:r>
                    <w:rPr>
                      <w:rFonts w:hint="eastAsia" w:cs="Times New Roman"/>
                      <w:bCs/>
                      <w:snapToGrid w:val="0"/>
                      <w:color w:val="auto"/>
                      <w:sz w:val="21"/>
                      <w:szCs w:val="21"/>
                      <w:vertAlign w:val="subscript"/>
                      <w:lang w:val="en-US" w:eastAsia="zh-CN"/>
                    </w:rPr>
                    <w:t>n</w:t>
                  </w:r>
                  <w:r>
                    <w:rPr>
                      <w:rFonts w:hint="eastAsia" w:cs="Times New Roman"/>
                      <w:bCs/>
                      <w:snapToGrid w:val="0"/>
                      <w:color w:val="auto"/>
                      <w:sz w:val="21"/>
                      <w:szCs w:val="21"/>
                      <w:lang w:val="en-US" w:eastAsia="zh-CN"/>
                    </w:rPr>
                    <w:t>，无色、无臭、无味的有光泽透明固体，相对密度1.04~1.09，溶于芳香烃、氯代烃、脂肪族酮和酯等。热变形温度为70~95℃，长期使用温度为60~80℃，聚苯乙烯的热导率低，约为0.10~0.13W/（m·K），基本不随温度的变化而变化，是良好的绝热保温材料。聚苯乙烯泡沫是目前广泛应用的绝热材料之一，主要用于发泡成型，用作保温、隔热、防震、包装材料及漂浮制品。本品基本无毒</w:t>
                  </w:r>
                  <w:r>
                    <w:rPr>
                      <w:rFonts w:hint="eastAsia" w:cs="Times New Roman"/>
                      <w:bCs/>
                      <w:snapToGrid w:val="0"/>
                      <w:color w:val="auto"/>
                      <w:sz w:val="21"/>
                      <w:szCs w:val="21"/>
                      <w:lang w:eastAsia="zh-CN"/>
                    </w:rPr>
                    <w:t>。</w:t>
                  </w:r>
                </w:p>
              </w:tc>
            </w:tr>
          </w:tbl>
          <w:p>
            <w:pPr>
              <w:pStyle w:val="62"/>
              <w:rPr>
                <w:rFonts w:hint="eastAsia" w:ascii="Times New Roman" w:hAnsi="Times New Roman" w:eastAsia="宋体" w:cs="宋体"/>
                <w:b/>
                <w:bCs/>
                <w:color w:val="auto"/>
                <w:sz w:val="24"/>
                <w:szCs w:val="24"/>
                <w:highlight w:val="none"/>
                <w:u w:val="none"/>
                <w:lang w:val="en-US" w:eastAsia="zh-CN"/>
              </w:rPr>
            </w:pPr>
            <w:r>
              <w:rPr>
                <w:rFonts w:hint="eastAsia" w:ascii="Times New Roman" w:hAnsi="Times New Roman" w:eastAsia="宋体" w:cs="宋体"/>
                <w:b/>
                <w:bCs/>
                <w:color w:val="auto"/>
                <w:sz w:val="24"/>
                <w:szCs w:val="24"/>
                <w:highlight w:val="none"/>
                <w:u w:val="none"/>
                <w:lang w:val="en-US" w:eastAsia="zh-CN"/>
              </w:rPr>
              <w:t>2.5项目主要生产设备</w:t>
            </w:r>
          </w:p>
          <w:p>
            <w:pPr>
              <w:pStyle w:val="62"/>
              <w:rPr>
                <w:rFonts w:hint="eastAsia"/>
                <w:color w:val="auto"/>
                <w:highlight w:val="none"/>
                <w:u w:val="single"/>
                <w:lang w:val="en-US" w:eastAsia="zh-CN"/>
              </w:rPr>
            </w:pPr>
            <w:r>
              <w:rPr>
                <w:rFonts w:hint="eastAsia" w:cs="宋体"/>
                <w:color w:val="auto"/>
                <w:sz w:val="24"/>
                <w:szCs w:val="24"/>
                <w:highlight w:val="none"/>
                <w:u w:val="single"/>
                <w:lang w:val="en-US" w:eastAsia="zh-CN"/>
              </w:rPr>
              <w:t>不锈钢焊丝</w:t>
            </w:r>
            <w:r>
              <w:rPr>
                <w:rFonts w:hint="eastAsia"/>
                <w:bCs/>
                <w:color w:val="auto"/>
                <w:sz w:val="24"/>
                <w:szCs w:val="24"/>
                <w:highlight w:val="none"/>
                <w:u w:val="single"/>
                <w:lang w:val="en-US" w:eastAsia="zh-CN"/>
              </w:rPr>
              <w:t>依托现有项目生产设备</w:t>
            </w:r>
            <w:r>
              <w:rPr>
                <w:rFonts w:hint="eastAsia" w:cs="宋体"/>
                <w:color w:val="auto"/>
                <w:sz w:val="24"/>
                <w:szCs w:val="24"/>
                <w:highlight w:val="none"/>
                <w:u w:val="single"/>
                <w:lang w:val="en-US" w:eastAsia="zh-CN"/>
              </w:rPr>
              <w:t>，新增部分生产设备，取消了碱洗槽、乳化槽、钻石模抛光设备等设备，不锈钢焊丝生产线</w:t>
            </w:r>
            <w:r>
              <w:rPr>
                <w:rFonts w:hint="eastAsia" w:ascii="Times New Roman" w:hAnsi="Times New Roman" w:eastAsia="宋体" w:cs="宋体"/>
                <w:color w:val="auto"/>
                <w:sz w:val="24"/>
                <w:szCs w:val="24"/>
                <w:highlight w:val="none"/>
                <w:u w:val="single"/>
                <w:lang w:val="en-US" w:eastAsia="zh-CN"/>
              </w:rPr>
              <w:t>主要生产设备变化情况见下表2.5-1。</w:t>
            </w:r>
          </w:p>
          <w:p>
            <w:pPr>
              <w:jc w:val="center"/>
              <w:rPr>
                <w:rFonts w:hint="default" w:eastAsia="宋体"/>
                <w:b/>
                <w:color w:val="auto"/>
                <w:sz w:val="24"/>
                <w:szCs w:val="24"/>
                <w:u w:val="single"/>
                <w:lang w:val="en-US" w:eastAsia="zh-CN"/>
              </w:rPr>
            </w:pPr>
            <w:r>
              <w:rPr>
                <w:rFonts w:hint="eastAsia" w:ascii="宋体" w:hAnsi="宋体" w:cs="宋体"/>
                <w:b/>
                <w:color w:val="auto"/>
                <w:sz w:val="24"/>
                <w:szCs w:val="24"/>
                <w:u w:val="single"/>
                <w:lang w:bidi="ar"/>
              </w:rPr>
              <w:t>表</w:t>
            </w:r>
            <w:r>
              <w:rPr>
                <w:rFonts w:hint="eastAsia"/>
                <w:b/>
                <w:color w:val="auto"/>
                <w:sz w:val="24"/>
                <w:szCs w:val="24"/>
                <w:u w:val="single"/>
                <w:lang w:val="en-US" w:eastAsia="zh-CN" w:bidi="ar"/>
              </w:rPr>
              <w:t>2.5-1</w:t>
            </w:r>
            <w:r>
              <w:rPr>
                <w:rFonts w:hint="eastAsia" w:ascii="宋体" w:hAnsi="宋体" w:cs="宋体"/>
                <w:b/>
                <w:color w:val="auto"/>
                <w:sz w:val="24"/>
                <w:szCs w:val="24"/>
                <w:u w:val="single"/>
                <w:lang w:val="en-US" w:eastAsia="zh-CN" w:bidi="ar"/>
              </w:rPr>
              <w:t>不锈钢焊丝生产线改扩建前后生产设备变化情况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29"/>
              <w:gridCol w:w="713"/>
              <w:gridCol w:w="889"/>
              <w:gridCol w:w="695"/>
              <w:gridCol w:w="720"/>
              <w:gridCol w:w="1805"/>
              <w:gridCol w:w="107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vMerge w:val="restart"/>
                  <w:noWrap w:val="0"/>
                  <w:vAlign w:val="center"/>
                </w:tcPr>
                <w:p>
                  <w:pPr>
                    <w:autoSpaceDE w:val="0"/>
                    <w:autoSpaceDN w:val="0"/>
                    <w:adjustRightInd w:val="0"/>
                    <w:spacing w:line="240" w:lineRule="auto"/>
                    <w:jc w:val="center"/>
                    <w:rPr>
                      <w:b/>
                      <w:bCs/>
                      <w:color w:val="auto"/>
                      <w:kern w:val="0"/>
                      <w:szCs w:val="21"/>
                      <w:u w:val="single"/>
                    </w:rPr>
                  </w:pPr>
                  <w:r>
                    <w:rPr>
                      <w:b/>
                      <w:bCs/>
                      <w:color w:val="auto"/>
                      <w:kern w:val="0"/>
                      <w:szCs w:val="21"/>
                      <w:u w:val="single"/>
                      <w:lang w:bidi="ar"/>
                    </w:rPr>
                    <w:t>序号</w:t>
                  </w:r>
                </w:p>
              </w:tc>
              <w:tc>
                <w:tcPr>
                  <w:tcW w:w="1529" w:type="dxa"/>
                  <w:vMerge w:val="restart"/>
                  <w:noWrap w:val="0"/>
                  <w:vAlign w:val="center"/>
                </w:tcPr>
                <w:p>
                  <w:pPr>
                    <w:autoSpaceDE w:val="0"/>
                    <w:autoSpaceDN w:val="0"/>
                    <w:adjustRightInd w:val="0"/>
                    <w:spacing w:line="240" w:lineRule="auto"/>
                    <w:jc w:val="center"/>
                    <w:rPr>
                      <w:b/>
                      <w:bCs/>
                      <w:color w:val="auto"/>
                      <w:kern w:val="0"/>
                      <w:szCs w:val="21"/>
                      <w:highlight w:val="none"/>
                      <w:u w:val="single"/>
                    </w:rPr>
                  </w:pPr>
                  <w:r>
                    <w:rPr>
                      <w:b/>
                      <w:bCs/>
                      <w:color w:val="auto"/>
                      <w:kern w:val="0"/>
                      <w:szCs w:val="21"/>
                      <w:highlight w:val="none"/>
                      <w:u w:val="single"/>
                      <w:lang w:bidi="ar"/>
                    </w:rPr>
                    <w:t>名称</w:t>
                  </w:r>
                </w:p>
              </w:tc>
              <w:tc>
                <w:tcPr>
                  <w:tcW w:w="3017" w:type="dxa"/>
                  <w:gridSpan w:val="4"/>
                  <w:noWrap w:val="0"/>
                  <w:vAlign w:val="center"/>
                </w:tcPr>
                <w:p>
                  <w:pPr>
                    <w:autoSpaceDE w:val="0"/>
                    <w:autoSpaceDN w:val="0"/>
                    <w:adjustRightInd w:val="0"/>
                    <w:spacing w:line="240" w:lineRule="auto"/>
                    <w:jc w:val="center"/>
                    <w:rPr>
                      <w:rFonts w:hint="eastAsia"/>
                      <w:b/>
                      <w:bCs/>
                      <w:color w:val="auto"/>
                      <w:kern w:val="0"/>
                      <w:szCs w:val="21"/>
                      <w:highlight w:val="none"/>
                      <w:u w:val="single"/>
                      <w:lang w:eastAsia="zh-CN" w:bidi="ar"/>
                    </w:rPr>
                  </w:pPr>
                  <w:r>
                    <w:rPr>
                      <w:rFonts w:hint="eastAsia"/>
                      <w:b/>
                      <w:bCs/>
                      <w:color w:val="auto"/>
                      <w:kern w:val="0"/>
                      <w:szCs w:val="21"/>
                      <w:highlight w:val="none"/>
                      <w:u w:val="single"/>
                      <w:lang w:eastAsia="zh-CN" w:bidi="ar"/>
                    </w:rPr>
                    <w:t>设备数量</w:t>
                  </w:r>
                </w:p>
              </w:tc>
              <w:tc>
                <w:tcPr>
                  <w:tcW w:w="1805" w:type="dxa"/>
                  <w:vMerge w:val="restart"/>
                  <w:noWrap w:val="0"/>
                  <w:vAlign w:val="center"/>
                </w:tcPr>
                <w:p>
                  <w:pPr>
                    <w:autoSpaceDE w:val="0"/>
                    <w:autoSpaceDN w:val="0"/>
                    <w:adjustRightInd w:val="0"/>
                    <w:spacing w:line="240" w:lineRule="auto"/>
                    <w:jc w:val="center"/>
                    <w:rPr>
                      <w:rFonts w:hint="eastAsia"/>
                      <w:b/>
                      <w:bCs/>
                      <w:color w:val="auto"/>
                      <w:kern w:val="0"/>
                      <w:szCs w:val="21"/>
                      <w:highlight w:val="none"/>
                      <w:u w:val="single"/>
                      <w:lang w:eastAsia="zh-CN" w:bidi="ar"/>
                    </w:rPr>
                  </w:pPr>
                  <w:r>
                    <w:rPr>
                      <w:rFonts w:hint="eastAsia"/>
                      <w:b/>
                      <w:bCs/>
                      <w:color w:val="auto"/>
                      <w:kern w:val="0"/>
                      <w:szCs w:val="21"/>
                      <w:highlight w:val="none"/>
                      <w:u w:val="single"/>
                      <w:lang w:eastAsia="zh-CN" w:bidi="ar"/>
                    </w:rPr>
                    <w:t>型号</w:t>
                  </w:r>
                </w:p>
              </w:tc>
              <w:tc>
                <w:tcPr>
                  <w:tcW w:w="1077" w:type="dxa"/>
                  <w:vMerge w:val="restart"/>
                  <w:noWrap w:val="0"/>
                  <w:vAlign w:val="center"/>
                </w:tcPr>
                <w:p>
                  <w:pPr>
                    <w:autoSpaceDE w:val="0"/>
                    <w:autoSpaceDN w:val="0"/>
                    <w:adjustRightInd w:val="0"/>
                    <w:spacing w:line="240" w:lineRule="auto"/>
                    <w:jc w:val="center"/>
                    <w:rPr>
                      <w:rFonts w:hint="eastAsia" w:eastAsia="宋体"/>
                      <w:b/>
                      <w:bCs/>
                      <w:color w:val="auto"/>
                      <w:kern w:val="0"/>
                      <w:szCs w:val="21"/>
                      <w:highlight w:val="none"/>
                      <w:u w:val="single"/>
                      <w:lang w:eastAsia="zh-CN"/>
                    </w:rPr>
                  </w:pPr>
                  <w:r>
                    <w:rPr>
                      <w:rFonts w:hint="eastAsia"/>
                      <w:b/>
                      <w:bCs/>
                      <w:color w:val="auto"/>
                      <w:kern w:val="0"/>
                      <w:szCs w:val="21"/>
                      <w:highlight w:val="none"/>
                      <w:u w:val="single"/>
                      <w:lang w:eastAsia="zh-CN" w:bidi="ar"/>
                    </w:rPr>
                    <w:t>用途</w:t>
                  </w:r>
                </w:p>
              </w:tc>
              <w:tc>
                <w:tcPr>
                  <w:tcW w:w="1233" w:type="dxa"/>
                  <w:vMerge w:val="restart"/>
                  <w:noWrap w:val="0"/>
                  <w:vAlign w:val="center"/>
                </w:tcPr>
                <w:p>
                  <w:pPr>
                    <w:autoSpaceDE w:val="0"/>
                    <w:autoSpaceDN w:val="0"/>
                    <w:adjustRightInd w:val="0"/>
                    <w:spacing w:line="240" w:lineRule="auto"/>
                    <w:jc w:val="center"/>
                    <w:rPr>
                      <w:rFonts w:hint="eastAsia" w:eastAsia="宋体"/>
                      <w:b/>
                      <w:bCs/>
                      <w:color w:val="auto"/>
                      <w:kern w:val="0"/>
                      <w:szCs w:val="21"/>
                      <w:u w:val="single"/>
                      <w:lang w:eastAsia="zh-CN" w:bidi="ar"/>
                    </w:rPr>
                  </w:pPr>
                  <w:r>
                    <w:rPr>
                      <w:rFonts w:hint="eastAsia"/>
                      <w:b/>
                      <w:bCs/>
                      <w:color w:val="auto"/>
                      <w:kern w:val="0"/>
                      <w:szCs w:val="21"/>
                      <w:u w:val="single"/>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vMerge w:val="continue"/>
                  <w:noWrap w:val="0"/>
                  <w:vAlign w:val="center"/>
                </w:tcPr>
                <w:p>
                  <w:pPr>
                    <w:autoSpaceDE w:val="0"/>
                    <w:autoSpaceDN w:val="0"/>
                    <w:adjustRightInd w:val="0"/>
                    <w:spacing w:line="240" w:lineRule="auto"/>
                    <w:jc w:val="center"/>
                    <w:rPr>
                      <w:b/>
                      <w:bCs/>
                      <w:color w:val="auto"/>
                      <w:kern w:val="0"/>
                      <w:szCs w:val="21"/>
                      <w:u w:val="single"/>
                      <w:lang w:bidi="ar"/>
                    </w:rPr>
                  </w:pPr>
                </w:p>
              </w:tc>
              <w:tc>
                <w:tcPr>
                  <w:tcW w:w="1529" w:type="dxa"/>
                  <w:vMerge w:val="continue"/>
                  <w:noWrap w:val="0"/>
                  <w:vAlign w:val="center"/>
                </w:tcPr>
                <w:p>
                  <w:pPr>
                    <w:autoSpaceDE w:val="0"/>
                    <w:autoSpaceDN w:val="0"/>
                    <w:adjustRightInd w:val="0"/>
                    <w:spacing w:line="240" w:lineRule="auto"/>
                    <w:jc w:val="center"/>
                    <w:rPr>
                      <w:b/>
                      <w:bCs/>
                      <w:color w:val="auto"/>
                      <w:kern w:val="0"/>
                      <w:szCs w:val="21"/>
                      <w:highlight w:val="none"/>
                      <w:u w:val="single"/>
                      <w:lang w:bidi="ar"/>
                    </w:rPr>
                  </w:pPr>
                </w:p>
              </w:tc>
              <w:tc>
                <w:tcPr>
                  <w:tcW w:w="713" w:type="dxa"/>
                  <w:noWrap w:val="0"/>
                  <w:vAlign w:val="center"/>
                </w:tcPr>
                <w:p>
                  <w:pPr>
                    <w:autoSpaceDE w:val="0"/>
                    <w:autoSpaceDN w:val="0"/>
                    <w:adjustRightInd w:val="0"/>
                    <w:spacing w:line="240" w:lineRule="auto"/>
                    <w:jc w:val="center"/>
                    <w:rPr>
                      <w:rFonts w:hint="eastAsia"/>
                      <w:b/>
                      <w:bCs/>
                      <w:color w:val="auto"/>
                      <w:kern w:val="0"/>
                      <w:szCs w:val="21"/>
                      <w:highlight w:val="none"/>
                      <w:u w:val="single"/>
                      <w:lang w:val="en-US" w:eastAsia="zh-CN"/>
                    </w:rPr>
                  </w:pPr>
                  <w:r>
                    <w:rPr>
                      <w:b/>
                      <w:bCs/>
                      <w:color w:val="auto"/>
                      <w:kern w:val="0"/>
                      <w:szCs w:val="21"/>
                      <w:highlight w:val="none"/>
                      <w:u w:val="single"/>
                      <w:lang w:bidi="ar"/>
                    </w:rPr>
                    <w:t>单位</w:t>
                  </w:r>
                </w:p>
              </w:tc>
              <w:tc>
                <w:tcPr>
                  <w:tcW w:w="889" w:type="dxa"/>
                  <w:noWrap w:val="0"/>
                  <w:vAlign w:val="center"/>
                </w:tcPr>
                <w:p>
                  <w:pPr>
                    <w:autoSpaceDE w:val="0"/>
                    <w:autoSpaceDN w:val="0"/>
                    <w:adjustRightInd w:val="0"/>
                    <w:spacing w:line="240" w:lineRule="auto"/>
                    <w:jc w:val="center"/>
                    <w:rPr>
                      <w:rFonts w:hint="eastAsia"/>
                      <w:b/>
                      <w:bCs/>
                      <w:color w:val="auto"/>
                      <w:kern w:val="0"/>
                      <w:szCs w:val="21"/>
                      <w:highlight w:val="none"/>
                      <w:u w:val="single"/>
                      <w:lang w:eastAsia="zh-CN" w:bidi="ar"/>
                    </w:rPr>
                  </w:pPr>
                  <w:r>
                    <w:rPr>
                      <w:rFonts w:hint="eastAsia"/>
                      <w:b/>
                      <w:bCs/>
                      <w:color w:val="auto"/>
                      <w:kern w:val="0"/>
                      <w:szCs w:val="21"/>
                      <w:highlight w:val="none"/>
                      <w:u w:val="single"/>
                      <w:lang w:eastAsia="zh-CN" w:bidi="ar"/>
                    </w:rPr>
                    <w:t>改扩</w:t>
                  </w:r>
                </w:p>
                <w:p>
                  <w:pPr>
                    <w:autoSpaceDE w:val="0"/>
                    <w:autoSpaceDN w:val="0"/>
                    <w:adjustRightInd w:val="0"/>
                    <w:spacing w:line="240" w:lineRule="auto"/>
                    <w:jc w:val="center"/>
                    <w:rPr>
                      <w:b/>
                      <w:bCs/>
                      <w:color w:val="auto"/>
                      <w:kern w:val="0"/>
                      <w:szCs w:val="21"/>
                      <w:highlight w:val="none"/>
                      <w:u w:val="single"/>
                      <w:lang w:bidi="ar"/>
                    </w:rPr>
                  </w:pPr>
                  <w:r>
                    <w:rPr>
                      <w:rFonts w:hint="eastAsia"/>
                      <w:b/>
                      <w:bCs/>
                      <w:color w:val="auto"/>
                      <w:kern w:val="0"/>
                      <w:szCs w:val="21"/>
                      <w:highlight w:val="none"/>
                      <w:u w:val="single"/>
                      <w:lang w:eastAsia="zh-CN" w:bidi="ar"/>
                    </w:rPr>
                    <w:t>建前</w:t>
                  </w:r>
                </w:p>
              </w:tc>
              <w:tc>
                <w:tcPr>
                  <w:tcW w:w="695" w:type="dxa"/>
                  <w:noWrap w:val="0"/>
                  <w:vAlign w:val="center"/>
                </w:tcPr>
                <w:p>
                  <w:pPr>
                    <w:autoSpaceDE w:val="0"/>
                    <w:autoSpaceDN w:val="0"/>
                    <w:adjustRightInd w:val="0"/>
                    <w:spacing w:line="240" w:lineRule="auto"/>
                    <w:jc w:val="center"/>
                    <w:rPr>
                      <w:rFonts w:hint="eastAsia"/>
                      <w:b/>
                      <w:bCs/>
                      <w:color w:val="auto"/>
                      <w:kern w:val="0"/>
                      <w:szCs w:val="21"/>
                      <w:highlight w:val="none"/>
                      <w:u w:val="single"/>
                      <w:lang w:eastAsia="zh-CN" w:bidi="ar"/>
                    </w:rPr>
                  </w:pPr>
                  <w:r>
                    <w:rPr>
                      <w:rFonts w:hint="eastAsia"/>
                      <w:b/>
                      <w:bCs/>
                      <w:color w:val="auto"/>
                      <w:kern w:val="0"/>
                      <w:szCs w:val="21"/>
                      <w:highlight w:val="none"/>
                      <w:u w:val="single"/>
                      <w:lang w:eastAsia="zh-CN" w:bidi="ar"/>
                    </w:rPr>
                    <w:t>改扩建后</w:t>
                  </w:r>
                </w:p>
              </w:tc>
              <w:tc>
                <w:tcPr>
                  <w:tcW w:w="720" w:type="dxa"/>
                  <w:noWrap w:val="0"/>
                  <w:vAlign w:val="center"/>
                </w:tcPr>
                <w:p>
                  <w:pPr>
                    <w:autoSpaceDE w:val="0"/>
                    <w:autoSpaceDN w:val="0"/>
                    <w:adjustRightInd w:val="0"/>
                    <w:spacing w:line="240" w:lineRule="auto"/>
                    <w:jc w:val="center"/>
                    <w:rPr>
                      <w:b/>
                      <w:bCs/>
                      <w:color w:val="auto"/>
                      <w:kern w:val="0"/>
                      <w:szCs w:val="21"/>
                      <w:highlight w:val="none"/>
                      <w:u w:val="single"/>
                      <w:lang w:bidi="ar"/>
                    </w:rPr>
                  </w:pPr>
                  <w:r>
                    <w:rPr>
                      <w:rFonts w:hint="eastAsia"/>
                      <w:b/>
                      <w:bCs/>
                      <w:color w:val="auto"/>
                      <w:kern w:val="0"/>
                      <w:szCs w:val="21"/>
                      <w:highlight w:val="none"/>
                      <w:u w:val="single"/>
                      <w:lang w:eastAsia="zh-CN" w:bidi="ar"/>
                    </w:rPr>
                    <w:t>增减量</w:t>
                  </w:r>
                </w:p>
              </w:tc>
              <w:tc>
                <w:tcPr>
                  <w:tcW w:w="1805" w:type="dxa"/>
                  <w:vMerge w:val="continue"/>
                  <w:noWrap w:val="0"/>
                  <w:vAlign w:val="center"/>
                </w:tcPr>
                <w:p>
                  <w:pPr>
                    <w:autoSpaceDE w:val="0"/>
                    <w:autoSpaceDN w:val="0"/>
                    <w:adjustRightInd w:val="0"/>
                    <w:spacing w:line="240" w:lineRule="auto"/>
                    <w:jc w:val="center"/>
                    <w:rPr>
                      <w:rFonts w:hint="eastAsia"/>
                      <w:b/>
                      <w:bCs/>
                      <w:color w:val="auto"/>
                      <w:kern w:val="0"/>
                      <w:szCs w:val="21"/>
                      <w:highlight w:val="none"/>
                      <w:u w:val="single"/>
                      <w:lang w:eastAsia="zh-CN" w:bidi="ar"/>
                    </w:rPr>
                  </w:pPr>
                </w:p>
              </w:tc>
              <w:tc>
                <w:tcPr>
                  <w:tcW w:w="1077" w:type="dxa"/>
                  <w:vMerge w:val="continue"/>
                  <w:noWrap w:val="0"/>
                  <w:vAlign w:val="center"/>
                </w:tcPr>
                <w:p>
                  <w:pPr>
                    <w:autoSpaceDE w:val="0"/>
                    <w:autoSpaceDN w:val="0"/>
                    <w:adjustRightInd w:val="0"/>
                    <w:spacing w:line="240" w:lineRule="auto"/>
                    <w:jc w:val="center"/>
                    <w:rPr>
                      <w:rFonts w:hint="eastAsia"/>
                      <w:b/>
                      <w:bCs/>
                      <w:color w:val="auto"/>
                      <w:kern w:val="0"/>
                      <w:szCs w:val="21"/>
                      <w:highlight w:val="none"/>
                      <w:u w:val="single"/>
                      <w:lang w:eastAsia="zh-CN" w:bidi="ar"/>
                    </w:rPr>
                  </w:pPr>
                </w:p>
              </w:tc>
              <w:tc>
                <w:tcPr>
                  <w:tcW w:w="1233" w:type="dxa"/>
                  <w:vMerge w:val="continue"/>
                  <w:noWrap w:val="0"/>
                  <w:vAlign w:val="center"/>
                </w:tcPr>
                <w:p>
                  <w:pPr>
                    <w:autoSpaceDE w:val="0"/>
                    <w:autoSpaceDN w:val="0"/>
                    <w:adjustRightInd w:val="0"/>
                    <w:spacing w:line="240" w:lineRule="auto"/>
                    <w:jc w:val="center"/>
                    <w:rPr>
                      <w:rFonts w:hint="eastAsia"/>
                      <w:b/>
                      <w:bCs/>
                      <w:color w:val="auto"/>
                      <w:kern w:val="0"/>
                      <w:szCs w:val="21"/>
                      <w:u w:val="singl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auto"/>
                      <w:kern w:val="0"/>
                      <w:szCs w:val="21"/>
                      <w:u w:val="single"/>
                      <w:lang w:bidi="ar"/>
                    </w:rPr>
                  </w:pPr>
                </w:p>
              </w:tc>
              <w:tc>
                <w:tcPr>
                  <w:tcW w:w="1529" w:type="dxa"/>
                  <w:noWrap w:val="0"/>
                  <w:vAlign w:val="center"/>
                </w:tcPr>
                <w:p>
                  <w:pPr>
                    <w:spacing w:line="240" w:lineRule="auto"/>
                    <w:jc w:val="center"/>
                    <w:rPr>
                      <w:rFonts w:hAnsi="宋体"/>
                      <w:color w:val="auto"/>
                      <w:szCs w:val="21"/>
                      <w:u w:val="single"/>
                    </w:rPr>
                  </w:pPr>
                  <w:r>
                    <w:rPr>
                      <w:rFonts w:hAnsi="宋体"/>
                      <w:color w:val="auto"/>
                      <w:szCs w:val="21"/>
                      <w:u w:val="single"/>
                    </w:rPr>
                    <w:t>涂膜槽</w:t>
                  </w:r>
                </w:p>
              </w:tc>
              <w:tc>
                <w:tcPr>
                  <w:tcW w:w="713" w:type="dxa"/>
                  <w:noWrap w:val="0"/>
                  <w:vAlign w:val="center"/>
                </w:tcPr>
                <w:p>
                  <w:pPr>
                    <w:spacing w:line="240" w:lineRule="auto"/>
                    <w:jc w:val="center"/>
                    <w:rPr>
                      <w:rFonts w:hint="eastAsia"/>
                      <w:b/>
                      <w:bCs/>
                      <w:color w:val="auto"/>
                      <w:kern w:val="0"/>
                      <w:szCs w:val="21"/>
                      <w:u w:val="single"/>
                      <w:lang w:val="en-US" w:eastAsia="zh-CN"/>
                    </w:rPr>
                  </w:pPr>
                  <w:r>
                    <w:rPr>
                      <w:rFonts w:hAnsi="宋体"/>
                      <w:color w:val="auto"/>
                      <w:szCs w:val="21"/>
                      <w:u w:val="single"/>
                    </w:rPr>
                    <w:t>台</w:t>
                  </w:r>
                </w:p>
              </w:tc>
              <w:tc>
                <w:tcPr>
                  <w:tcW w:w="889" w:type="dxa"/>
                  <w:noWrap w:val="0"/>
                  <w:vAlign w:val="center"/>
                </w:tcPr>
                <w:p>
                  <w:pPr>
                    <w:spacing w:line="240" w:lineRule="auto"/>
                    <w:jc w:val="center"/>
                    <w:rPr>
                      <w:rFonts w:hAnsi="宋体"/>
                      <w:color w:val="auto"/>
                      <w:szCs w:val="21"/>
                      <w:u w:val="single"/>
                    </w:rPr>
                  </w:pPr>
                  <w:r>
                    <w:rPr>
                      <w:rFonts w:ascii="Times New Roman" w:hAnsi="Times New Roman" w:eastAsia="宋体" w:cs="Times New Roman"/>
                      <w:b w:val="0"/>
                      <w:bCs w:val="0"/>
                      <w:color w:val="auto"/>
                      <w:kern w:val="0"/>
                      <w:szCs w:val="21"/>
                      <w:u w:val="single"/>
                      <w:lang w:bidi="ar"/>
                    </w:rPr>
                    <w:t>2</w:t>
                  </w:r>
                </w:p>
              </w:tc>
              <w:tc>
                <w:tcPr>
                  <w:tcW w:w="695" w:type="dxa"/>
                  <w:noWrap w:val="0"/>
                  <w:vAlign w:val="center"/>
                </w:tcPr>
                <w:p>
                  <w:pPr>
                    <w:spacing w:line="240" w:lineRule="auto"/>
                    <w:jc w:val="center"/>
                    <w:rPr>
                      <w:rFonts w:hint="eastAsia" w:cs="Times New Roman"/>
                      <w:b w:val="0"/>
                      <w:bCs w:val="0"/>
                      <w:color w:val="auto"/>
                      <w:sz w:val="21"/>
                      <w:szCs w:val="21"/>
                      <w:highlight w:val="none"/>
                      <w:u w:val="single"/>
                      <w:lang w:val="en-US" w:eastAsia="zh-CN"/>
                    </w:rPr>
                  </w:pPr>
                  <w:r>
                    <w:rPr>
                      <w:rFonts w:hint="eastAsia" w:cs="Times New Roman"/>
                      <w:b w:val="0"/>
                      <w:bCs w:val="0"/>
                      <w:color w:val="auto"/>
                      <w:kern w:val="0"/>
                      <w:szCs w:val="21"/>
                      <w:u w:val="single"/>
                      <w:lang w:val="en-US" w:eastAsia="zh-CN" w:bidi="ar"/>
                    </w:rPr>
                    <w:t>10</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u w:val="single"/>
                      <w:lang w:val="en-US" w:eastAsia="zh-CN" w:bidi="ar"/>
                    </w:rPr>
                  </w:pPr>
                  <w:r>
                    <w:rPr>
                      <w:rFonts w:hint="eastAsia"/>
                      <w:color w:val="auto"/>
                      <w:kern w:val="0"/>
                      <w:szCs w:val="21"/>
                      <w:u w:val="single"/>
                      <w:lang w:val="en-US" w:eastAsia="zh-CN"/>
                    </w:rPr>
                    <w:t>+8</w:t>
                  </w:r>
                </w:p>
              </w:tc>
              <w:tc>
                <w:tcPr>
                  <w:tcW w:w="1805" w:type="dxa"/>
                  <w:noWrap w:val="0"/>
                  <w:vAlign w:val="center"/>
                </w:tcPr>
                <w:p>
                  <w:pPr>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cs="Times New Roman"/>
                      <w:b w:val="0"/>
                      <w:bCs w:val="0"/>
                      <w:color w:val="auto"/>
                      <w:sz w:val="21"/>
                      <w:szCs w:val="21"/>
                      <w:highlight w:val="none"/>
                      <w:u w:val="single"/>
                      <w:lang w:val="en-US" w:eastAsia="zh-CN"/>
                    </w:rPr>
                    <w:t>0.9m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0.6m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0.5m</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润滑钢丝便于拉丝</w:t>
                  </w:r>
                </w:p>
              </w:tc>
              <w:tc>
                <w:tcPr>
                  <w:tcW w:w="1233" w:type="dxa"/>
                  <w:noWrap w:val="0"/>
                  <w:vAlign w:val="center"/>
                </w:tcPr>
                <w:p>
                  <w:pPr>
                    <w:autoSpaceDE w:val="0"/>
                    <w:autoSpaceDN w:val="0"/>
                    <w:adjustRightInd w:val="0"/>
                    <w:spacing w:line="240" w:lineRule="auto"/>
                    <w:jc w:val="center"/>
                    <w:rPr>
                      <w:rFonts w:hint="eastAsia" w:eastAsia="宋体"/>
                      <w:b w:val="0"/>
                      <w:bCs w:val="0"/>
                      <w:color w:val="auto"/>
                      <w:kern w:val="0"/>
                      <w:szCs w:val="21"/>
                      <w:u w:val="single"/>
                      <w:lang w:val="en-US" w:eastAsia="zh-CN"/>
                    </w:rPr>
                  </w:pPr>
                  <w:r>
                    <w:rPr>
                      <w:rFonts w:hint="eastAsia"/>
                      <w:b w:val="0"/>
                      <w:bCs w:val="0"/>
                      <w:color w:val="auto"/>
                      <w:kern w:val="0"/>
                      <w:szCs w:val="21"/>
                      <w:u w:val="single"/>
                      <w:lang w:val="en-US" w:eastAsia="zh-CN" w:bidi="ar"/>
                    </w:rPr>
                    <w:t>利旧</w:t>
                  </w:r>
                  <w:r>
                    <w:rPr>
                      <w:rFonts w:hint="eastAsia"/>
                      <w:color w:val="auto"/>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收线机</w:t>
                  </w:r>
                </w:p>
              </w:tc>
              <w:tc>
                <w:tcPr>
                  <w:tcW w:w="713" w:type="dxa"/>
                  <w:noWrap w:val="0"/>
                  <w:vAlign w:val="center"/>
                </w:tcPr>
                <w:p>
                  <w:pPr>
                    <w:spacing w:line="240" w:lineRule="auto"/>
                    <w:jc w:val="center"/>
                    <w:rPr>
                      <w:rFonts w:hint="eastAsia"/>
                      <w:b/>
                      <w:bCs/>
                      <w:color w:val="auto"/>
                      <w:kern w:val="0"/>
                      <w:szCs w:val="21"/>
                      <w:u w:val="single"/>
                      <w:lang w:val="en-US" w:eastAsia="zh-CN"/>
                    </w:rPr>
                  </w:pPr>
                  <w:r>
                    <w:rPr>
                      <w:rFonts w:hAnsi="宋体"/>
                      <w:color w:val="auto"/>
                      <w:szCs w:val="21"/>
                      <w:u w:val="single"/>
                    </w:rPr>
                    <w:t>台</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2</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4</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+2</w:t>
                  </w:r>
                </w:p>
              </w:tc>
              <w:tc>
                <w:tcPr>
                  <w:tcW w:w="1805"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cs="Times New Roman"/>
                      <w:b w:val="0"/>
                      <w:bCs w:val="0"/>
                      <w:color w:val="auto"/>
                      <w:kern w:val="0"/>
                      <w:szCs w:val="21"/>
                      <w:highlight w:val="none"/>
                      <w:u w:val="single"/>
                      <w:lang w:val="en-US" w:eastAsia="zh-CN" w:bidi="ar"/>
                    </w:rPr>
                    <w:t>SG800</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收成大卷</w:t>
                  </w:r>
                </w:p>
              </w:tc>
              <w:tc>
                <w:tcPr>
                  <w:tcW w:w="1233" w:type="dxa"/>
                  <w:noWrap w:val="0"/>
                  <w:vAlign w:val="center"/>
                </w:tcPr>
                <w:p>
                  <w:pPr>
                    <w:autoSpaceDE w:val="0"/>
                    <w:autoSpaceDN w:val="0"/>
                    <w:adjustRightInd w:val="0"/>
                    <w:spacing w:line="240" w:lineRule="auto"/>
                    <w:jc w:val="center"/>
                    <w:rPr>
                      <w:rFonts w:hint="eastAsia"/>
                      <w:b w:val="0"/>
                      <w:bCs w:val="0"/>
                      <w:color w:val="auto"/>
                      <w:kern w:val="0"/>
                      <w:szCs w:val="21"/>
                      <w:u w:val="single"/>
                      <w:lang w:eastAsia="zh-CN" w:bidi="ar"/>
                    </w:rPr>
                  </w:pPr>
                  <w:r>
                    <w:rPr>
                      <w:rFonts w:hint="eastAsia"/>
                      <w:b w:val="0"/>
                      <w:bCs w:val="0"/>
                      <w:color w:val="auto"/>
                      <w:kern w:val="0"/>
                      <w:szCs w:val="21"/>
                      <w:u w:val="single"/>
                      <w:lang w:val="en-US" w:eastAsia="zh-CN" w:bidi="ar"/>
                    </w:rPr>
                    <w:t>利旧</w:t>
                  </w:r>
                  <w:r>
                    <w:rPr>
                      <w:rFonts w:hint="eastAsia"/>
                      <w:color w:val="auto"/>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eastAsia="宋体"/>
                      <w:color w:val="auto"/>
                      <w:szCs w:val="21"/>
                      <w:u w:val="single"/>
                      <w:lang w:eastAsia="zh-CN"/>
                    </w:rPr>
                  </w:pPr>
                  <w:r>
                    <w:rPr>
                      <w:rFonts w:hint="eastAsia" w:hAnsi="宋体"/>
                      <w:color w:val="auto"/>
                      <w:szCs w:val="21"/>
                      <w:u w:val="single"/>
                      <w:lang w:eastAsia="zh-CN"/>
                    </w:rPr>
                    <w:t>拉丝机</w:t>
                  </w:r>
                </w:p>
              </w:tc>
              <w:tc>
                <w:tcPr>
                  <w:tcW w:w="713" w:type="dxa"/>
                  <w:noWrap w:val="0"/>
                  <w:vAlign w:val="center"/>
                </w:tcPr>
                <w:p>
                  <w:pPr>
                    <w:spacing w:line="240" w:lineRule="auto"/>
                    <w:jc w:val="center"/>
                    <w:rPr>
                      <w:rFonts w:hAnsi="宋体"/>
                      <w:color w:val="auto"/>
                      <w:szCs w:val="21"/>
                      <w:u w:val="single"/>
                    </w:rPr>
                  </w:pPr>
                  <w:r>
                    <w:rPr>
                      <w:rFonts w:hAnsi="宋体"/>
                      <w:color w:val="auto"/>
                      <w:szCs w:val="21"/>
                      <w:u w:val="single"/>
                    </w:rPr>
                    <w:t>台</w:t>
                  </w:r>
                </w:p>
              </w:tc>
              <w:tc>
                <w:tcPr>
                  <w:tcW w:w="889"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hAnsi="宋体"/>
                      <w:color w:val="auto"/>
                      <w:szCs w:val="21"/>
                      <w:u w:val="single"/>
                      <w:lang w:val="en-US" w:eastAsia="zh-CN"/>
                    </w:rPr>
                    <w:t>0</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cs="Times New Roman"/>
                      <w:b w:val="0"/>
                      <w:bCs w:val="0"/>
                      <w:color w:val="auto"/>
                      <w:kern w:val="0"/>
                      <w:szCs w:val="21"/>
                      <w:u w:val="single"/>
                      <w:lang w:val="en-US" w:eastAsia="zh-CN" w:bidi="ar"/>
                    </w:rPr>
                    <w:t>2</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u w:val="single"/>
                      <w:lang w:val="en-US" w:eastAsia="zh-CN" w:bidi="ar"/>
                    </w:rPr>
                  </w:pPr>
                  <w:r>
                    <w:rPr>
                      <w:rFonts w:hint="eastAsia"/>
                      <w:color w:val="auto"/>
                      <w:kern w:val="0"/>
                      <w:szCs w:val="21"/>
                      <w:u w:val="single"/>
                      <w:lang w:val="en-US" w:eastAsia="zh-CN"/>
                    </w:rPr>
                    <w:t>+2</w:t>
                  </w:r>
                </w:p>
              </w:tc>
              <w:tc>
                <w:tcPr>
                  <w:tcW w:w="1805"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b w:val="0"/>
                      <w:bCs w:val="0"/>
                      <w:color w:val="auto"/>
                      <w:kern w:val="0"/>
                      <w:szCs w:val="21"/>
                      <w:highlight w:val="none"/>
                      <w:u w:val="single"/>
                      <w:lang w:val="en-US" w:eastAsia="zh-CN" w:bidi="ar"/>
                    </w:rPr>
                    <w:t>LZ8/560</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s="Times New Roman"/>
                      <w:b w:val="0"/>
                      <w:bCs w:val="0"/>
                      <w:color w:val="auto"/>
                      <w:kern w:val="0"/>
                      <w:szCs w:val="21"/>
                      <w:u w:val="single"/>
                      <w:lang w:val="en-US" w:eastAsia="zh-CN" w:bidi="ar"/>
                    </w:rPr>
                    <w:t>粗拉</w:t>
                  </w:r>
                </w:p>
              </w:tc>
              <w:tc>
                <w:tcPr>
                  <w:tcW w:w="1233" w:type="dxa"/>
                  <w:noWrap w:val="0"/>
                  <w:vAlign w:val="center"/>
                </w:tcPr>
                <w:p>
                  <w:pPr>
                    <w:autoSpaceDE w:val="0"/>
                    <w:autoSpaceDN w:val="0"/>
                    <w:adjustRightInd w:val="0"/>
                    <w:spacing w:line="240" w:lineRule="auto"/>
                    <w:jc w:val="center"/>
                    <w:rPr>
                      <w:rFonts w:hint="eastAsia"/>
                      <w:b w:val="0"/>
                      <w:bCs w:val="0"/>
                      <w:color w:val="auto"/>
                      <w:kern w:val="0"/>
                      <w:szCs w:val="21"/>
                      <w:u w:val="single"/>
                      <w:lang w:eastAsia="zh-CN"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u w:val="single"/>
                      <w:lang w:eastAsia="zh-CN"/>
                    </w:rPr>
                  </w:pPr>
                  <w:r>
                    <w:rPr>
                      <w:rFonts w:hint="eastAsia" w:hAnsi="宋体"/>
                      <w:color w:val="auto"/>
                      <w:szCs w:val="21"/>
                      <w:u w:val="single"/>
                      <w:lang w:eastAsia="zh-CN"/>
                    </w:rPr>
                    <w:t>细拉机</w:t>
                  </w:r>
                </w:p>
              </w:tc>
              <w:tc>
                <w:tcPr>
                  <w:tcW w:w="713" w:type="dxa"/>
                  <w:noWrap w:val="0"/>
                  <w:vAlign w:val="center"/>
                </w:tcPr>
                <w:p>
                  <w:pPr>
                    <w:spacing w:line="240" w:lineRule="auto"/>
                    <w:jc w:val="center"/>
                    <w:rPr>
                      <w:rFonts w:hAnsi="宋体"/>
                      <w:color w:val="auto"/>
                      <w:szCs w:val="21"/>
                      <w:u w:val="single"/>
                    </w:rPr>
                  </w:pPr>
                  <w:r>
                    <w:rPr>
                      <w:rFonts w:hAnsi="宋体"/>
                      <w:color w:val="auto"/>
                      <w:szCs w:val="21"/>
                      <w:u w:val="single"/>
                    </w:rPr>
                    <w:t>台</w:t>
                  </w:r>
                </w:p>
              </w:tc>
              <w:tc>
                <w:tcPr>
                  <w:tcW w:w="889"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s="Times New Roman"/>
                      <w:b w:val="0"/>
                      <w:bCs w:val="0"/>
                      <w:color w:val="auto"/>
                      <w:kern w:val="0"/>
                      <w:szCs w:val="21"/>
                      <w:u w:val="single"/>
                      <w:lang w:val="en-US" w:eastAsia="zh-CN" w:bidi="ar"/>
                    </w:rPr>
                    <w:t>2</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4</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+2</w:t>
                  </w:r>
                </w:p>
              </w:tc>
              <w:tc>
                <w:tcPr>
                  <w:tcW w:w="1805"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b w:val="0"/>
                      <w:bCs w:val="0"/>
                      <w:color w:val="auto"/>
                      <w:kern w:val="0"/>
                      <w:szCs w:val="21"/>
                      <w:highlight w:val="none"/>
                      <w:u w:val="single"/>
                      <w:lang w:val="en-US" w:eastAsia="zh-CN" w:bidi="ar"/>
                    </w:rPr>
                    <w:t>LZ10/400</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s="Times New Roman"/>
                      <w:b w:val="0"/>
                      <w:bCs w:val="0"/>
                      <w:color w:val="auto"/>
                      <w:kern w:val="0"/>
                      <w:szCs w:val="21"/>
                      <w:u w:val="single"/>
                      <w:lang w:val="en-US" w:eastAsia="zh-CN" w:bidi="ar"/>
                    </w:rPr>
                    <w:t>拉丝</w:t>
                  </w:r>
                </w:p>
              </w:tc>
              <w:tc>
                <w:tcPr>
                  <w:tcW w:w="1233" w:type="dxa"/>
                  <w:noWrap w:val="0"/>
                  <w:vAlign w:val="center"/>
                </w:tcPr>
                <w:p>
                  <w:pPr>
                    <w:autoSpaceDE w:val="0"/>
                    <w:autoSpaceDN w:val="0"/>
                    <w:adjustRightInd w:val="0"/>
                    <w:spacing w:line="240" w:lineRule="auto"/>
                    <w:jc w:val="center"/>
                    <w:rPr>
                      <w:rFonts w:hint="eastAsia"/>
                      <w:b w:val="0"/>
                      <w:bCs w:val="0"/>
                      <w:color w:val="auto"/>
                      <w:kern w:val="0"/>
                      <w:szCs w:val="21"/>
                      <w:u w:val="single"/>
                      <w:lang w:eastAsia="zh-CN" w:bidi="ar"/>
                    </w:rPr>
                  </w:pPr>
                  <w:r>
                    <w:rPr>
                      <w:rFonts w:hint="eastAsia"/>
                      <w:b w:val="0"/>
                      <w:bCs w:val="0"/>
                      <w:color w:val="auto"/>
                      <w:kern w:val="0"/>
                      <w:szCs w:val="21"/>
                      <w:u w:val="single"/>
                      <w:lang w:val="en-US" w:eastAsia="zh-CN" w:bidi="ar"/>
                    </w:rPr>
                    <w:t>利旧</w:t>
                  </w:r>
                  <w:r>
                    <w:rPr>
                      <w:rFonts w:hint="eastAsia"/>
                      <w:color w:val="auto"/>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切丝机</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台</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2</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6</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+4</w:t>
                  </w:r>
                </w:p>
              </w:tc>
              <w:tc>
                <w:tcPr>
                  <w:tcW w:w="1805"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b w:val="0"/>
                      <w:bCs w:val="0"/>
                      <w:color w:val="auto"/>
                      <w:kern w:val="0"/>
                      <w:szCs w:val="21"/>
                      <w:highlight w:val="none"/>
                      <w:u w:val="single"/>
                      <w:lang w:val="en-US" w:eastAsia="zh-CN" w:bidi="ar"/>
                    </w:rPr>
                    <w:t>QD-1,φ1.6-φ4.0</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将长线切成小段</w:t>
                  </w:r>
                </w:p>
              </w:tc>
              <w:tc>
                <w:tcPr>
                  <w:tcW w:w="1233" w:type="dxa"/>
                  <w:noWrap w:val="0"/>
                  <w:vAlign w:val="center"/>
                </w:tcPr>
                <w:p>
                  <w:pPr>
                    <w:autoSpaceDE w:val="0"/>
                    <w:autoSpaceDN w:val="0"/>
                    <w:adjustRightInd w:val="0"/>
                    <w:spacing w:line="240" w:lineRule="auto"/>
                    <w:jc w:val="center"/>
                    <w:rPr>
                      <w:rFonts w:hint="default"/>
                      <w:b w:val="0"/>
                      <w:bCs w:val="0"/>
                      <w:color w:val="auto"/>
                      <w:kern w:val="0"/>
                      <w:szCs w:val="21"/>
                      <w:u w:val="single"/>
                      <w:lang w:val="en-US" w:bidi="ar"/>
                    </w:rPr>
                  </w:pPr>
                  <w:r>
                    <w:rPr>
                      <w:rFonts w:hint="eastAsia"/>
                      <w:b w:val="0"/>
                      <w:bCs w:val="0"/>
                      <w:color w:val="auto"/>
                      <w:kern w:val="0"/>
                      <w:szCs w:val="21"/>
                      <w:u w:val="single"/>
                      <w:lang w:val="en-US" w:eastAsia="zh-CN" w:bidi="ar"/>
                    </w:rPr>
                    <w:t>利旧</w:t>
                  </w:r>
                  <w:r>
                    <w:rPr>
                      <w:rFonts w:hint="eastAsia"/>
                      <w:color w:val="auto"/>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行车</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台</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2</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2</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0</w:t>
                  </w:r>
                </w:p>
              </w:tc>
              <w:tc>
                <w:tcPr>
                  <w:tcW w:w="1805"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b w:val="0"/>
                      <w:bCs w:val="0"/>
                      <w:color w:val="auto"/>
                      <w:kern w:val="0"/>
                      <w:szCs w:val="21"/>
                      <w:highlight w:val="none"/>
                      <w:u w:val="single"/>
                      <w:lang w:val="en-US" w:eastAsia="zh-CN" w:bidi="ar"/>
                    </w:rPr>
                    <w:t>钢丝绳5T</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s="Times New Roman"/>
                      <w:b w:val="0"/>
                      <w:bCs w:val="0"/>
                      <w:color w:val="auto"/>
                      <w:kern w:val="0"/>
                      <w:szCs w:val="21"/>
                      <w:u w:val="single"/>
                      <w:lang w:val="en-US" w:eastAsia="zh-CN" w:bidi="ar"/>
                    </w:rPr>
                    <w:t>装卸</w:t>
                  </w:r>
                </w:p>
              </w:tc>
              <w:tc>
                <w:tcPr>
                  <w:tcW w:w="1233" w:type="dxa"/>
                  <w:noWrap w:val="0"/>
                  <w:vAlign w:val="center"/>
                </w:tcPr>
                <w:p>
                  <w:pPr>
                    <w:autoSpaceDE w:val="0"/>
                    <w:autoSpaceDN w:val="0"/>
                    <w:adjustRightInd w:val="0"/>
                    <w:spacing w:line="240" w:lineRule="auto"/>
                    <w:jc w:val="center"/>
                    <w:rPr>
                      <w:b w:val="0"/>
                      <w:bCs w:val="0"/>
                      <w:color w:val="auto"/>
                      <w:kern w:val="0"/>
                      <w:szCs w:val="21"/>
                      <w:u w:val="single"/>
                      <w:lang w:bidi="ar"/>
                    </w:rPr>
                  </w:pPr>
                  <w:r>
                    <w:rPr>
                      <w:rFonts w:hint="eastAsia"/>
                      <w:b w:val="0"/>
                      <w:bCs w:val="0"/>
                      <w:color w:val="auto"/>
                      <w:kern w:val="0"/>
                      <w:szCs w:val="21"/>
                      <w:u w:val="single"/>
                      <w:lang w:val="en-US" w:eastAsia="zh-CN" w:bidi="ar"/>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酸洗槽</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座</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1</w:t>
                  </w:r>
                </w:p>
              </w:tc>
              <w:tc>
                <w:tcPr>
                  <w:tcW w:w="695" w:type="dxa"/>
                  <w:noWrap w:val="0"/>
                  <w:vAlign w:val="center"/>
                </w:tcPr>
                <w:p>
                  <w:pPr>
                    <w:spacing w:line="240" w:lineRule="auto"/>
                    <w:jc w:val="center"/>
                    <w:rPr>
                      <w:rFonts w:hint="eastAsia" w:cs="Times New Roman"/>
                      <w:b w:val="0"/>
                      <w:bCs w:val="0"/>
                      <w:color w:val="auto"/>
                      <w:sz w:val="21"/>
                      <w:szCs w:val="21"/>
                      <w:highlight w:val="none"/>
                      <w:u w:val="single"/>
                      <w:lang w:val="en-US" w:eastAsia="zh-CN"/>
                    </w:rPr>
                  </w:pPr>
                  <w:r>
                    <w:rPr>
                      <w:rFonts w:hint="eastAsia" w:cs="Times New Roman"/>
                      <w:b w:val="0"/>
                      <w:bCs w:val="0"/>
                      <w:color w:val="auto"/>
                      <w:kern w:val="0"/>
                      <w:szCs w:val="21"/>
                      <w:u w:val="single"/>
                      <w:lang w:val="en-US" w:eastAsia="zh-CN" w:bidi="ar"/>
                    </w:rPr>
                    <w:t>5</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u w:val="single"/>
                      <w:lang w:val="en-US" w:eastAsia="zh-CN" w:bidi="ar"/>
                    </w:rPr>
                  </w:pPr>
                  <w:r>
                    <w:rPr>
                      <w:rFonts w:hint="eastAsia"/>
                      <w:color w:val="auto"/>
                      <w:kern w:val="0"/>
                      <w:szCs w:val="21"/>
                      <w:u w:val="single"/>
                      <w:lang w:val="en-US" w:eastAsia="zh-CN"/>
                    </w:rPr>
                    <w:t>+4</w:t>
                  </w:r>
                </w:p>
              </w:tc>
              <w:tc>
                <w:tcPr>
                  <w:tcW w:w="1805" w:type="dxa"/>
                  <w:noWrap w:val="0"/>
                  <w:vAlign w:val="center"/>
                </w:tcPr>
                <w:p>
                  <w:pPr>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cs="Times New Roman"/>
                      <w:b w:val="0"/>
                      <w:bCs w:val="0"/>
                      <w:color w:val="auto"/>
                      <w:sz w:val="21"/>
                      <w:szCs w:val="21"/>
                      <w:highlight w:val="none"/>
                      <w:u w:val="single"/>
                      <w:lang w:val="en-US" w:eastAsia="zh-CN"/>
                    </w:rPr>
                    <w:t>6.5m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0.7m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0.7m</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电解酸洗</w:t>
                  </w:r>
                </w:p>
              </w:tc>
              <w:tc>
                <w:tcPr>
                  <w:tcW w:w="1233" w:type="dxa"/>
                  <w:noWrap w:val="0"/>
                  <w:vAlign w:val="center"/>
                </w:tcPr>
                <w:p>
                  <w:pPr>
                    <w:autoSpaceDE w:val="0"/>
                    <w:autoSpaceDN w:val="0"/>
                    <w:adjustRightInd w:val="0"/>
                    <w:spacing w:line="240" w:lineRule="auto"/>
                    <w:jc w:val="center"/>
                    <w:rPr>
                      <w:b w:val="0"/>
                      <w:bCs w:val="0"/>
                      <w:color w:val="auto"/>
                      <w:kern w:val="0"/>
                      <w:szCs w:val="21"/>
                      <w:u w:val="single"/>
                      <w:lang w:bidi="ar"/>
                    </w:rPr>
                  </w:pPr>
                  <w:r>
                    <w:rPr>
                      <w:rFonts w:hint="eastAsia"/>
                      <w:b w:val="0"/>
                      <w:bCs w:val="0"/>
                      <w:color w:val="auto"/>
                      <w:kern w:val="0"/>
                      <w:szCs w:val="21"/>
                      <w:u w:val="single"/>
                      <w:lang w:val="en-US" w:eastAsia="zh-CN" w:bidi="ar"/>
                    </w:rPr>
                    <w:t>利旧</w:t>
                  </w:r>
                  <w:r>
                    <w:rPr>
                      <w:rFonts w:hint="eastAsia"/>
                      <w:color w:val="auto"/>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碱洗槽</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座</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1</w:t>
                  </w:r>
                </w:p>
              </w:tc>
              <w:tc>
                <w:tcPr>
                  <w:tcW w:w="695" w:type="dxa"/>
                  <w:noWrap w:val="0"/>
                  <w:vAlign w:val="center"/>
                </w:tcPr>
                <w:p>
                  <w:pPr>
                    <w:spacing w:line="240" w:lineRule="auto"/>
                    <w:jc w:val="center"/>
                    <w:rPr>
                      <w:rFonts w:hint="eastAsia" w:cs="Times New Roman"/>
                      <w:b w:val="0"/>
                      <w:bCs w:val="0"/>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0</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-1</w:t>
                  </w:r>
                </w:p>
              </w:tc>
              <w:tc>
                <w:tcPr>
                  <w:tcW w:w="1805" w:type="dxa"/>
                  <w:noWrap w:val="0"/>
                  <w:vAlign w:val="center"/>
                </w:tcPr>
                <w:p>
                  <w:pPr>
                    <w:spacing w:line="240" w:lineRule="auto"/>
                    <w:jc w:val="center"/>
                    <w:rPr>
                      <w:rFonts w:hint="eastAsia" w:ascii="Times New Roman" w:hAnsi="Times New Roman" w:eastAsia="宋体" w:cs="Times New Roman"/>
                      <w:b w:val="0"/>
                      <w:bCs w:val="0"/>
                      <w:color w:val="auto"/>
                      <w:kern w:val="0"/>
                      <w:szCs w:val="21"/>
                      <w:highlight w:val="none"/>
                      <w:u w:val="single"/>
                      <w:lang w:val="en-US" w:eastAsia="zh-CN" w:bidi="ar"/>
                    </w:rPr>
                  </w:pPr>
                  <w:r>
                    <w:rPr>
                      <w:rFonts w:hint="eastAsia" w:cs="Times New Roman"/>
                      <w:b w:val="0"/>
                      <w:bCs w:val="0"/>
                      <w:color w:val="auto"/>
                      <w:kern w:val="0"/>
                      <w:szCs w:val="21"/>
                      <w:highlight w:val="none"/>
                      <w:u w:val="single"/>
                      <w:lang w:val="en-US" w:eastAsia="zh-CN" w:bidi="ar"/>
                    </w:rPr>
                    <w:t>JX-100</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s="Times New Roman"/>
                      <w:b w:val="0"/>
                      <w:bCs w:val="0"/>
                      <w:color w:val="auto"/>
                      <w:kern w:val="0"/>
                      <w:szCs w:val="21"/>
                      <w:u w:val="single"/>
                      <w:lang w:val="en-US" w:eastAsia="zh-CN" w:bidi="ar"/>
                    </w:rPr>
                    <w:t>/</w:t>
                  </w:r>
                </w:p>
              </w:tc>
              <w:tc>
                <w:tcPr>
                  <w:tcW w:w="1233" w:type="dxa"/>
                  <w:noWrap w:val="0"/>
                  <w:vAlign w:val="center"/>
                </w:tcPr>
                <w:p>
                  <w:pPr>
                    <w:autoSpaceDE w:val="0"/>
                    <w:autoSpaceDN w:val="0"/>
                    <w:adjustRightInd w:val="0"/>
                    <w:spacing w:line="240" w:lineRule="auto"/>
                    <w:jc w:val="center"/>
                    <w:rPr>
                      <w:b/>
                      <w:bCs/>
                      <w:color w:val="auto"/>
                      <w:kern w:val="0"/>
                      <w:szCs w:val="21"/>
                      <w:u w:val="single"/>
                      <w:lang w:bidi="ar"/>
                    </w:rPr>
                  </w:pPr>
                  <w:r>
                    <w:rPr>
                      <w:rFonts w:hint="eastAsia"/>
                      <w:b/>
                      <w:bCs/>
                      <w:color w:val="auto"/>
                      <w:kern w:val="0"/>
                      <w:szCs w:val="21"/>
                      <w:u w:val="singl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乳化槽</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座</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1</w:t>
                  </w:r>
                </w:p>
              </w:tc>
              <w:tc>
                <w:tcPr>
                  <w:tcW w:w="695" w:type="dxa"/>
                  <w:noWrap w:val="0"/>
                  <w:vAlign w:val="center"/>
                </w:tcPr>
                <w:p>
                  <w:pPr>
                    <w:spacing w:line="240" w:lineRule="auto"/>
                    <w:jc w:val="center"/>
                    <w:rPr>
                      <w:rFonts w:hint="eastAsia" w:cs="Times New Roman"/>
                      <w:b w:val="0"/>
                      <w:bCs w:val="0"/>
                      <w:color w:val="auto"/>
                      <w:kern w:val="0"/>
                      <w:szCs w:val="21"/>
                      <w:u w:val="single"/>
                      <w:lang w:val="en-US" w:eastAsia="zh-CN" w:bidi="ar"/>
                    </w:rPr>
                  </w:pPr>
                  <w:r>
                    <w:rPr>
                      <w:rFonts w:hint="eastAsia" w:ascii="Times New Roman" w:hAnsi="Times New Roman" w:eastAsia="宋体" w:cs="Times New Roman"/>
                      <w:b w:val="0"/>
                      <w:bCs w:val="0"/>
                      <w:color w:val="auto"/>
                      <w:kern w:val="0"/>
                      <w:szCs w:val="21"/>
                      <w:u w:val="single"/>
                      <w:lang w:val="en-US" w:eastAsia="zh-CN" w:bidi="ar"/>
                    </w:rPr>
                    <w:t>0</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-1</w:t>
                  </w:r>
                </w:p>
              </w:tc>
              <w:tc>
                <w:tcPr>
                  <w:tcW w:w="1805" w:type="dxa"/>
                  <w:noWrap w:val="0"/>
                  <w:vAlign w:val="center"/>
                </w:tcPr>
                <w:p>
                  <w:pPr>
                    <w:spacing w:line="240" w:lineRule="auto"/>
                    <w:jc w:val="center"/>
                    <w:rPr>
                      <w:rFonts w:hint="eastAsia" w:ascii="Times New Roman" w:hAnsi="Times New Roman" w:eastAsia="宋体" w:cs="Times New Roman"/>
                      <w:b w:val="0"/>
                      <w:bCs w:val="0"/>
                      <w:color w:val="auto"/>
                      <w:kern w:val="0"/>
                      <w:szCs w:val="21"/>
                      <w:highlight w:val="none"/>
                      <w:u w:val="single"/>
                      <w:lang w:val="en-US" w:eastAsia="zh-CN" w:bidi="ar"/>
                    </w:rPr>
                  </w:pPr>
                  <w:r>
                    <w:rPr>
                      <w:rFonts w:hint="eastAsia" w:cs="Times New Roman"/>
                      <w:b w:val="0"/>
                      <w:bCs w:val="0"/>
                      <w:color w:val="auto"/>
                      <w:kern w:val="0"/>
                      <w:szCs w:val="21"/>
                      <w:highlight w:val="none"/>
                      <w:u w:val="single"/>
                      <w:lang w:val="en-US" w:eastAsia="zh-CN" w:bidi="ar"/>
                    </w:rPr>
                    <w:t>RH30</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s="Times New Roman"/>
                      <w:b w:val="0"/>
                      <w:bCs w:val="0"/>
                      <w:color w:val="auto"/>
                      <w:kern w:val="0"/>
                      <w:szCs w:val="21"/>
                      <w:u w:val="single"/>
                      <w:lang w:val="en-US" w:eastAsia="zh-CN" w:bidi="ar"/>
                    </w:rPr>
                    <w:t>/</w:t>
                  </w:r>
                </w:p>
              </w:tc>
              <w:tc>
                <w:tcPr>
                  <w:tcW w:w="1233" w:type="dxa"/>
                  <w:noWrap w:val="0"/>
                  <w:vAlign w:val="center"/>
                </w:tcPr>
                <w:p>
                  <w:pPr>
                    <w:autoSpaceDE w:val="0"/>
                    <w:autoSpaceDN w:val="0"/>
                    <w:adjustRightInd w:val="0"/>
                    <w:spacing w:line="240" w:lineRule="auto"/>
                    <w:jc w:val="center"/>
                    <w:rPr>
                      <w:b/>
                      <w:bCs/>
                      <w:color w:val="auto"/>
                      <w:kern w:val="0"/>
                      <w:szCs w:val="21"/>
                      <w:u w:val="single"/>
                      <w:lang w:bidi="ar"/>
                    </w:rPr>
                  </w:pPr>
                  <w:r>
                    <w:rPr>
                      <w:rFonts w:hint="eastAsia"/>
                      <w:b/>
                      <w:bCs/>
                      <w:color w:val="auto"/>
                      <w:kern w:val="0"/>
                      <w:szCs w:val="21"/>
                      <w:u w:val="single"/>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b/>
                      <w:bCs/>
                      <w:color w:val="auto"/>
                      <w:kern w:val="0"/>
                      <w:szCs w:val="21"/>
                      <w:u w:val="single"/>
                      <w:lang w:bidi="ar"/>
                    </w:rPr>
                  </w:pPr>
                  <w:r>
                    <w:rPr>
                      <w:rFonts w:hAnsi="宋体"/>
                      <w:color w:val="auto"/>
                      <w:szCs w:val="21"/>
                      <w:u w:val="single"/>
                    </w:rPr>
                    <w:t>水洗槽</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座</w:t>
                  </w:r>
                </w:p>
              </w:tc>
              <w:tc>
                <w:tcPr>
                  <w:tcW w:w="889" w:type="dxa"/>
                  <w:noWrap w:val="0"/>
                  <w:vAlign w:val="center"/>
                </w:tcPr>
                <w:p>
                  <w:pPr>
                    <w:spacing w:line="240" w:lineRule="auto"/>
                    <w:jc w:val="center"/>
                    <w:rPr>
                      <w:b/>
                      <w:bCs/>
                      <w:color w:val="auto"/>
                      <w:kern w:val="0"/>
                      <w:szCs w:val="21"/>
                      <w:u w:val="single"/>
                      <w:lang w:bidi="ar"/>
                    </w:rPr>
                  </w:pPr>
                  <w:r>
                    <w:rPr>
                      <w:rFonts w:ascii="Times New Roman" w:hAnsi="Times New Roman" w:eastAsia="宋体" w:cs="Times New Roman"/>
                      <w:b w:val="0"/>
                      <w:bCs w:val="0"/>
                      <w:color w:val="auto"/>
                      <w:kern w:val="0"/>
                      <w:szCs w:val="21"/>
                      <w:u w:val="single"/>
                      <w:lang w:bidi="ar"/>
                    </w:rPr>
                    <w:t>2</w:t>
                  </w:r>
                </w:p>
              </w:tc>
              <w:tc>
                <w:tcPr>
                  <w:tcW w:w="695" w:type="dxa"/>
                  <w:noWrap w:val="0"/>
                  <w:vAlign w:val="center"/>
                </w:tcPr>
                <w:p>
                  <w:pPr>
                    <w:spacing w:line="240" w:lineRule="auto"/>
                    <w:jc w:val="center"/>
                    <w:rPr>
                      <w:rFonts w:hint="eastAsia"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kern w:val="0"/>
                      <w:szCs w:val="21"/>
                      <w:u w:val="single"/>
                      <w:lang w:val="en-US" w:eastAsia="zh-CN" w:bidi="ar"/>
                    </w:rPr>
                    <w:t>13</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color w:val="auto"/>
                      <w:kern w:val="0"/>
                      <w:szCs w:val="21"/>
                      <w:u w:val="single"/>
                      <w:lang w:val="en-US" w:eastAsia="zh-CN"/>
                    </w:rPr>
                    <w:t>+11</w:t>
                  </w:r>
                </w:p>
              </w:tc>
              <w:tc>
                <w:tcPr>
                  <w:tcW w:w="1805" w:type="dxa"/>
                  <w:noWrap w:val="0"/>
                  <w:vAlign w:val="center"/>
                </w:tcPr>
                <w:p>
                  <w:pPr>
                    <w:spacing w:line="240" w:lineRule="auto"/>
                    <w:jc w:val="center"/>
                    <w:rPr>
                      <w:rFonts w:ascii="Times New Roman" w:hAnsi="Times New Roman" w:eastAsia="宋体" w:cs="Times New Roman"/>
                      <w:b w:val="0"/>
                      <w:bCs w:val="0"/>
                      <w:color w:val="auto"/>
                      <w:kern w:val="0"/>
                      <w:szCs w:val="21"/>
                      <w:highlight w:val="none"/>
                      <w:u w:val="single"/>
                      <w:lang w:bidi="ar"/>
                    </w:rPr>
                  </w:pPr>
                  <w:r>
                    <w:rPr>
                      <w:rFonts w:hint="eastAsia" w:cs="Times New Roman"/>
                      <w:b w:val="0"/>
                      <w:bCs w:val="0"/>
                      <w:color w:val="auto"/>
                      <w:sz w:val="21"/>
                      <w:szCs w:val="21"/>
                      <w:highlight w:val="none"/>
                      <w:u w:val="single"/>
                      <w:lang w:val="en-US" w:eastAsia="zh-CN"/>
                    </w:rPr>
                    <w:t>2.5m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0.7m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0.7m</w:t>
                  </w:r>
                </w:p>
              </w:tc>
              <w:tc>
                <w:tcPr>
                  <w:tcW w:w="1077" w:type="dxa"/>
                  <w:noWrap w:val="0"/>
                  <w:vAlign w:val="center"/>
                </w:tcPr>
                <w:p>
                  <w:pPr>
                    <w:spacing w:line="240" w:lineRule="auto"/>
                    <w:jc w:val="center"/>
                    <w:rPr>
                      <w:rFonts w:hint="eastAsia" w:ascii="Times New Roman" w:hAnsi="Times New Roman" w:eastAsia="宋体" w:cs="Times New Roman"/>
                      <w:b w:val="0"/>
                      <w:bCs w:val="0"/>
                      <w:color w:val="auto"/>
                      <w:kern w:val="0"/>
                      <w:szCs w:val="21"/>
                      <w:u w:val="single"/>
                      <w:lang w:val="en-US" w:eastAsia="zh-CN" w:bidi="ar"/>
                    </w:rPr>
                  </w:pPr>
                  <w:r>
                    <w:rPr>
                      <w:rFonts w:hint="eastAsia" w:hAnsi="宋体"/>
                      <w:color w:val="auto"/>
                      <w:szCs w:val="21"/>
                      <w:u w:val="single"/>
                      <w:lang w:eastAsia="zh-CN"/>
                    </w:rPr>
                    <w:t>水洗</w:t>
                  </w:r>
                </w:p>
              </w:tc>
              <w:tc>
                <w:tcPr>
                  <w:tcW w:w="1233" w:type="dxa"/>
                  <w:noWrap w:val="0"/>
                  <w:vAlign w:val="center"/>
                </w:tcPr>
                <w:p>
                  <w:pPr>
                    <w:autoSpaceDE w:val="0"/>
                    <w:autoSpaceDN w:val="0"/>
                    <w:adjustRightInd w:val="0"/>
                    <w:spacing w:line="240" w:lineRule="auto"/>
                    <w:jc w:val="center"/>
                    <w:rPr>
                      <w:b w:val="0"/>
                      <w:bCs w:val="0"/>
                      <w:color w:val="auto"/>
                      <w:kern w:val="0"/>
                      <w:szCs w:val="21"/>
                      <w:u w:val="single"/>
                      <w:lang w:bidi="ar"/>
                    </w:rPr>
                  </w:pPr>
                  <w:r>
                    <w:rPr>
                      <w:rFonts w:hint="eastAsia"/>
                      <w:b w:val="0"/>
                      <w:bCs w:val="0"/>
                      <w:color w:val="auto"/>
                      <w:kern w:val="0"/>
                      <w:szCs w:val="21"/>
                      <w:u w:val="single"/>
                      <w:lang w:val="en-US" w:eastAsia="zh-CN" w:bidi="ar"/>
                    </w:rPr>
                    <w:t>利旧</w:t>
                  </w:r>
                  <w:r>
                    <w:rPr>
                      <w:rFonts w:hint="eastAsia"/>
                      <w:color w:val="auto"/>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eastAsia="宋体"/>
                      <w:color w:val="auto"/>
                      <w:szCs w:val="21"/>
                      <w:u w:val="single"/>
                      <w:lang w:eastAsia="zh-CN"/>
                    </w:rPr>
                  </w:pPr>
                  <w:r>
                    <w:rPr>
                      <w:rFonts w:hint="eastAsia" w:hAnsi="宋体"/>
                      <w:color w:val="auto"/>
                      <w:szCs w:val="21"/>
                      <w:u w:val="single"/>
                      <w:lang w:eastAsia="zh-CN"/>
                    </w:rPr>
                    <w:t>烘干机</w:t>
                  </w:r>
                </w:p>
              </w:tc>
              <w:tc>
                <w:tcPr>
                  <w:tcW w:w="713" w:type="dxa"/>
                  <w:noWrap w:val="0"/>
                  <w:vAlign w:val="center"/>
                </w:tcPr>
                <w:p>
                  <w:pPr>
                    <w:spacing w:line="240" w:lineRule="auto"/>
                    <w:jc w:val="center"/>
                    <w:rPr>
                      <w:b/>
                      <w:bCs/>
                      <w:color w:val="auto"/>
                      <w:kern w:val="0"/>
                      <w:szCs w:val="21"/>
                      <w:u w:val="single"/>
                      <w:lang w:bidi="ar"/>
                    </w:rPr>
                  </w:pPr>
                  <w:r>
                    <w:rPr>
                      <w:rFonts w:hAnsi="宋体"/>
                      <w:color w:val="auto"/>
                      <w:szCs w:val="21"/>
                      <w:u w:val="single"/>
                    </w:rPr>
                    <w:t>台</w:t>
                  </w:r>
                </w:p>
              </w:tc>
              <w:tc>
                <w:tcPr>
                  <w:tcW w:w="889" w:type="dxa"/>
                  <w:noWrap w:val="0"/>
                  <w:vAlign w:val="center"/>
                </w:tcPr>
                <w:p>
                  <w:pPr>
                    <w:spacing w:line="240" w:lineRule="auto"/>
                    <w:jc w:val="center"/>
                    <w:rPr>
                      <w:rFonts w:hAnsi="宋体"/>
                      <w:color w:val="auto"/>
                      <w:szCs w:val="21"/>
                      <w:u w:val="single"/>
                    </w:rPr>
                  </w:pPr>
                  <w:r>
                    <w:rPr>
                      <w:rFonts w:hint="eastAsia" w:ascii="Times New Roman" w:hAnsi="Times New Roman" w:eastAsia="宋体" w:cs="Times New Roman"/>
                      <w:b w:val="0"/>
                      <w:bCs w:val="0"/>
                      <w:color w:val="auto"/>
                      <w:kern w:val="0"/>
                      <w:szCs w:val="21"/>
                      <w:u w:val="single"/>
                      <w:lang w:val="en-US" w:eastAsia="zh-CN" w:bidi="ar"/>
                    </w:rPr>
                    <w:t>0</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cs="Times New Roman"/>
                      <w:b w:val="0"/>
                      <w:bCs w:val="0"/>
                      <w:color w:val="auto"/>
                      <w:kern w:val="0"/>
                      <w:szCs w:val="21"/>
                      <w:u w:val="single"/>
                      <w:lang w:val="en-US" w:eastAsia="zh-CN" w:bidi="ar"/>
                    </w:rPr>
                    <w:t>8</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u w:val="single"/>
                      <w:lang w:val="en-US" w:eastAsia="zh-CN" w:bidi="ar"/>
                    </w:rPr>
                  </w:pPr>
                  <w:r>
                    <w:rPr>
                      <w:rFonts w:hint="eastAsia"/>
                      <w:color w:val="auto"/>
                      <w:kern w:val="0"/>
                      <w:szCs w:val="21"/>
                      <w:u w:val="single"/>
                      <w:lang w:val="en-US" w:eastAsia="zh-CN"/>
                    </w:rPr>
                    <w:t>+8</w:t>
                  </w:r>
                </w:p>
              </w:tc>
              <w:tc>
                <w:tcPr>
                  <w:tcW w:w="1805"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highlight w:val="none"/>
                      <w:u w:val="single"/>
                      <w:lang w:val="en-US" w:eastAsia="zh-CN" w:bidi="ar"/>
                    </w:rPr>
                  </w:pPr>
                  <w:r>
                    <w:rPr>
                      <w:rFonts w:hint="eastAsia"/>
                      <w:b w:val="0"/>
                      <w:bCs w:val="0"/>
                      <w:color w:val="auto"/>
                      <w:kern w:val="0"/>
                      <w:szCs w:val="21"/>
                      <w:highlight w:val="none"/>
                      <w:u w:val="single"/>
                      <w:lang w:val="en-US" w:eastAsia="zh-CN" w:bidi="ar"/>
                    </w:rPr>
                    <w:t>HG6</w:t>
                  </w:r>
                </w:p>
              </w:tc>
              <w:tc>
                <w:tcPr>
                  <w:tcW w:w="1077" w:type="dxa"/>
                  <w:noWrap w:val="0"/>
                  <w:vAlign w:val="center"/>
                </w:tcPr>
                <w:p>
                  <w:pPr>
                    <w:spacing w:line="240" w:lineRule="auto"/>
                    <w:jc w:val="center"/>
                    <w:rPr>
                      <w:rFonts w:hint="eastAsia" w:hAnsi="宋体" w:eastAsia="宋体"/>
                      <w:color w:val="auto"/>
                      <w:szCs w:val="21"/>
                      <w:u w:val="single"/>
                      <w:lang w:eastAsia="zh-CN"/>
                    </w:rPr>
                  </w:pPr>
                  <w:r>
                    <w:rPr>
                      <w:rFonts w:hint="eastAsia" w:hAnsi="宋体"/>
                      <w:color w:val="auto"/>
                      <w:szCs w:val="21"/>
                      <w:u w:val="single"/>
                      <w:lang w:eastAsia="zh-CN"/>
                    </w:rPr>
                    <w:t>烘干</w:t>
                  </w:r>
                </w:p>
              </w:tc>
              <w:tc>
                <w:tcPr>
                  <w:tcW w:w="1233" w:type="dxa"/>
                  <w:noWrap w:val="0"/>
                  <w:vAlign w:val="center"/>
                </w:tcPr>
                <w:p>
                  <w:pPr>
                    <w:autoSpaceDE w:val="0"/>
                    <w:autoSpaceDN w:val="0"/>
                    <w:adjustRightInd w:val="0"/>
                    <w:spacing w:line="240" w:lineRule="auto"/>
                    <w:jc w:val="center"/>
                    <w:rPr>
                      <w:rFonts w:hint="eastAsia"/>
                      <w:color w:val="auto"/>
                      <w:kern w:val="0"/>
                      <w:szCs w:val="21"/>
                      <w:u w:val="single"/>
                      <w:lang w:val="en-US" w:eastAsia="zh-CN"/>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退火炉</w:t>
                  </w:r>
                </w:p>
              </w:tc>
              <w:tc>
                <w:tcPr>
                  <w:tcW w:w="713" w:type="dxa"/>
                  <w:noWrap w:val="0"/>
                  <w:vAlign w:val="center"/>
                </w:tcPr>
                <w:p>
                  <w:pPr>
                    <w:spacing w:line="240" w:lineRule="auto"/>
                    <w:jc w:val="center"/>
                    <w:rPr>
                      <w:b/>
                      <w:bCs/>
                      <w:color w:val="auto"/>
                      <w:kern w:val="0"/>
                      <w:szCs w:val="21"/>
                      <w:highlight w:val="none"/>
                      <w:u w:val="single"/>
                      <w:lang w:bidi="ar"/>
                    </w:rPr>
                  </w:pPr>
                  <w:r>
                    <w:rPr>
                      <w:rFonts w:hAnsi="宋体"/>
                      <w:color w:val="auto"/>
                      <w:szCs w:val="21"/>
                      <w:highlight w:val="none"/>
                      <w:u w:val="single"/>
                    </w:rPr>
                    <w:t>台</w:t>
                  </w:r>
                </w:p>
              </w:tc>
              <w:tc>
                <w:tcPr>
                  <w:tcW w:w="889" w:type="dxa"/>
                  <w:noWrap w:val="0"/>
                  <w:vAlign w:val="center"/>
                </w:tcPr>
                <w:p>
                  <w:pPr>
                    <w:spacing w:line="240" w:lineRule="auto"/>
                    <w:jc w:val="center"/>
                    <w:rPr>
                      <w:rFonts w:hAnsi="宋体"/>
                      <w:color w:val="auto"/>
                      <w:szCs w:val="21"/>
                      <w:highlight w:val="none"/>
                      <w:u w:val="single"/>
                    </w:rPr>
                  </w:pPr>
                  <w:r>
                    <w:rPr>
                      <w:rFonts w:hint="eastAsia" w:ascii="Times New Roman" w:hAnsi="Times New Roman" w:eastAsia="宋体" w:cs="Times New Roman"/>
                      <w:b w:val="0"/>
                      <w:bCs w:val="0"/>
                      <w:color w:val="auto"/>
                      <w:kern w:val="0"/>
                      <w:szCs w:val="21"/>
                      <w:highlight w:val="none"/>
                      <w:u w:val="single"/>
                      <w:lang w:val="en-US" w:eastAsia="zh-CN" w:bidi="ar"/>
                    </w:rPr>
                    <w:t>0</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highlight w:val="none"/>
                      <w:u w:val="single"/>
                      <w:lang w:val="en-US" w:eastAsia="zh-CN" w:bidi="ar"/>
                    </w:rPr>
                    <w:t>1</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highlight w:val="none"/>
                      <w:u w:val="single"/>
                      <w:lang w:val="en-US" w:eastAsia="zh-CN" w:bidi="ar"/>
                    </w:rPr>
                  </w:pPr>
                  <w:r>
                    <w:rPr>
                      <w:rFonts w:hint="eastAsia"/>
                      <w:color w:val="auto"/>
                      <w:kern w:val="0"/>
                      <w:szCs w:val="21"/>
                      <w:highlight w:val="none"/>
                      <w:u w:val="single"/>
                      <w:lang w:val="en-US" w:eastAsia="zh-CN"/>
                    </w:rPr>
                    <w:t>+1</w:t>
                  </w:r>
                </w:p>
              </w:tc>
              <w:tc>
                <w:tcPr>
                  <w:tcW w:w="1805" w:type="dxa"/>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color w:val="auto"/>
                      <w:kern w:val="0"/>
                      <w:szCs w:val="21"/>
                      <w:highlight w:val="none"/>
                      <w:u w:val="single"/>
                      <w:lang w:val="en-US" w:eastAsia="zh-CN" w:bidi="ar"/>
                    </w:rPr>
                  </w:pPr>
                  <w:r>
                    <w:rPr>
                      <w:rFonts w:hint="eastAsia"/>
                      <w:b w:val="0"/>
                      <w:bCs w:val="0"/>
                      <w:color w:val="auto"/>
                      <w:kern w:val="0"/>
                      <w:szCs w:val="21"/>
                      <w:highlight w:val="none"/>
                      <w:u w:val="single"/>
                      <w:lang w:val="en-US" w:eastAsia="zh-CN" w:bidi="ar"/>
                    </w:rPr>
                    <w:t>30线</w:t>
                  </w:r>
                </w:p>
              </w:tc>
              <w:tc>
                <w:tcPr>
                  <w:tcW w:w="1077" w:type="dxa"/>
                  <w:noWrap w:val="0"/>
                  <w:vAlign w:val="center"/>
                </w:tcPr>
                <w:p>
                  <w:pPr>
                    <w:spacing w:line="240" w:lineRule="auto"/>
                    <w:jc w:val="center"/>
                    <w:rPr>
                      <w:rFonts w:hAnsi="宋体"/>
                      <w:color w:val="auto"/>
                      <w:szCs w:val="21"/>
                      <w:highlight w:val="none"/>
                      <w:u w:val="single"/>
                    </w:rPr>
                  </w:pPr>
                  <w:r>
                    <w:rPr>
                      <w:rFonts w:hint="eastAsia"/>
                      <w:color w:val="auto"/>
                      <w:szCs w:val="21"/>
                      <w:highlight w:val="none"/>
                      <w:u w:val="single"/>
                      <w:lang w:eastAsia="zh-CN"/>
                    </w:rPr>
                    <w:t>退火</w:t>
                  </w:r>
                </w:p>
              </w:tc>
              <w:tc>
                <w:tcPr>
                  <w:tcW w:w="1233" w:type="dxa"/>
                  <w:noWrap w:val="0"/>
                  <w:vAlign w:val="center"/>
                </w:tcPr>
                <w:p>
                  <w:pPr>
                    <w:autoSpaceDE w:val="0"/>
                    <w:autoSpaceDN w:val="0"/>
                    <w:adjustRightInd w:val="0"/>
                    <w:spacing w:line="240" w:lineRule="auto"/>
                    <w:jc w:val="center"/>
                    <w:rPr>
                      <w:rFonts w:hint="eastAsia"/>
                      <w:color w:val="auto"/>
                      <w:kern w:val="0"/>
                      <w:szCs w:val="21"/>
                      <w:highlight w:val="none"/>
                      <w:u w:val="single"/>
                      <w:lang w:val="en-US" w:eastAsia="zh-CN"/>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val="en-US" w:eastAsia="zh-CN"/>
                    </w:rPr>
                    <w:t>倒立机</w:t>
                  </w:r>
                </w:p>
              </w:tc>
              <w:tc>
                <w:tcPr>
                  <w:tcW w:w="713" w:type="dxa"/>
                  <w:noWrap w:val="0"/>
                  <w:vAlign w:val="center"/>
                </w:tcPr>
                <w:p>
                  <w:pPr>
                    <w:spacing w:line="240" w:lineRule="auto"/>
                    <w:jc w:val="center"/>
                    <w:rPr>
                      <w:b/>
                      <w:bCs/>
                      <w:color w:val="auto"/>
                      <w:kern w:val="0"/>
                      <w:szCs w:val="21"/>
                      <w:highlight w:val="none"/>
                      <w:u w:val="single"/>
                      <w:lang w:bidi="ar"/>
                    </w:rPr>
                  </w:pPr>
                  <w:r>
                    <w:rPr>
                      <w:rFonts w:hAnsi="宋体"/>
                      <w:color w:val="auto"/>
                      <w:szCs w:val="21"/>
                      <w:highlight w:val="none"/>
                      <w:u w:val="single"/>
                    </w:rPr>
                    <w:t>台</w:t>
                  </w:r>
                </w:p>
              </w:tc>
              <w:tc>
                <w:tcPr>
                  <w:tcW w:w="889" w:type="dxa"/>
                  <w:noWrap w:val="0"/>
                  <w:vAlign w:val="center"/>
                </w:tcPr>
                <w:p>
                  <w:pPr>
                    <w:spacing w:line="240" w:lineRule="auto"/>
                    <w:jc w:val="center"/>
                    <w:rPr>
                      <w:rFonts w:hAnsi="宋体"/>
                      <w:color w:val="auto"/>
                      <w:szCs w:val="21"/>
                      <w:highlight w:val="none"/>
                      <w:u w:val="single"/>
                    </w:rPr>
                  </w:pPr>
                  <w:r>
                    <w:rPr>
                      <w:rFonts w:hint="eastAsia" w:ascii="Times New Roman" w:hAnsi="Times New Roman" w:eastAsia="宋体" w:cs="Times New Roman"/>
                      <w:b w:val="0"/>
                      <w:bCs w:val="0"/>
                      <w:color w:val="auto"/>
                      <w:kern w:val="0"/>
                      <w:szCs w:val="21"/>
                      <w:highlight w:val="none"/>
                      <w:u w:val="single"/>
                      <w:lang w:val="en-US" w:eastAsia="zh-CN" w:bidi="ar"/>
                    </w:rPr>
                    <w:t>0</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highlight w:val="none"/>
                      <w:u w:val="single"/>
                      <w:lang w:val="en-US" w:eastAsia="zh-CN" w:bidi="ar"/>
                    </w:rPr>
                    <w:t>4</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highlight w:val="none"/>
                      <w:u w:val="single"/>
                      <w:lang w:val="en-US" w:eastAsia="zh-CN" w:bidi="ar"/>
                    </w:rPr>
                  </w:pPr>
                  <w:r>
                    <w:rPr>
                      <w:rFonts w:hint="eastAsia"/>
                      <w:color w:val="auto"/>
                      <w:kern w:val="0"/>
                      <w:szCs w:val="21"/>
                      <w:highlight w:val="none"/>
                      <w:u w:val="single"/>
                      <w:lang w:val="en-US" w:eastAsia="zh-CN"/>
                    </w:rPr>
                    <w:t>+4</w:t>
                  </w:r>
                </w:p>
              </w:tc>
              <w:tc>
                <w:tcPr>
                  <w:tcW w:w="1805" w:type="dxa"/>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color w:val="auto"/>
                      <w:kern w:val="0"/>
                      <w:szCs w:val="21"/>
                      <w:highlight w:val="none"/>
                      <w:u w:val="single"/>
                      <w:lang w:val="en-US" w:eastAsia="zh-CN" w:bidi="ar"/>
                    </w:rPr>
                  </w:pPr>
                  <w:r>
                    <w:rPr>
                      <w:rFonts w:hint="eastAsia"/>
                      <w:b w:val="0"/>
                      <w:bCs w:val="0"/>
                      <w:color w:val="auto"/>
                      <w:kern w:val="0"/>
                      <w:szCs w:val="21"/>
                      <w:highlight w:val="none"/>
                      <w:u w:val="single"/>
                      <w:lang w:val="en-US" w:eastAsia="zh-CN" w:bidi="ar"/>
                    </w:rPr>
                    <w:t>DL1.6-5.0</w:t>
                  </w:r>
                </w:p>
              </w:tc>
              <w:tc>
                <w:tcPr>
                  <w:tcW w:w="1077" w:type="dxa"/>
                  <w:noWrap w:val="0"/>
                  <w:vAlign w:val="center"/>
                </w:tcPr>
                <w:p>
                  <w:pPr>
                    <w:spacing w:line="240" w:lineRule="auto"/>
                    <w:jc w:val="center"/>
                    <w:rPr>
                      <w:rFonts w:hint="eastAsia" w:hAnsi="宋体" w:eastAsia="宋体"/>
                      <w:color w:val="auto"/>
                      <w:szCs w:val="21"/>
                      <w:highlight w:val="none"/>
                      <w:u w:val="single"/>
                      <w:lang w:eastAsia="zh-CN"/>
                    </w:rPr>
                  </w:pPr>
                  <w:r>
                    <w:rPr>
                      <w:rFonts w:hint="eastAsia" w:hAnsi="宋体"/>
                      <w:color w:val="auto"/>
                      <w:szCs w:val="21"/>
                      <w:highlight w:val="none"/>
                      <w:u w:val="single"/>
                      <w:lang w:eastAsia="zh-CN"/>
                    </w:rPr>
                    <w:t>拉丝</w:t>
                  </w:r>
                </w:p>
              </w:tc>
              <w:tc>
                <w:tcPr>
                  <w:tcW w:w="1233" w:type="dxa"/>
                  <w:noWrap w:val="0"/>
                  <w:vAlign w:val="center"/>
                </w:tcPr>
                <w:p>
                  <w:pPr>
                    <w:autoSpaceDE w:val="0"/>
                    <w:autoSpaceDN w:val="0"/>
                    <w:adjustRightInd w:val="0"/>
                    <w:spacing w:line="240" w:lineRule="auto"/>
                    <w:jc w:val="center"/>
                    <w:rPr>
                      <w:rFonts w:hint="eastAsia"/>
                      <w:color w:val="auto"/>
                      <w:kern w:val="0"/>
                      <w:szCs w:val="21"/>
                      <w:highlight w:val="none"/>
                      <w:u w:val="single"/>
                      <w:lang w:val="en-US" w:eastAsia="zh-CN"/>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val="en-US" w:eastAsia="zh-CN"/>
                    </w:rPr>
                    <w:t>单头机</w:t>
                  </w:r>
                </w:p>
              </w:tc>
              <w:tc>
                <w:tcPr>
                  <w:tcW w:w="713" w:type="dxa"/>
                  <w:noWrap w:val="0"/>
                  <w:vAlign w:val="center"/>
                </w:tcPr>
                <w:p>
                  <w:pPr>
                    <w:spacing w:line="240" w:lineRule="auto"/>
                    <w:jc w:val="center"/>
                    <w:rPr>
                      <w:b/>
                      <w:bCs/>
                      <w:color w:val="auto"/>
                      <w:kern w:val="0"/>
                      <w:szCs w:val="21"/>
                      <w:highlight w:val="none"/>
                      <w:u w:val="single"/>
                      <w:lang w:bidi="ar"/>
                    </w:rPr>
                  </w:pPr>
                  <w:r>
                    <w:rPr>
                      <w:rFonts w:hAnsi="宋体"/>
                      <w:color w:val="auto"/>
                      <w:szCs w:val="21"/>
                      <w:highlight w:val="none"/>
                      <w:u w:val="single"/>
                    </w:rPr>
                    <w:t>台</w:t>
                  </w:r>
                </w:p>
              </w:tc>
              <w:tc>
                <w:tcPr>
                  <w:tcW w:w="889" w:type="dxa"/>
                  <w:noWrap w:val="0"/>
                  <w:vAlign w:val="center"/>
                </w:tcPr>
                <w:p>
                  <w:pPr>
                    <w:spacing w:line="240" w:lineRule="auto"/>
                    <w:jc w:val="center"/>
                    <w:rPr>
                      <w:rFonts w:hAnsi="宋体"/>
                      <w:color w:val="auto"/>
                      <w:szCs w:val="21"/>
                      <w:highlight w:val="none"/>
                      <w:u w:val="single"/>
                    </w:rPr>
                  </w:pPr>
                  <w:r>
                    <w:rPr>
                      <w:rFonts w:hint="eastAsia" w:ascii="Times New Roman" w:hAnsi="Times New Roman" w:eastAsia="宋体" w:cs="Times New Roman"/>
                      <w:b w:val="0"/>
                      <w:bCs w:val="0"/>
                      <w:color w:val="auto"/>
                      <w:kern w:val="0"/>
                      <w:szCs w:val="21"/>
                      <w:highlight w:val="none"/>
                      <w:u w:val="single"/>
                      <w:lang w:val="en-US" w:eastAsia="zh-CN" w:bidi="ar"/>
                    </w:rPr>
                    <w:t>0</w:t>
                  </w:r>
                </w:p>
              </w:tc>
              <w:tc>
                <w:tcPr>
                  <w:tcW w:w="695" w:type="dxa"/>
                  <w:noWrap w:val="0"/>
                  <w:vAlign w:val="center"/>
                </w:tcPr>
                <w:p>
                  <w:pPr>
                    <w:spacing w:line="240" w:lineRule="auto"/>
                    <w:jc w:val="center"/>
                    <w:rPr>
                      <w:rFonts w:hint="eastAsia"/>
                      <w:b/>
                      <w:bCs/>
                      <w:color w:val="auto"/>
                      <w:kern w:val="0"/>
                      <w:szCs w:val="21"/>
                      <w:u w:val="single"/>
                      <w:lang w:val="en-US" w:eastAsia="zh-CN" w:bidi="ar"/>
                    </w:rPr>
                  </w:pPr>
                  <w:r>
                    <w:rPr>
                      <w:rFonts w:hint="eastAsia" w:ascii="Times New Roman" w:hAnsi="Times New Roman" w:eastAsia="宋体" w:cs="Times New Roman"/>
                      <w:b w:val="0"/>
                      <w:bCs w:val="0"/>
                      <w:color w:val="auto"/>
                      <w:kern w:val="0"/>
                      <w:szCs w:val="21"/>
                      <w:highlight w:val="none"/>
                      <w:u w:val="single"/>
                      <w:lang w:val="en-US" w:eastAsia="zh-CN" w:bidi="ar"/>
                    </w:rPr>
                    <w:t>3</w:t>
                  </w:r>
                </w:p>
              </w:tc>
              <w:tc>
                <w:tcPr>
                  <w:tcW w:w="720" w:type="dxa"/>
                  <w:noWrap w:val="0"/>
                  <w:vAlign w:val="center"/>
                </w:tcPr>
                <w:p>
                  <w:pPr>
                    <w:autoSpaceDE w:val="0"/>
                    <w:autoSpaceDN w:val="0"/>
                    <w:adjustRightInd w:val="0"/>
                    <w:spacing w:line="240" w:lineRule="auto"/>
                    <w:jc w:val="center"/>
                    <w:rPr>
                      <w:rFonts w:hint="eastAsia" w:ascii="Times New Roman" w:hAnsi="Times New Roman" w:eastAsia="宋体" w:cs="Times New Roman"/>
                      <w:b w:val="0"/>
                      <w:bCs w:val="0"/>
                      <w:color w:val="auto"/>
                      <w:kern w:val="0"/>
                      <w:szCs w:val="21"/>
                      <w:highlight w:val="none"/>
                      <w:u w:val="single"/>
                      <w:lang w:val="en-US" w:eastAsia="zh-CN" w:bidi="ar"/>
                    </w:rPr>
                  </w:pPr>
                  <w:r>
                    <w:rPr>
                      <w:rFonts w:hint="eastAsia"/>
                      <w:color w:val="auto"/>
                      <w:kern w:val="0"/>
                      <w:szCs w:val="21"/>
                      <w:highlight w:val="none"/>
                      <w:u w:val="single"/>
                      <w:lang w:val="en-US" w:eastAsia="zh-CN"/>
                    </w:rPr>
                    <w:t>+3</w:t>
                  </w:r>
                </w:p>
              </w:tc>
              <w:tc>
                <w:tcPr>
                  <w:tcW w:w="1805" w:type="dxa"/>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color w:val="auto"/>
                      <w:kern w:val="0"/>
                      <w:szCs w:val="21"/>
                      <w:highlight w:val="none"/>
                      <w:u w:val="single"/>
                      <w:lang w:val="en-US" w:eastAsia="zh-CN" w:bidi="ar"/>
                    </w:rPr>
                  </w:pPr>
                  <w:r>
                    <w:rPr>
                      <w:rFonts w:hint="eastAsia"/>
                      <w:b w:val="0"/>
                      <w:bCs w:val="0"/>
                      <w:color w:val="auto"/>
                      <w:kern w:val="0"/>
                      <w:szCs w:val="21"/>
                      <w:highlight w:val="none"/>
                      <w:u w:val="single"/>
                      <w:lang w:val="en-US" w:eastAsia="zh-CN" w:bidi="ar"/>
                    </w:rPr>
                    <w:t>DT5.5</w:t>
                  </w:r>
                </w:p>
              </w:tc>
              <w:tc>
                <w:tcPr>
                  <w:tcW w:w="1077" w:type="dxa"/>
                  <w:noWrap w:val="0"/>
                  <w:vAlign w:val="center"/>
                </w:tcPr>
                <w:p>
                  <w:pPr>
                    <w:spacing w:line="240" w:lineRule="auto"/>
                    <w:jc w:val="center"/>
                    <w:rPr>
                      <w:rFonts w:hint="eastAsia" w:hAnsi="宋体" w:eastAsia="宋体"/>
                      <w:color w:val="auto"/>
                      <w:szCs w:val="21"/>
                      <w:highlight w:val="none"/>
                      <w:u w:val="single"/>
                      <w:lang w:eastAsia="zh-CN"/>
                    </w:rPr>
                  </w:pPr>
                  <w:r>
                    <w:rPr>
                      <w:rFonts w:hint="eastAsia" w:hAnsi="宋体"/>
                      <w:color w:val="auto"/>
                      <w:szCs w:val="21"/>
                      <w:highlight w:val="none"/>
                      <w:u w:val="single"/>
                      <w:lang w:eastAsia="zh-CN"/>
                    </w:rPr>
                    <w:t>拉丝</w:t>
                  </w:r>
                </w:p>
              </w:tc>
              <w:tc>
                <w:tcPr>
                  <w:tcW w:w="1233" w:type="dxa"/>
                  <w:noWrap w:val="0"/>
                  <w:vAlign w:val="center"/>
                </w:tcPr>
                <w:p>
                  <w:pPr>
                    <w:autoSpaceDE w:val="0"/>
                    <w:autoSpaceDN w:val="0"/>
                    <w:adjustRightInd w:val="0"/>
                    <w:spacing w:line="240" w:lineRule="auto"/>
                    <w:jc w:val="center"/>
                    <w:rPr>
                      <w:rFonts w:hint="eastAsia"/>
                      <w:color w:val="auto"/>
                      <w:kern w:val="0"/>
                      <w:szCs w:val="21"/>
                      <w:highlight w:val="none"/>
                      <w:u w:val="single"/>
                      <w:lang w:val="en-US" w:eastAsia="zh-CN"/>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val="en-US" w:eastAsia="zh-CN"/>
                    </w:rPr>
                    <w:t>清洗机</w:t>
                  </w:r>
                </w:p>
              </w:tc>
              <w:tc>
                <w:tcPr>
                  <w:tcW w:w="713" w:type="dxa"/>
                  <w:noWrap w:val="0"/>
                  <w:vAlign w:val="center"/>
                </w:tcPr>
                <w:p>
                  <w:pPr>
                    <w:spacing w:line="240" w:lineRule="auto"/>
                    <w:jc w:val="center"/>
                    <w:rPr>
                      <w:b/>
                      <w:bCs/>
                      <w:color w:val="auto"/>
                      <w:kern w:val="0"/>
                      <w:szCs w:val="21"/>
                      <w:highlight w:val="none"/>
                      <w:u w:val="single"/>
                      <w:lang w:bidi="ar"/>
                    </w:rPr>
                  </w:pPr>
                  <w:r>
                    <w:rPr>
                      <w:rFonts w:hAnsi="宋体"/>
                      <w:color w:val="auto"/>
                      <w:szCs w:val="21"/>
                      <w:highlight w:val="none"/>
                      <w:u w:val="single"/>
                    </w:rPr>
                    <w:t>台</w:t>
                  </w:r>
                </w:p>
              </w:tc>
              <w:tc>
                <w:tcPr>
                  <w:tcW w:w="889" w:type="dxa"/>
                  <w:noWrap w:val="0"/>
                  <w:vAlign w:val="center"/>
                </w:tcPr>
                <w:p>
                  <w:pPr>
                    <w:spacing w:line="240" w:lineRule="auto"/>
                    <w:jc w:val="center"/>
                    <w:rPr>
                      <w:rFonts w:hAnsi="宋体"/>
                      <w:color w:val="auto"/>
                      <w:szCs w:val="21"/>
                      <w:highlight w:val="none"/>
                      <w:u w:val="single"/>
                    </w:rPr>
                  </w:pPr>
                  <w:r>
                    <w:rPr>
                      <w:rFonts w:hint="eastAsia" w:ascii="Times New Roman" w:hAnsi="Times New Roman" w:eastAsia="宋体" w:cs="Times New Roman"/>
                      <w:b w:val="0"/>
                      <w:bCs w:val="0"/>
                      <w:color w:val="auto"/>
                      <w:kern w:val="0"/>
                      <w:szCs w:val="21"/>
                      <w:highlight w:val="none"/>
                      <w:u w:val="single"/>
                      <w:lang w:val="en-US" w:eastAsia="zh-CN" w:bidi="ar"/>
                    </w:rPr>
                    <w:t>0</w:t>
                  </w:r>
                </w:p>
              </w:tc>
              <w:tc>
                <w:tcPr>
                  <w:tcW w:w="695" w:type="dxa"/>
                  <w:noWrap w:val="0"/>
                  <w:vAlign w:val="center"/>
                </w:tcPr>
                <w:p>
                  <w:pPr>
                    <w:spacing w:line="240" w:lineRule="auto"/>
                    <w:jc w:val="center"/>
                    <w:rPr>
                      <w:rFonts w:hint="eastAsia" w:cs="Times New Roman"/>
                      <w:b w:val="0"/>
                      <w:bCs w:val="0"/>
                      <w:color w:val="auto"/>
                      <w:sz w:val="21"/>
                      <w:szCs w:val="21"/>
                      <w:highlight w:val="none"/>
                      <w:u w:val="single"/>
                      <w:lang w:val="en-US" w:eastAsia="zh-CN"/>
                    </w:rPr>
                  </w:pPr>
                  <w:r>
                    <w:rPr>
                      <w:rFonts w:hint="eastAsia" w:cs="Times New Roman"/>
                      <w:b w:val="0"/>
                      <w:bCs w:val="0"/>
                      <w:color w:val="auto"/>
                      <w:kern w:val="0"/>
                      <w:szCs w:val="21"/>
                      <w:highlight w:val="none"/>
                      <w:u w:val="single"/>
                      <w:lang w:val="en-US" w:eastAsia="zh-CN" w:bidi="ar"/>
                    </w:rPr>
                    <w:t>2</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highlight w:val="none"/>
                      <w:u w:val="single"/>
                      <w:lang w:val="en-US" w:eastAsia="zh-CN" w:bidi="ar"/>
                    </w:rPr>
                  </w:pPr>
                  <w:r>
                    <w:rPr>
                      <w:rFonts w:hint="eastAsia"/>
                      <w:color w:val="auto"/>
                      <w:kern w:val="0"/>
                      <w:szCs w:val="21"/>
                      <w:highlight w:val="none"/>
                      <w:u w:val="single"/>
                      <w:lang w:val="en-US" w:eastAsia="zh-CN"/>
                    </w:rPr>
                    <w:t>+2</w:t>
                  </w:r>
                </w:p>
              </w:tc>
              <w:tc>
                <w:tcPr>
                  <w:tcW w:w="1805" w:type="dxa"/>
                  <w:noWrap w:val="0"/>
                  <w:vAlign w:val="center"/>
                </w:tcPr>
                <w:p>
                  <w:pPr>
                    <w:spacing w:line="240" w:lineRule="auto"/>
                    <w:jc w:val="center"/>
                    <w:rPr>
                      <w:rFonts w:hint="default" w:ascii="Times New Roman" w:hAnsi="Times New Roman" w:eastAsia="宋体" w:cs="Times New Roman"/>
                      <w:b w:val="0"/>
                      <w:bCs w:val="0"/>
                      <w:color w:val="auto"/>
                      <w:kern w:val="0"/>
                      <w:szCs w:val="21"/>
                      <w:highlight w:val="none"/>
                      <w:u w:val="single"/>
                      <w:lang w:val="en-US" w:eastAsia="zh-CN" w:bidi="ar"/>
                    </w:rPr>
                  </w:pPr>
                  <w:r>
                    <w:rPr>
                      <w:rFonts w:hint="eastAsia" w:cs="Times New Roman"/>
                      <w:b w:val="0"/>
                      <w:bCs w:val="0"/>
                      <w:color w:val="auto"/>
                      <w:sz w:val="21"/>
                      <w:szCs w:val="21"/>
                      <w:highlight w:val="none"/>
                      <w:u w:val="single"/>
                      <w:lang w:val="en-US" w:eastAsia="zh-CN"/>
                    </w:rPr>
                    <w:t>4m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0.7m</w:t>
                  </w:r>
                  <w:r>
                    <w:rPr>
                      <w:rFonts w:hint="default" w:ascii="Times New Roman" w:hAnsi="Times New Roman" w:eastAsia="宋体" w:cs="Times New Roman"/>
                      <w:b w:val="0"/>
                      <w:bCs w:val="0"/>
                      <w:color w:val="auto"/>
                      <w:sz w:val="21"/>
                      <w:szCs w:val="21"/>
                      <w:highlight w:val="none"/>
                      <w:u w:val="single"/>
                      <w:lang w:val="en-US" w:eastAsia="zh-CN"/>
                    </w:rPr>
                    <w:t>×</w:t>
                  </w:r>
                  <w:r>
                    <w:rPr>
                      <w:rFonts w:hint="eastAsia" w:cs="Times New Roman"/>
                      <w:b w:val="0"/>
                      <w:bCs w:val="0"/>
                      <w:color w:val="auto"/>
                      <w:sz w:val="21"/>
                      <w:szCs w:val="21"/>
                      <w:highlight w:val="none"/>
                      <w:u w:val="single"/>
                      <w:lang w:val="en-US" w:eastAsia="zh-CN"/>
                    </w:rPr>
                    <w:t>0.7m</w:t>
                  </w:r>
                </w:p>
              </w:tc>
              <w:tc>
                <w:tcPr>
                  <w:tcW w:w="1077" w:type="dxa"/>
                  <w:noWrap w:val="0"/>
                  <w:vAlign w:val="center"/>
                </w:tcPr>
                <w:p>
                  <w:pPr>
                    <w:spacing w:line="240" w:lineRule="auto"/>
                    <w:jc w:val="center"/>
                    <w:rPr>
                      <w:rFonts w:hint="eastAsia" w:hAnsi="宋体" w:eastAsia="宋体"/>
                      <w:color w:val="auto"/>
                      <w:szCs w:val="21"/>
                      <w:highlight w:val="none"/>
                      <w:u w:val="single"/>
                      <w:lang w:eastAsia="zh-CN"/>
                    </w:rPr>
                  </w:pPr>
                  <w:r>
                    <w:rPr>
                      <w:rFonts w:hint="eastAsia" w:hAnsi="宋体"/>
                      <w:color w:val="auto"/>
                      <w:szCs w:val="21"/>
                      <w:highlight w:val="none"/>
                      <w:u w:val="single"/>
                      <w:lang w:eastAsia="zh-CN"/>
                    </w:rPr>
                    <w:t>清洗</w:t>
                  </w:r>
                </w:p>
              </w:tc>
              <w:tc>
                <w:tcPr>
                  <w:tcW w:w="1233" w:type="dxa"/>
                  <w:noWrap w:val="0"/>
                  <w:vAlign w:val="center"/>
                </w:tcPr>
                <w:p>
                  <w:pPr>
                    <w:autoSpaceDE w:val="0"/>
                    <w:autoSpaceDN w:val="0"/>
                    <w:adjustRightInd w:val="0"/>
                    <w:spacing w:line="240" w:lineRule="auto"/>
                    <w:jc w:val="center"/>
                    <w:rPr>
                      <w:rFonts w:hint="eastAsia"/>
                      <w:color w:val="auto"/>
                      <w:kern w:val="0"/>
                      <w:szCs w:val="21"/>
                      <w:highlight w:val="none"/>
                      <w:u w:val="single"/>
                      <w:lang w:val="en-US" w:eastAsia="zh-CN"/>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val="en-US" w:eastAsia="zh-CN"/>
                    </w:rPr>
                    <w:t>液氨罐</w:t>
                  </w:r>
                </w:p>
              </w:tc>
              <w:tc>
                <w:tcPr>
                  <w:tcW w:w="713" w:type="dxa"/>
                  <w:noWrap w:val="0"/>
                  <w:vAlign w:val="center"/>
                </w:tcPr>
                <w:p>
                  <w:pPr>
                    <w:spacing w:line="240" w:lineRule="auto"/>
                    <w:jc w:val="center"/>
                    <w:rPr>
                      <w:rFonts w:hint="eastAsia" w:hAnsi="宋体" w:eastAsia="宋体"/>
                      <w:color w:val="auto"/>
                      <w:szCs w:val="21"/>
                      <w:highlight w:val="none"/>
                      <w:u w:val="single"/>
                      <w:lang w:eastAsia="zh-CN"/>
                    </w:rPr>
                  </w:pPr>
                  <w:r>
                    <w:rPr>
                      <w:rFonts w:hint="eastAsia" w:hAnsi="宋体"/>
                      <w:color w:val="auto"/>
                      <w:szCs w:val="21"/>
                      <w:highlight w:val="none"/>
                      <w:u w:val="single"/>
                      <w:lang w:eastAsia="zh-CN"/>
                    </w:rPr>
                    <w:t>瓶</w:t>
                  </w:r>
                </w:p>
              </w:tc>
              <w:tc>
                <w:tcPr>
                  <w:tcW w:w="889" w:type="dxa"/>
                  <w:noWrap w:val="0"/>
                  <w:vAlign w:val="center"/>
                </w:tcPr>
                <w:p>
                  <w:pPr>
                    <w:spacing w:line="240" w:lineRule="auto"/>
                    <w:jc w:val="center"/>
                    <w:rPr>
                      <w:rFonts w:hint="default" w:ascii="Times New Roman" w:hAnsi="Times New Roman" w:eastAsia="宋体" w:cs="Times New Roman"/>
                      <w:b w:val="0"/>
                      <w:bCs w:val="0"/>
                      <w:color w:val="auto"/>
                      <w:kern w:val="0"/>
                      <w:szCs w:val="21"/>
                      <w:highlight w:val="none"/>
                      <w:u w:val="single"/>
                      <w:lang w:val="en-US" w:eastAsia="zh-CN" w:bidi="ar"/>
                    </w:rPr>
                  </w:pPr>
                  <w:r>
                    <w:rPr>
                      <w:rFonts w:hint="eastAsia" w:cs="Times New Roman"/>
                      <w:b w:val="0"/>
                      <w:bCs w:val="0"/>
                      <w:color w:val="auto"/>
                      <w:kern w:val="0"/>
                      <w:szCs w:val="21"/>
                      <w:highlight w:val="none"/>
                      <w:u w:val="single"/>
                      <w:lang w:val="en-US" w:eastAsia="zh-CN" w:bidi="ar"/>
                    </w:rPr>
                    <w:t>0</w:t>
                  </w:r>
                </w:p>
              </w:tc>
              <w:tc>
                <w:tcPr>
                  <w:tcW w:w="695" w:type="dxa"/>
                  <w:noWrap w:val="0"/>
                  <w:vAlign w:val="center"/>
                </w:tcPr>
                <w:p>
                  <w:pPr>
                    <w:spacing w:line="240" w:lineRule="auto"/>
                    <w:jc w:val="center"/>
                    <w:rPr>
                      <w:rFonts w:hint="eastAsia" w:cs="Times New Roman"/>
                      <w:b w:val="0"/>
                      <w:bCs w:val="0"/>
                      <w:color w:val="auto"/>
                      <w:sz w:val="21"/>
                      <w:szCs w:val="21"/>
                      <w:highlight w:val="none"/>
                      <w:u w:val="single"/>
                      <w:lang w:val="en-US" w:eastAsia="zh-CN"/>
                    </w:rPr>
                  </w:pPr>
                  <w:r>
                    <w:rPr>
                      <w:rFonts w:hint="eastAsia" w:cs="Times New Roman"/>
                      <w:b w:val="0"/>
                      <w:bCs w:val="0"/>
                      <w:color w:val="auto"/>
                      <w:kern w:val="0"/>
                      <w:szCs w:val="21"/>
                      <w:highlight w:val="none"/>
                      <w:u w:val="single"/>
                      <w:lang w:val="en-US" w:eastAsia="zh-CN" w:bidi="ar"/>
                    </w:rPr>
                    <w:t>2</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highlight w:val="none"/>
                      <w:u w:val="single"/>
                      <w:lang w:val="en-US" w:eastAsia="zh-CN" w:bidi="ar"/>
                    </w:rPr>
                  </w:pPr>
                  <w:r>
                    <w:rPr>
                      <w:rFonts w:hint="eastAsia"/>
                      <w:color w:val="auto"/>
                      <w:kern w:val="0"/>
                      <w:szCs w:val="21"/>
                      <w:highlight w:val="none"/>
                      <w:u w:val="single"/>
                      <w:lang w:val="en-US" w:eastAsia="zh-CN"/>
                    </w:rPr>
                    <w:t>+2</w:t>
                  </w:r>
                </w:p>
              </w:tc>
              <w:tc>
                <w:tcPr>
                  <w:tcW w:w="1805" w:type="dxa"/>
                  <w:noWrap w:val="0"/>
                  <w:vAlign w:val="center"/>
                </w:tcPr>
                <w:p>
                  <w:pPr>
                    <w:spacing w:line="240" w:lineRule="auto"/>
                    <w:jc w:val="center"/>
                    <w:rPr>
                      <w:rFonts w:hint="default"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400kg</w:t>
                  </w:r>
                </w:p>
              </w:tc>
              <w:tc>
                <w:tcPr>
                  <w:tcW w:w="1077"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退火用</w:t>
                  </w:r>
                </w:p>
              </w:tc>
              <w:tc>
                <w:tcPr>
                  <w:tcW w:w="1233" w:type="dxa"/>
                  <w:noWrap w:val="0"/>
                  <w:vAlign w:val="center"/>
                </w:tcPr>
                <w:p>
                  <w:pPr>
                    <w:autoSpaceDE w:val="0"/>
                    <w:autoSpaceDN w:val="0"/>
                    <w:adjustRightInd w:val="0"/>
                    <w:spacing w:line="240" w:lineRule="auto"/>
                    <w:jc w:val="center"/>
                    <w:rPr>
                      <w:rFonts w:hint="eastAsia"/>
                      <w:b w:val="0"/>
                      <w:bCs w:val="0"/>
                      <w:color w:val="auto"/>
                      <w:kern w:val="0"/>
                      <w:szCs w:val="21"/>
                      <w:u w:val="single"/>
                      <w:lang w:eastAsia="zh-CN"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pPr>
                    <w:pStyle w:val="95"/>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529" w:type="dxa"/>
                  <w:noWrap w:val="0"/>
                  <w:vAlign w:val="center"/>
                </w:tcPr>
                <w:p>
                  <w:pPr>
                    <w:spacing w:line="240" w:lineRule="auto"/>
                    <w:jc w:val="center"/>
                    <w:rPr>
                      <w:rFonts w:hint="eastAsia" w:hAnsi="宋体"/>
                      <w:color w:val="auto"/>
                      <w:szCs w:val="21"/>
                      <w:highlight w:val="none"/>
                      <w:u w:val="single"/>
                      <w:lang w:val="en-US" w:eastAsia="zh-CN"/>
                    </w:rPr>
                  </w:pPr>
                  <w:r>
                    <w:rPr>
                      <w:rFonts w:hAnsi="宋体"/>
                      <w:color w:val="auto"/>
                      <w:szCs w:val="21"/>
                      <w:u w:val="single"/>
                    </w:rPr>
                    <w:t>钻石模抛光设备</w:t>
                  </w:r>
                </w:p>
              </w:tc>
              <w:tc>
                <w:tcPr>
                  <w:tcW w:w="713" w:type="dxa"/>
                  <w:noWrap w:val="0"/>
                  <w:vAlign w:val="center"/>
                </w:tcPr>
                <w:p>
                  <w:pPr>
                    <w:spacing w:line="240" w:lineRule="auto"/>
                    <w:jc w:val="center"/>
                    <w:rPr>
                      <w:rFonts w:hint="eastAsia" w:hAnsi="宋体"/>
                      <w:color w:val="auto"/>
                      <w:szCs w:val="21"/>
                      <w:highlight w:val="none"/>
                      <w:u w:val="single"/>
                      <w:lang w:eastAsia="zh-CN"/>
                    </w:rPr>
                  </w:pPr>
                  <w:r>
                    <w:rPr>
                      <w:rFonts w:hAnsi="宋体"/>
                      <w:color w:val="auto"/>
                      <w:szCs w:val="21"/>
                      <w:highlight w:val="none"/>
                      <w:u w:val="single"/>
                    </w:rPr>
                    <w:t>台</w:t>
                  </w:r>
                </w:p>
              </w:tc>
              <w:tc>
                <w:tcPr>
                  <w:tcW w:w="889" w:type="dxa"/>
                  <w:noWrap w:val="0"/>
                  <w:vAlign w:val="center"/>
                </w:tcPr>
                <w:p>
                  <w:pPr>
                    <w:spacing w:line="240" w:lineRule="auto"/>
                    <w:jc w:val="center"/>
                    <w:rPr>
                      <w:rFonts w:hint="default" w:cs="Times New Roman"/>
                      <w:b w:val="0"/>
                      <w:bCs w:val="0"/>
                      <w:color w:val="auto"/>
                      <w:kern w:val="0"/>
                      <w:szCs w:val="21"/>
                      <w:highlight w:val="none"/>
                      <w:u w:val="single"/>
                      <w:lang w:val="en-US" w:eastAsia="zh-CN" w:bidi="ar"/>
                    </w:rPr>
                  </w:pPr>
                  <w:r>
                    <w:rPr>
                      <w:rFonts w:hint="eastAsia" w:cs="Times New Roman"/>
                      <w:b w:val="0"/>
                      <w:bCs w:val="0"/>
                      <w:color w:val="auto"/>
                      <w:kern w:val="0"/>
                      <w:szCs w:val="21"/>
                      <w:highlight w:val="none"/>
                      <w:u w:val="single"/>
                      <w:lang w:val="en-US" w:eastAsia="zh-CN" w:bidi="ar"/>
                    </w:rPr>
                    <w:t>1</w:t>
                  </w:r>
                </w:p>
              </w:tc>
              <w:tc>
                <w:tcPr>
                  <w:tcW w:w="695" w:type="dxa"/>
                  <w:noWrap w:val="0"/>
                  <w:vAlign w:val="center"/>
                </w:tcPr>
                <w:p>
                  <w:pPr>
                    <w:spacing w:line="240" w:lineRule="auto"/>
                    <w:jc w:val="center"/>
                    <w:rPr>
                      <w:rFonts w:hint="eastAsia" w:cs="Times New Roman"/>
                      <w:b w:val="0"/>
                      <w:bCs w:val="0"/>
                      <w:color w:val="auto"/>
                      <w:sz w:val="21"/>
                      <w:szCs w:val="21"/>
                      <w:highlight w:val="none"/>
                      <w:u w:val="single"/>
                      <w:lang w:val="en-US" w:eastAsia="zh-CN"/>
                    </w:rPr>
                  </w:pPr>
                  <w:r>
                    <w:rPr>
                      <w:rFonts w:hint="eastAsia" w:cs="Times New Roman"/>
                      <w:b w:val="0"/>
                      <w:bCs w:val="0"/>
                      <w:color w:val="auto"/>
                      <w:kern w:val="0"/>
                      <w:szCs w:val="21"/>
                      <w:highlight w:val="none"/>
                      <w:u w:val="single"/>
                      <w:lang w:val="en-US" w:eastAsia="zh-CN" w:bidi="ar"/>
                    </w:rPr>
                    <w:t>0</w:t>
                  </w:r>
                </w:p>
              </w:tc>
              <w:tc>
                <w:tcPr>
                  <w:tcW w:w="720" w:type="dxa"/>
                  <w:noWrap w:val="0"/>
                  <w:vAlign w:val="center"/>
                </w:tcPr>
                <w:p>
                  <w:pPr>
                    <w:autoSpaceDE w:val="0"/>
                    <w:autoSpaceDN w:val="0"/>
                    <w:adjustRightInd w:val="0"/>
                    <w:spacing w:line="240" w:lineRule="auto"/>
                    <w:jc w:val="center"/>
                    <w:rPr>
                      <w:rFonts w:hint="eastAsia" w:cs="Times New Roman"/>
                      <w:b w:val="0"/>
                      <w:bCs w:val="0"/>
                      <w:color w:val="auto"/>
                      <w:kern w:val="0"/>
                      <w:szCs w:val="21"/>
                      <w:highlight w:val="none"/>
                      <w:u w:val="single"/>
                      <w:lang w:val="en-US" w:eastAsia="zh-CN" w:bidi="ar"/>
                    </w:rPr>
                  </w:pPr>
                  <w:r>
                    <w:rPr>
                      <w:rFonts w:hint="eastAsia"/>
                      <w:color w:val="auto"/>
                      <w:kern w:val="0"/>
                      <w:szCs w:val="21"/>
                      <w:highlight w:val="none"/>
                      <w:u w:val="single"/>
                      <w:lang w:val="en-US" w:eastAsia="zh-CN"/>
                    </w:rPr>
                    <w:t>-1</w:t>
                  </w:r>
                </w:p>
              </w:tc>
              <w:tc>
                <w:tcPr>
                  <w:tcW w:w="1805" w:type="dxa"/>
                  <w:noWrap w:val="0"/>
                  <w:vAlign w:val="center"/>
                </w:tcPr>
                <w:p>
                  <w:pPr>
                    <w:spacing w:line="240" w:lineRule="auto"/>
                    <w:jc w:val="center"/>
                    <w:rPr>
                      <w:rFonts w:hint="default"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UPM-250</w:t>
                  </w:r>
                </w:p>
              </w:tc>
              <w:tc>
                <w:tcPr>
                  <w:tcW w:w="1077"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u w:val="single"/>
                      <w:lang w:eastAsia="zh-CN"/>
                    </w:rPr>
                    <w:t>修复磨具</w:t>
                  </w:r>
                </w:p>
              </w:tc>
              <w:tc>
                <w:tcPr>
                  <w:tcW w:w="1233" w:type="dxa"/>
                  <w:noWrap w:val="0"/>
                  <w:vAlign w:val="center"/>
                </w:tcPr>
                <w:p>
                  <w:pPr>
                    <w:autoSpaceDE w:val="0"/>
                    <w:autoSpaceDN w:val="0"/>
                    <w:adjustRightInd w:val="0"/>
                    <w:spacing w:line="240" w:lineRule="auto"/>
                    <w:jc w:val="center"/>
                    <w:rPr>
                      <w:rFonts w:hint="eastAsia"/>
                      <w:b w:val="0"/>
                      <w:bCs w:val="0"/>
                      <w:color w:val="auto"/>
                      <w:kern w:val="0"/>
                      <w:szCs w:val="21"/>
                      <w:u w:val="single"/>
                      <w:lang w:eastAsia="zh-CN" w:bidi="ar"/>
                    </w:rPr>
                  </w:pPr>
                  <w:r>
                    <w:rPr>
                      <w:rFonts w:hint="eastAsia"/>
                      <w:b/>
                      <w:bCs/>
                      <w:color w:val="auto"/>
                      <w:kern w:val="0"/>
                      <w:szCs w:val="21"/>
                      <w:u w:val="single"/>
                      <w:lang w:eastAsia="zh-CN" w:bidi="ar"/>
                    </w:rPr>
                    <w:t>取消</w:t>
                  </w:r>
                </w:p>
              </w:tc>
            </w:tr>
          </w:tbl>
          <w:p>
            <w:pPr>
              <w:spacing w:line="360" w:lineRule="auto"/>
              <w:ind w:firstLine="480" w:firstLineChars="200"/>
              <w:jc w:val="left"/>
              <w:rPr>
                <w:rFonts w:hint="default" w:ascii="宋体" w:hAnsi="宋体" w:cs="宋体"/>
                <w:b/>
                <w:color w:val="auto"/>
                <w:sz w:val="24"/>
                <w:szCs w:val="24"/>
                <w:u w:val="single"/>
                <w:lang w:val="en-US" w:bidi="ar"/>
              </w:rPr>
            </w:pPr>
            <w:r>
              <w:rPr>
                <w:rFonts w:hint="eastAsia" w:cs="宋体"/>
                <w:color w:val="auto"/>
                <w:sz w:val="24"/>
                <w:szCs w:val="24"/>
                <w:highlight w:val="none"/>
                <w:u w:val="single"/>
                <w:lang w:val="en-US" w:eastAsia="zh-CN"/>
              </w:rPr>
              <w:t>本次改扩建新增药芯焊丝生产线、特种电焊条生产线、塑料盘生产线等</w:t>
            </w:r>
            <w:r>
              <w:rPr>
                <w:rFonts w:hint="eastAsia" w:ascii="Times New Roman" w:hAnsi="Times New Roman" w:eastAsia="宋体" w:cs="宋体"/>
                <w:color w:val="auto"/>
                <w:sz w:val="24"/>
                <w:szCs w:val="24"/>
                <w:highlight w:val="none"/>
                <w:u w:val="single"/>
                <w:lang w:val="en-US" w:eastAsia="zh-CN"/>
              </w:rPr>
              <w:t>主要生产设备</w:t>
            </w:r>
            <w:r>
              <w:rPr>
                <w:rFonts w:hint="eastAsia" w:cs="宋体"/>
                <w:color w:val="auto"/>
                <w:sz w:val="24"/>
                <w:szCs w:val="24"/>
                <w:highlight w:val="none"/>
                <w:u w:val="single"/>
                <w:lang w:val="en-US" w:eastAsia="zh-CN"/>
              </w:rPr>
              <w:t>，具体</w:t>
            </w:r>
            <w:r>
              <w:rPr>
                <w:rFonts w:hint="eastAsia" w:ascii="Times New Roman" w:hAnsi="Times New Roman" w:eastAsia="宋体" w:cs="宋体"/>
                <w:color w:val="auto"/>
                <w:sz w:val="24"/>
                <w:szCs w:val="24"/>
                <w:highlight w:val="none"/>
                <w:u w:val="single"/>
                <w:lang w:val="en-US" w:eastAsia="zh-CN"/>
              </w:rPr>
              <w:t>见下表2.5-2。</w:t>
            </w:r>
          </w:p>
          <w:p>
            <w:pPr>
              <w:jc w:val="center"/>
              <w:rPr>
                <w:rFonts w:hint="default" w:eastAsia="宋体"/>
                <w:b/>
                <w:color w:val="auto"/>
                <w:sz w:val="24"/>
                <w:szCs w:val="24"/>
                <w:u w:val="none"/>
                <w:lang w:val="en-US" w:eastAsia="zh-CN"/>
              </w:rPr>
            </w:pPr>
            <w:r>
              <w:rPr>
                <w:rFonts w:hint="eastAsia" w:ascii="宋体" w:hAnsi="宋体" w:cs="宋体"/>
                <w:b/>
                <w:color w:val="auto"/>
                <w:sz w:val="24"/>
                <w:szCs w:val="24"/>
                <w:u w:val="none"/>
                <w:lang w:bidi="ar"/>
              </w:rPr>
              <w:t>表</w:t>
            </w:r>
            <w:r>
              <w:rPr>
                <w:rFonts w:hint="eastAsia"/>
                <w:b/>
                <w:color w:val="auto"/>
                <w:sz w:val="24"/>
                <w:szCs w:val="24"/>
                <w:u w:val="none"/>
                <w:lang w:val="en-US" w:eastAsia="zh-CN" w:bidi="ar"/>
              </w:rPr>
              <w:t>2.5-2</w:t>
            </w:r>
            <w:r>
              <w:rPr>
                <w:rFonts w:hint="eastAsia" w:ascii="宋体" w:hAnsi="宋体" w:cs="宋体"/>
                <w:b/>
                <w:color w:val="auto"/>
                <w:sz w:val="24"/>
                <w:szCs w:val="24"/>
                <w:u w:val="none"/>
                <w:lang w:val="en-US" w:eastAsia="zh-CN" w:bidi="ar"/>
              </w:rPr>
              <w:t>本次改扩建新增主要生产设备一览表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853"/>
              <w:gridCol w:w="1761"/>
              <w:gridCol w:w="800"/>
              <w:gridCol w:w="933"/>
              <w:gridCol w:w="2072"/>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vMerge w:val="restart"/>
                  <w:noWrap w:val="0"/>
                  <w:vAlign w:val="center"/>
                </w:tcPr>
                <w:p>
                  <w:pPr>
                    <w:autoSpaceDE w:val="0"/>
                    <w:autoSpaceDN w:val="0"/>
                    <w:adjustRightInd w:val="0"/>
                    <w:spacing w:line="240" w:lineRule="auto"/>
                    <w:jc w:val="center"/>
                    <w:rPr>
                      <w:b/>
                      <w:bCs/>
                      <w:color w:val="auto"/>
                      <w:kern w:val="0"/>
                      <w:szCs w:val="21"/>
                      <w:u w:val="single"/>
                    </w:rPr>
                  </w:pPr>
                  <w:r>
                    <w:rPr>
                      <w:b/>
                      <w:bCs/>
                      <w:color w:val="auto"/>
                      <w:kern w:val="0"/>
                      <w:szCs w:val="21"/>
                      <w:u w:val="single"/>
                      <w:lang w:bidi="ar"/>
                    </w:rPr>
                    <w:t>序号</w:t>
                  </w:r>
                </w:p>
              </w:tc>
              <w:tc>
                <w:tcPr>
                  <w:tcW w:w="1853" w:type="dxa"/>
                  <w:vMerge w:val="restart"/>
                  <w:noWrap w:val="0"/>
                  <w:vAlign w:val="center"/>
                </w:tcPr>
                <w:p>
                  <w:pPr>
                    <w:autoSpaceDE w:val="0"/>
                    <w:autoSpaceDN w:val="0"/>
                    <w:adjustRightInd w:val="0"/>
                    <w:spacing w:line="240" w:lineRule="auto"/>
                    <w:jc w:val="center"/>
                    <w:rPr>
                      <w:b/>
                      <w:bCs/>
                      <w:color w:val="auto"/>
                      <w:kern w:val="0"/>
                      <w:szCs w:val="21"/>
                      <w:highlight w:val="none"/>
                      <w:u w:val="single"/>
                    </w:rPr>
                  </w:pPr>
                  <w:r>
                    <w:rPr>
                      <w:b/>
                      <w:bCs/>
                      <w:color w:val="auto"/>
                      <w:kern w:val="0"/>
                      <w:szCs w:val="21"/>
                      <w:highlight w:val="none"/>
                      <w:u w:val="single"/>
                      <w:lang w:bidi="ar"/>
                    </w:rPr>
                    <w:t>名称</w:t>
                  </w:r>
                </w:p>
              </w:tc>
              <w:tc>
                <w:tcPr>
                  <w:tcW w:w="3494" w:type="dxa"/>
                  <w:gridSpan w:val="3"/>
                  <w:noWrap w:val="0"/>
                  <w:vAlign w:val="center"/>
                </w:tcPr>
                <w:p>
                  <w:pPr>
                    <w:autoSpaceDE w:val="0"/>
                    <w:autoSpaceDN w:val="0"/>
                    <w:adjustRightInd w:val="0"/>
                    <w:spacing w:line="240" w:lineRule="auto"/>
                    <w:jc w:val="center"/>
                    <w:rPr>
                      <w:b/>
                      <w:bCs/>
                      <w:color w:val="auto"/>
                      <w:kern w:val="0"/>
                      <w:szCs w:val="21"/>
                      <w:highlight w:val="none"/>
                      <w:u w:val="single"/>
                    </w:rPr>
                  </w:pPr>
                  <w:r>
                    <w:rPr>
                      <w:rFonts w:hint="eastAsia"/>
                      <w:b/>
                      <w:bCs/>
                      <w:color w:val="auto"/>
                      <w:kern w:val="0"/>
                      <w:szCs w:val="21"/>
                      <w:highlight w:val="none"/>
                      <w:u w:val="single"/>
                      <w:lang w:eastAsia="zh-CN" w:bidi="ar"/>
                    </w:rPr>
                    <w:t>主要设备</w:t>
                  </w:r>
                </w:p>
              </w:tc>
              <w:tc>
                <w:tcPr>
                  <w:tcW w:w="2072" w:type="dxa"/>
                  <w:vMerge w:val="restart"/>
                  <w:noWrap w:val="0"/>
                  <w:vAlign w:val="center"/>
                </w:tcPr>
                <w:p>
                  <w:pPr>
                    <w:autoSpaceDE w:val="0"/>
                    <w:autoSpaceDN w:val="0"/>
                    <w:adjustRightInd w:val="0"/>
                    <w:spacing w:line="240" w:lineRule="auto"/>
                    <w:jc w:val="center"/>
                    <w:rPr>
                      <w:rFonts w:hint="eastAsia" w:eastAsia="宋体"/>
                      <w:b/>
                      <w:bCs/>
                      <w:color w:val="auto"/>
                      <w:kern w:val="0"/>
                      <w:szCs w:val="21"/>
                      <w:highlight w:val="none"/>
                      <w:u w:val="single"/>
                      <w:lang w:eastAsia="zh-CN"/>
                    </w:rPr>
                  </w:pPr>
                  <w:r>
                    <w:rPr>
                      <w:rFonts w:hint="eastAsia"/>
                      <w:b/>
                      <w:bCs/>
                      <w:color w:val="auto"/>
                      <w:kern w:val="0"/>
                      <w:szCs w:val="21"/>
                      <w:highlight w:val="none"/>
                      <w:u w:val="single"/>
                      <w:lang w:eastAsia="zh-CN" w:bidi="ar"/>
                    </w:rPr>
                    <w:t>用途</w:t>
                  </w:r>
                </w:p>
              </w:tc>
              <w:tc>
                <w:tcPr>
                  <w:tcW w:w="1103" w:type="dxa"/>
                  <w:vMerge w:val="restart"/>
                  <w:noWrap w:val="0"/>
                  <w:vAlign w:val="center"/>
                </w:tcPr>
                <w:p>
                  <w:pPr>
                    <w:autoSpaceDE w:val="0"/>
                    <w:autoSpaceDN w:val="0"/>
                    <w:adjustRightInd w:val="0"/>
                    <w:spacing w:line="240" w:lineRule="auto"/>
                    <w:jc w:val="center"/>
                    <w:rPr>
                      <w:rFonts w:hint="eastAsia" w:eastAsia="宋体"/>
                      <w:b/>
                      <w:bCs/>
                      <w:color w:val="auto"/>
                      <w:kern w:val="0"/>
                      <w:szCs w:val="21"/>
                      <w:u w:val="single"/>
                      <w:lang w:eastAsia="zh-CN" w:bidi="ar"/>
                    </w:rPr>
                  </w:pPr>
                  <w:r>
                    <w:rPr>
                      <w:rFonts w:hint="eastAsia"/>
                      <w:b/>
                      <w:bCs/>
                      <w:color w:val="auto"/>
                      <w:kern w:val="0"/>
                      <w:szCs w:val="21"/>
                      <w:u w:val="single"/>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vMerge w:val="continue"/>
                  <w:noWrap w:val="0"/>
                  <w:vAlign w:val="center"/>
                </w:tcPr>
                <w:p>
                  <w:pPr>
                    <w:autoSpaceDE w:val="0"/>
                    <w:autoSpaceDN w:val="0"/>
                    <w:adjustRightInd w:val="0"/>
                    <w:spacing w:line="240" w:lineRule="auto"/>
                    <w:jc w:val="center"/>
                    <w:rPr>
                      <w:b/>
                      <w:bCs/>
                      <w:color w:val="auto"/>
                      <w:kern w:val="0"/>
                      <w:szCs w:val="21"/>
                      <w:u w:val="none"/>
                      <w:lang w:bidi="ar"/>
                    </w:rPr>
                  </w:pPr>
                </w:p>
              </w:tc>
              <w:tc>
                <w:tcPr>
                  <w:tcW w:w="1853" w:type="dxa"/>
                  <w:vMerge w:val="continue"/>
                  <w:noWrap w:val="0"/>
                  <w:vAlign w:val="center"/>
                </w:tcPr>
                <w:p>
                  <w:pPr>
                    <w:autoSpaceDE w:val="0"/>
                    <w:autoSpaceDN w:val="0"/>
                    <w:adjustRightInd w:val="0"/>
                    <w:spacing w:line="240" w:lineRule="auto"/>
                    <w:jc w:val="center"/>
                    <w:rPr>
                      <w:b/>
                      <w:bCs/>
                      <w:color w:val="auto"/>
                      <w:kern w:val="0"/>
                      <w:szCs w:val="21"/>
                      <w:highlight w:val="none"/>
                      <w:u w:val="none"/>
                      <w:lang w:bidi="ar"/>
                    </w:rPr>
                  </w:pPr>
                </w:p>
              </w:tc>
              <w:tc>
                <w:tcPr>
                  <w:tcW w:w="1761" w:type="dxa"/>
                  <w:noWrap w:val="0"/>
                  <w:vAlign w:val="center"/>
                </w:tcPr>
                <w:p>
                  <w:pPr>
                    <w:autoSpaceDE w:val="0"/>
                    <w:autoSpaceDN w:val="0"/>
                    <w:adjustRightInd w:val="0"/>
                    <w:spacing w:line="240" w:lineRule="auto"/>
                    <w:jc w:val="center"/>
                    <w:rPr>
                      <w:rFonts w:hint="eastAsia"/>
                      <w:b/>
                      <w:bCs/>
                      <w:color w:val="auto"/>
                      <w:kern w:val="0"/>
                      <w:szCs w:val="21"/>
                      <w:highlight w:val="none"/>
                      <w:u w:val="none"/>
                      <w:lang w:eastAsia="zh-CN" w:bidi="ar"/>
                    </w:rPr>
                  </w:pPr>
                  <w:r>
                    <w:rPr>
                      <w:rFonts w:hint="eastAsia"/>
                      <w:b/>
                      <w:bCs/>
                      <w:color w:val="auto"/>
                      <w:kern w:val="0"/>
                      <w:szCs w:val="21"/>
                      <w:highlight w:val="none"/>
                      <w:u w:val="none"/>
                      <w:lang w:eastAsia="zh-CN" w:bidi="ar"/>
                    </w:rPr>
                    <w:t>型号</w:t>
                  </w:r>
                </w:p>
              </w:tc>
              <w:tc>
                <w:tcPr>
                  <w:tcW w:w="800" w:type="dxa"/>
                  <w:noWrap w:val="0"/>
                  <w:vAlign w:val="center"/>
                </w:tcPr>
                <w:p>
                  <w:pPr>
                    <w:autoSpaceDE w:val="0"/>
                    <w:autoSpaceDN w:val="0"/>
                    <w:adjustRightInd w:val="0"/>
                    <w:spacing w:line="240" w:lineRule="auto"/>
                    <w:jc w:val="center"/>
                    <w:rPr>
                      <w:rFonts w:hint="eastAsia"/>
                      <w:b/>
                      <w:bCs/>
                      <w:color w:val="auto"/>
                      <w:kern w:val="0"/>
                      <w:szCs w:val="21"/>
                      <w:highlight w:val="none"/>
                      <w:u w:val="none"/>
                      <w:lang w:eastAsia="zh-CN" w:bidi="ar"/>
                    </w:rPr>
                  </w:pPr>
                  <w:r>
                    <w:rPr>
                      <w:rFonts w:hint="eastAsia"/>
                      <w:b/>
                      <w:bCs/>
                      <w:color w:val="auto"/>
                      <w:kern w:val="0"/>
                      <w:szCs w:val="21"/>
                      <w:highlight w:val="none"/>
                      <w:u w:val="none"/>
                      <w:lang w:eastAsia="zh-CN" w:bidi="ar"/>
                    </w:rPr>
                    <w:t>单位</w:t>
                  </w:r>
                </w:p>
              </w:tc>
              <w:tc>
                <w:tcPr>
                  <w:tcW w:w="933" w:type="dxa"/>
                  <w:noWrap w:val="0"/>
                  <w:vAlign w:val="center"/>
                </w:tcPr>
                <w:p>
                  <w:pPr>
                    <w:autoSpaceDE w:val="0"/>
                    <w:autoSpaceDN w:val="0"/>
                    <w:adjustRightInd w:val="0"/>
                    <w:spacing w:line="240" w:lineRule="auto"/>
                    <w:jc w:val="center"/>
                    <w:rPr>
                      <w:rFonts w:hint="eastAsia"/>
                      <w:b/>
                      <w:bCs/>
                      <w:color w:val="auto"/>
                      <w:kern w:val="0"/>
                      <w:szCs w:val="21"/>
                      <w:highlight w:val="none"/>
                      <w:u w:val="none"/>
                      <w:lang w:eastAsia="zh-CN" w:bidi="ar"/>
                    </w:rPr>
                  </w:pPr>
                  <w:r>
                    <w:rPr>
                      <w:b/>
                      <w:bCs/>
                      <w:color w:val="auto"/>
                      <w:kern w:val="0"/>
                      <w:szCs w:val="21"/>
                      <w:highlight w:val="none"/>
                      <w:u w:val="none"/>
                      <w:lang w:bidi="ar"/>
                    </w:rPr>
                    <w:t>数量</w:t>
                  </w:r>
                </w:p>
              </w:tc>
              <w:tc>
                <w:tcPr>
                  <w:tcW w:w="2072" w:type="dxa"/>
                  <w:vMerge w:val="continue"/>
                  <w:noWrap w:val="0"/>
                  <w:vAlign w:val="center"/>
                </w:tcPr>
                <w:p>
                  <w:pPr>
                    <w:autoSpaceDE w:val="0"/>
                    <w:autoSpaceDN w:val="0"/>
                    <w:adjustRightInd w:val="0"/>
                    <w:spacing w:line="240" w:lineRule="auto"/>
                    <w:jc w:val="center"/>
                    <w:rPr>
                      <w:rFonts w:hint="eastAsia"/>
                      <w:b/>
                      <w:bCs/>
                      <w:color w:val="auto"/>
                      <w:kern w:val="0"/>
                      <w:szCs w:val="21"/>
                      <w:highlight w:val="none"/>
                      <w:u w:val="none"/>
                      <w:lang w:eastAsia="zh-CN" w:bidi="ar"/>
                    </w:rPr>
                  </w:pPr>
                </w:p>
              </w:tc>
              <w:tc>
                <w:tcPr>
                  <w:tcW w:w="1103" w:type="dxa"/>
                  <w:vMerge w:val="continue"/>
                  <w:noWrap w:val="0"/>
                  <w:vAlign w:val="center"/>
                </w:tcPr>
                <w:p>
                  <w:pPr>
                    <w:autoSpaceDE w:val="0"/>
                    <w:autoSpaceDN w:val="0"/>
                    <w:adjustRightInd w:val="0"/>
                    <w:spacing w:line="240" w:lineRule="auto"/>
                    <w:jc w:val="center"/>
                    <w:rPr>
                      <w:rFonts w:hint="eastAsia"/>
                      <w:b/>
                      <w:bCs/>
                      <w:color w:val="auto"/>
                      <w:kern w:val="0"/>
                      <w:szCs w:val="21"/>
                      <w:u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outlineLvl w:val="9"/>
                    <w:rPr>
                      <w:rFonts w:hint="eastAsia" w:ascii="Times New Roman" w:hAnsi="Times New Roman" w:eastAsia="宋体" w:cs="Times New Roman"/>
                      <w:b/>
                      <w:bCs/>
                      <w:color w:val="auto"/>
                      <w:kern w:val="0"/>
                      <w:szCs w:val="21"/>
                      <w:u w:val="none"/>
                      <w:lang w:eastAsia="zh-CN" w:bidi="ar"/>
                    </w:rPr>
                  </w:pPr>
                  <w:r>
                    <w:rPr>
                      <w:rFonts w:hint="eastAsia" w:cs="Times New Roman"/>
                      <w:b/>
                      <w:bCs/>
                      <w:color w:val="auto"/>
                      <w:kern w:val="0"/>
                      <w:szCs w:val="21"/>
                      <w:u w:val="none"/>
                      <w:lang w:eastAsia="zh-CN" w:bidi="ar"/>
                    </w:rPr>
                    <w:t>一</w:t>
                  </w:r>
                </w:p>
              </w:tc>
              <w:tc>
                <w:tcPr>
                  <w:tcW w:w="8522" w:type="dxa"/>
                  <w:gridSpan w:val="6"/>
                  <w:noWrap w:val="0"/>
                  <w:vAlign w:val="center"/>
                </w:tcPr>
                <w:p>
                  <w:pPr>
                    <w:autoSpaceDE w:val="0"/>
                    <w:autoSpaceDN w:val="0"/>
                    <w:adjustRightInd w:val="0"/>
                    <w:spacing w:line="240" w:lineRule="auto"/>
                    <w:jc w:val="left"/>
                    <w:rPr>
                      <w:rFonts w:ascii="Times New Roman" w:hAnsi="Times New Roman" w:eastAsia="宋体" w:cs="Times New Roman"/>
                      <w:b/>
                      <w:bCs/>
                      <w:color w:val="auto"/>
                      <w:kern w:val="0"/>
                      <w:szCs w:val="21"/>
                      <w:u w:val="none"/>
                      <w:lang w:bidi="ar"/>
                    </w:rPr>
                  </w:pPr>
                  <w:r>
                    <w:rPr>
                      <w:rFonts w:ascii="Times New Roman" w:hAnsi="Times New Roman" w:eastAsia="宋体" w:cs="Times New Roman"/>
                      <w:b/>
                      <w:bCs/>
                      <w:color w:val="auto"/>
                      <w:kern w:val="0"/>
                      <w:szCs w:val="21"/>
                      <w:u w:val="none"/>
                      <w:lang w:bidi="ar"/>
                    </w:rPr>
                    <w:t>药芯焊丝</w:t>
                  </w:r>
                  <w:r>
                    <w:rPr>
                      <w:rFonts w:hint="eastAsia" w:ascii="Times New Roman" w:hAnsi="Times New Roman" w:eastAsia="宋体" w:cs="Times New Roman"/>
                      <w:b/>
                      <w:bCs/>
                      <w:color w:val="auto"/>
                      <w:kern w:val="0"/>
                      <w:szCs w:val="21"/>
                      <w:u w:val="none"/>
                      <w:lang w:bidi="ar"/>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联合纵剪机</w:t>
                  </w:r>
                </w:p>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（分条机）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hAnsi="宋体"/>
                      <w:b w:val="0"/>
                      <w:bCs w:val="0"/>
                      <w:color w:val="auto"/>
                      <w:szCs w:val="21"/>
                      <w:highlight w:val="none"/>
                      <w:u w:val="single"/>
                      <w:lang w:val="en-US" w:eastAsia="zh-CN"/>
                    </w:rPr>
                    <w:t>FT18</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3</w:t>
                  </w:r>
                </w:p>
              </w:tc>
              <w:tc>
                <w:tcPr>
                  <w:tcW w:w="2072"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eastAsia="zh-CN"/>
                    </w:rPr>
                    <w:t>钢带分成窄带</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轧丝机（成型机）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长城桥DY-3</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8</w:t>
                  </w:r>
                </w:p>
              </w:tc>
              <w:tc>
                <w:tcPr>
                  <w:tcW w:w="2072"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eastAsia="zh-CN"/>
                    </w:rPr>
                    <w:t>将窄带轧成O形</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拉丝机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科奥LZ11/450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20</w:t>
                  </w:r>
                </w:p>
              </w:tc>
              <w:tc>
                <w:tcPr>
                  <w:tcW w:w="2072"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eastAsia="zh-CN"/>
                    </w:rPr>
                    <w:t>减径</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拌粉机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南方V- 型</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4</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将各种药粉拌均匀</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烘干机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HT14-899，50kw，960℃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6</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烘干</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包装机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DZ-600/2SC</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4</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包装</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叉车</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CPC30-AG2，G5AD56520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2</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装卸</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5"/>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val="en-US" w:eastAsia="zh-CN"/>
                    </w:rPr>
                    <w:t>钢带复绕机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GDFR-W400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4</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复绕</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outlineLvl w:val="9"/>
                    <w:rPr>
                      <w:rFonts w:hint="eastAsia" w:ascii="Times New Roman" w:hAnsi="Times New Roman" w:eastAsia="宋体" w:cs="Times New Roman"/>
                      <w:b/>
                      <w:bCs/>
                      <w:color w:val="auto"/>
                      <w:kern w:val="0"/>
                      <w:szCs w:val="21"/>
                      <w:u w:val="none"/>
                      <w:lang w:eastAsia="zh-CN" w:bidi="ar"/>
                    </w:rPr>
                  </w:pPr>
                  <w:r>
                    <w:rPr>
                      <w:rFonts w:hint="eastAsia" w:cs="Times New Roman"/>
                      <w:b/>
                      <w:bCs/>
                      <w:color w:val="auto"/>
                      <w:kern w:val="0"/>
                      <w:szCs w:val="21"/>
                      <w:u w:val="none"/>
                      <w:lang w:eastAsia="zh-CN" w:bidi="ar"/>
                    </w:rPr>
                    <w:t>二</w:t>
                  </w:r>
                </w:p>
              </w:tc>
              <w:tc>
                <w:tcPr>
                  <w:tcW w:w="8522" w:type="dxa"/>
                  <w:gridSpan w:val="6"/>
                  <w:noWrap w:val="0"/>
                  <w:vAlign w:val="center"/>
                </w:tcPr>
                <w:p>
                  <w:pPr>
                    <w:autoSpaceDE w:val="0"/>
                    <w:autoSpaceDN w:val="0"/>
                    <w:adjustRightInd w:val="0"/>
                    <w:spacing w:line="240" w:lineRule="auto"/>
                    <w:jc w:val="left"/>
                    <w:rPr>
                      <w:rFonts w:ascii="Times New Roman" w:hAnsi="Times New Roman" w:eastAsia="宋体" w:cs="Times New Roman"/>
                      <w:b/>
                      <w:bCs/>
                      <w:color w:val="auto"/>
                      <w:kern w:val="0"/>
                      <w:szCs w:val="21"/>
                      <w:u w:val="none"/>
                      <w:lang w:bidi="ar"/>
                    </w:rPr>
                  </w:pPr>
                  <w:r>
                    <w:rPr>
                      <w:rFonts w:ascii="Times New Roman" w:hAnsi="Times New Roman" w:eastAsia="宋体" w:cs="Times New Roman"/>
                      <w:b/>
                      <w:bCs/>
                      <w:color w:val="auto"/>
                      <w:kern w:val="0"/>
                      <w:szCs w:val="21"/>
                      <w:u w:val="none"/>
                      <w:lang w:bidi="ar"/>
                    </w:rPr>
                    <w:t>特种电焊条</w:t>
                  </w:r>
                  <w:r>
                    <w:rPr>
                      <w:rFonts w:hint="eastAsia" w:ascii="Times New Roman" w:hAnsi="Times New Roman" w:eastAsia="宋体" w:cs="Times New Roman"/>
                      <w:b/>
                      <w:bCs/>
                      <w:color w:val="auto"/>
                      <w:kern w:val="0"/>
                      <w:szCs w:val="21"/>
                      <w:u w:val="none"/>
                      <w:lang w:bidi="ar"/>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多联拉丝机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hAnsi="宋体"/>
                      <w:b w:val="0"/>
                      <w:bCs w:val="0"/>
                      <w:color w:val="auto"/>
                      <w:szCs w:val="21"/>
                      <w:highlight w:val="none"/>
                      <w:u w:val="single"/>
                      <w:lang w:val="en-US" w:eastAsia="zh-CN"/>
                    </w:rPr>
                    <w:t>LW-400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color w:val="auto"/>
                      <w:szCs w:val="21"/>
                      <w:highlight w:val="none"/>
                      <w:u w:val="single"/>
                      <w:lang w:val="en-US" w:eastAsia="zh-CN"/>
                    </w:rPr>
                    <w:t>4</w:t>
                  </w:r>
                </w:p>
              </w:tc>
              <w:tc>
                <w:tcPr>
                  <w:tcW w:w="2072"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eastAsia="zh-CN"/>
                    </w:rPr>
                    <w:t>减径</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切丝机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QD-1,φ1.6-φ4.0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color w:val="auto"/>
                      <w:szCs w:val="21"/>
                      <w:highlight w:val="none"/>
                      <w:u w:val="single"/>
                      <w:lang w:val="en-US" w:eastAsia="zh-CN"/>
                    </w:rPr>
                    <w:t>12</w:t>
                  </w:r>
                </w:p>
              </w:tc>
              <w:tc>
                <w:tcPr>
                  <w:tcW w:w="2072"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eastAsia="zh-CN"/>
                    </w:rPr>
                    <w:t>将长条切成小段</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打团机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HFY40A</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eastAsia="zh-CN"/>
                    </w:rPr>
                  </w:pPr>
                  <w:r>
                    <w:rPr>
                      <w:rFonts w:hint="eastAsia" w:cs="Times New Roman"/>
                      <w:color w:val="auto"/>
                      <w:szCs w:val="21"/>
                      <w:highlight w:val="none"/>
                      <w:u w:val="single"/>
                      <w:lang w:val="en-US" w:eastAsia="zh-CN"/>
                    </w:rPr>
                    <w:t>4</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将药粉压成小团</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压涂机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hAnsi="宋体"/>
                      <w:b w:val="0"/>
                      <w:bCs w:val="0"/>
                      <w:color w:val="auto"/>
                      <w:szCs w:val="21"/>
                      <w:highlight w:val="none"/>
                      <w:u w:val="single"/>
                      <w:lang w:val="en-US" w:eastAsia="zh-CN"/>
                    </w:rPr>
                    <w:t>NH-400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eastAsia="zh-CN"/>
                    </w:rPr>
                  </w:pPr>
                  <w:r>
                    <w:rPr>
                      <w:rFonts w:hint="eastAsia" w:cs="Times New Roman"/>
                      <w:color w:val="auto"/>
                      <w:szCs w:val="21"/>
                      <w:highlight w:val="none"/>
                      <w:u w:val="single"/>
                      <w:lang w:val="en-US" w:eastAsia="zh-CN"/>
                    </w:rPr>
                    <w:t>6</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压制</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送丝机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JS-140YG</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eastAsia="zh-CN"/>
                    </w:rPr>
                  </w:pPr>
                  <w:r>
                    <w:rPr>
                      <w:rFonts w:hint="eastAsia"/>
                      <w:color w:val="auto"/>
                      <w:szCs w:val="21"/>
                      <w:highlight w:val="none"/>
                      <w:u w:val="single"/>
                      <w:lang w:val="en-US" w:eastAsia="zh-CN"/>
                    </w:rPr>
                    <w:t>6</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将钢芯送入压涂</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磨头削尾机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eastAsia="zh-CN"/>
                    </w:rPr>
                  </w:pPr>
                  <w:r>
                    <w:rPr>
                      <w:rFonts w:hint="eastAsia"/>
                      <w:color w:val="auto"/>
                      <w:szCs w:val="21"/>
                      <w:highlight w:val="none"/>
                      <w:u w:val="single"/>
                      <w:lang w:val="en-US" w:eastAsia="zh-CN"/>
                    </w:rPr>
                    <w:t>6</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磨削</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烘干机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HG50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eastAsia="zh-CN"/>
                    </w:rPr>
                  </w:pPr>
                  <w:r>
                    <w:rPr>
                      <w:rFonts w:hint="eastAsia" w:cs="Times New Roman"/>
                      <w:color w:val="auto"/>
                      <w:szCs w:val="21"/>
                      <w:highlight w:val="none"/>
                      <w:u w:val="single"/>
                      <w:lang w:val="en-US" w:eastAsia="zh-CN"/>
                    </w:rPr>
                    <w:t>6</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烘干</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烘干箱</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HT23-899，50kw，950℃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cs="Times New Roman"/>
                      <w:color w:val="auto"/>
                      <w:szCs w:val="21"/>
                      <w:highlight w:val="none"/>
                      <w:u w:val="single"/>
                      <w:lang w:val="en-US" w:eastAsia="zh-CN"/>
                    </w:rPr>
                  </w:pPr>
                  <w:r>
                    <w:rPr>
                      <w:rFonts w:hint="eastAsia" w:cs="Times New Roman"/>
                      <w:color w:val="auto"/>
                      <w:szCs w:val="21"/>
                      <w:highlight w:val="none"/>
                      <w:u w:val="single"/>
                      <w:lang w:val="en-US" w:eastAsia="zh-CN"/>
                    </w:rPr>
                    <w:t>6</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烘干</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自动打包机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永创YS-ZX-20T</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color w:val="auto"/>
                      <w:szCs w:val="21"/>
                      <w:highlight w:val="none"/>
                      <w:u w:val="single"/>
                      <w:lang w:val="en-US" w:eastAsia="zh-CN"/>
                    </w:rPr>
                    <w:t>3</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包装</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拌粉机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南方V- 型</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default" w:hAnsi="宋体"/>
                      <w:color w:val="auto"/>
                      <w:szCs w:val="21"/>
                      <w:highlight w:val="none"/>
                      <w:u w:val="single"/>
                      <w:lang w:val="en-US" w:eastAsia="zh-CN"/>
                    </w:rPr>
                  </w:pPr>
                  <w:r>
                    <w:rPr>
                      <w:rFonts w:hint="eastAsia"/>
                      <w:color w:val="auto"/>
                      <w:szCs w:val="21"/>
                      <w:highlight w:val="none"/>
                      <w:u w:val="single"/>
                      <w:lang w:val="en-US" w:eastAsia="zh-CN"/>
                    </w:rPr>
                    <w:t>4</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配粉</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行车</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钢丝绳5T</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val="en-US" w:eastAsia="zh-CN"/>
                    </w:rPr>
                  </w:pPr>
                  <w:r>
                    <w:rPr>
                      <w:rFonts w:hint="eastAsia"/>
                      <w:color w:val="auto"/>
                      <w:szCs w:val="21"/>
                      <w:highlight w:val="none"/>
                      <w:u w:val="single"/>
                      <w:lang w:val="en-US" w:eastAsia="zh-CN"/>
                    </w:rPr>
                    <w:t>1</w:t>
                  </w:r>
                </w:p>
              </w:tc>
              <w:tc>
                <w:tcPr>
                  <w:tcW w:w="2072" w:type="dxa"/>
                  <w:noWrap w:val="0"/>
                  <w:vAlign w:val="center"/>
                </w:tcPr>
                <w:p>
                  <w:pPr>
                    <w:spacing w:line="240" w:lineRule="auto"/>
                    <w:jc w:val="center"/>
                    <w:rPr>
                      <w:rFonts w:hint="eastAsia" w:hAnsi="宋体"/>
                      <w:color w:val="auto"/>
                      <w:szCs w:val="21"/>
                      <w:highlight w:val="none"/>
                      <w:u w:val="single"/>
                      <w:lang w:eastAsia="zh-CN"/>
                    </w:rPr>
                  </w:pPr>
                  <w:r>
                    <w:rPr>
                      <w:rFonts w:hint="eastAsia"/>
                      <w:color w:val="auto"/>
                      <w:kern w:val="0"/>
                      <w:szCs w:val="21"/>
                      <w:highlight w:val="none"/>
                      <w:u w:val="single"/>
                      <w:lang w:val="en-US" w:eastAsia="zh-CN"/>
                    </w:rPr>
                    <w:t>装卸</w:t>
                  </w:r>
                </w:p>
              </w:tc>
              <w:tc>
                <w:tcPr>
                  <w:tcW w:w="1103" w:type="dxa"/>
                  <w:noWrap w:val="0"/>
                  <w:vAlign w:val="center"/>
                </w:tcPr>
                <w:p>
                  <w:pPr>
                    <w:autoSpaceDE w:val="0"/>
                    <w:autoSpaceDN w:val="0"/>
                    <w:adjustRightInd w:val="0"/>
                    <w:spacing w:line="240" w:lineRule="auto"/>
                    <w:jc w:val="center"/>
                    <w:rPr>
                      <w:rFonts w:hint="default"/>
                      <w:b/>
                      <w:bCs/>
                      <w:color w:val="auto"/>
                      <w:kern w:val="0"/>
                      <w:szCs w:val="21"/>
                      <w:u w:val="single"/>
                      <w:lang w:val="en-US" w:eastAsia="zh-CN"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val="en-US" w:eastAsia="zh-CN"/>
                    </w:rPr>
                    <w:t>焊芯回收机</w:t>
                  </w:r>
                </w:p>
              </w:tc>
              <w:tc>
                <w:tcPr>
                  <w:tcW w:w="1761" w:type="dxa"/>
                  <w:noWrap w:val="0"/>
                  <w:vAlign w:val="center"/>
                </w:tcPr>
                <w:p>
                  <w:pPr>
                    <w:autoSpaceDE w:val="0"/>
                    <w:autoSpaceDN w:val="0"/>
                    <w:adjustRightInd w:val="0"/>
                    <w:spacing w:line="240" w:lineRule="auto"/>
                    <w:jc w:val="center"/>
                    <w:rPr>
                      <w:rFonts w:hint="eastAsia" w:hAnsi="宋体"/>
                      <w:b w:val="0"/>
                      <w:bCs w:val="0"/>
                      <w:color w:val="auto"/>
                      <w:szCs w:val="21"/>
                      <w:highlight w:val="none"/>
                      <w:u w:val="single"/>
                      <w:lang w:eastAsia="zh-CN"/>
                    </w:rPr>
                  </w:pPr>
                  <w:r>
                    <w:rPr>
                      <w:rFonts w:hint="eastAsia"/>
                      <w:b w:val="0"/>
                      <w:bCs w:val="0"/>
                      <w:color w:val="auto"/>
                      <w:kern w:val="0"/>
                      <w:szCs w:val="21"/>
                      <w:highlight w:val="none"/>
                      <w:u w:val="single"/>
                      <w:lang w:val="en-US" w:eastAsia="zh-CN" w:bidi="ar"/>
                    </w:rPr>
                    <w:t>HCB450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eastAsia="zh-CN"/>
                    </w:rPr>
                    <w:t>台</w:t>
                  </w:r>
                </w:p>
              </w:tc>
              <w:tc>
                <w:tcPr>
                  <w:tcW w:w="933" w:type="dxa"/>
                  <w:noWrap w:val="0"/>
                  <w:vAlign w:val="center"/>
                </w:tcPr>
                <w:p>
                  <w:pPr>
                    <w:spacing w:line="240" w:lineRule="auto"/>
                    <w:jc w:val="center"/>
                    <w:rPr>
                      <w:rFonts w:hint="eastAsia" w:hAnsi="宋体"/>
                      <w:color w:val="auto"/>
                      <w:szCs w:val="21"/>
                      <w:highlight w:val="none"/>
                      <w:u w:val="single"/>
                      <w:lang w:val="en-US" w:eastAsia="zh-CN"/>
                    </w:rPr>
                  </w:pPr>
                  <w:r>
                    <w:rPr>
                      <w:rFonts w:hint="eastAsia"/>
                      <w:color w:val="auto"/>
                      <w:szCs w:val="21"/>
                      <w:highlight w:val="none"/>
                      <w:u w:val="single"/>
                      <w:lang w:val="en-US" w:eastAsia="zh-CN"/>
                    </w:rPr>
                    <w:t>2</w:t>
                  </w:r>
                </w:p>
              </w:tc>
              <w:tc>
                <w:tcPr>
                  <w:tcW w:w="2072" w:type="dxa"/>
                  <w:noWrap w:val="0"/>
                  <w:vAlign w:val="center"/>
                </w:tcPr>
                <w:p>
                  <w:pPr>
                    <w:spacing w:line="240" w:lineRule="auto"/>
                    <w:jc w:val="center"/>
                    <w:rPr>
                      <w:rFonts w:hint="default" w:hAnsi="宋体"/>
                      <w:color w:val="auto"/>
                      <w:szCs w:val="21"/>
                      <w:highlight w:val="none"/>
                      <w:u w:val="single"/>
                      <w:lang w:val="en-US" w:eastAsia="zh-CN"/>
                    </w:rPr>
                  </w:pPr>
                  <w:r>
                    <w:rPr>
                      <w:rFonts w:hint="eastAsia" w:hAnsi="宋体"/>
                      <w:color w:val="auto"/>
                      <w:szCs w:val="21"/>
                      <w:highlight w:val="none"/>
                      <w:u w:val="single"/>
                      <w:lang w:val="en-US" w:eastAsia="zh-CN"/>
                    </w:rPr>
                    <w:t>/</w:t>
                  </w:r>
                </w:p>
              </w:tc>
              <w:tc>
                <w:tcPr>
                  <w:tcW w:w="1103" w:type="dxa"/>
                  <w:noWrap w:val="0"/>
                  <w:vAlign w:val="center"/>
                </w:tcPr>
                <w:p>
                  <w:pPr>
                    <w:autoSpaceDE w:val="0"/>
                    <w:autoSpaceDN w:val="0"/>
                    <w:adjustRightInd w:val="0"/>
                    <w:spacing w:line="240" w:lineRule="auto"/>
                    <w:jc w:val="center"/>
                    <w:rPr>
                      <w:rFonts w:ascii="Times New Roman" w:hAnsi="Times New Roman" w:eastAsia="宋体" w:cs="Times New Roman"/>
                      <w:b w:val="0"/>
                      <w:bCs w:val="0"/>
                      <w:color w:val="auto"/>
                      <w:kern w:val="0"/>
                      <w:szCs w:val="21"/>
                      <w:u w:val="single"/>
                      <w:lang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outlineLvl w:val="9"/>
                    <w:rPr>
                      <w:rFonts w:hint="eastAsia" w:ascii="Times New Roman" w:hAnsi="Times New Roman" w:eastAsia="宋体" w:cs="Times New Roman"/>
                      <w:b/>
                      <w:bCs/>
                      <w:color w:val="auto"/>
                      <w:kern w:val="0"/>
                      <w:szCs w:val="21"/>
                      <w:u w:val="single"/>
                      <w:lang w:eastAsia="zh-CN" w:bidi="ar"/>
                    </w:rPr>
                  </w:pPr>
                  <w:r>
                    <w:rPr>
                      <w:rFonts w:hint="eastAsia" w:ascii="Times New Roman" w:hAnsi="Times New Roman" w:eastAsia="宋体" w:cs="Times New Roman"/>
                      <w:b/>
                      <w:bCs/>
                      <w:color w:val="auto"/>
                      <w:kern w:val="0"/>
                      <w:szCs w:val="21"/>
                      <w:u w:val="single"/>
                      <w:lang w:eastAsia="zh-CN" w:bidi="ar"/>
                    </w:rPr>
                    <w:t>三</w:t>
                  </w:r>
                </w:p>
              </w:tc>
              <w:tc>
                <w:tcPr>
                  <w:tcW w:w="8522" w:type="dxa"/>
                  <w:gridSpan w:val="6"/>
                  <w:noWrap w:val="0"/>
                  <w:vAlign w:val="center"/>
                </w:tcPr>
                <w:p>
                  <w:pPr>
                    <w:autoSpaceDE w:val="0"/>
                    <w:autoSpaceDN w:val="0"/>
                    <w:adjustRightInd w:val="0"/>
                    <w:spacing w:line="240" w:lineRule="auto"/>
                    <w:jc w:val="left"/>
                    <w:rPr>
                      <w:rFonts w:hint="eastAsia"/>
                      <w:b/>
                      <w:bCs/>
                      <w:color w:val="auto"/>
                      <w:kern w:val="0"/>
                      <w:szCs w:val="21"/>
                      <w:highlight w:val="none"/>
                      <w:u w:val="single"/>
                      <w:lang w:eastAsia="zh-CN" w:bidi="ar"/>
                    </w:rPr>
                  </w:pPr>
                  <w:r>
                    <w:rPr>
                      <w:rFonts w:hint="eastAsia" w:hAnsi="宋体"/>
                      <w:b/>
                      <w:bCs/>
                      <w:color w:val="auto"/>
                      <w:szCs w:val="21"/>
                      <w:highlight w:val="none"/>
                      <w:u w:val="single"/>
                      <w:lang w:val="en-US" w:eastAsia="zh-CN"/>
                    </w:rPr>
                    <w:t>塑料盘生产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single"/>
                      <w:lang w:bidi="ar"/>
                    </w:rPr>
                  </w:pPr>
                </w:p>
              </w:tc>
              <w:tc>
                <w:tcPr>
                  <w:tcW w:w="1853"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val="en-US" w:eastAsia="zh-CN"/>
                    </w:rPr>
                    <w:t>注塑机</w:t>
                  </w:r>
                </w:p>
              </w:tc>
              <w:tc>
                <w:tcPr>
                  <w:tcW w:w="1761" w:type="dxa"/>
                  <w:noWrap w:val="0"/>
                  <w:vAlign w:val="center"/>
                </w:tcPr>
                <w:p>
                  <w:pPr>
                    <w:spacing w:line="240" w:lineRule="auto"/>
                    <w:jc w:val="center"/>
                    <w:rPr>
                      <w:rFonts w:hint="eastAsia"/>
                      <w:b/>
                      <w:bCs/>
                      <w:color w:val="auto"/>
                      <w:kern w:val="0"/>
                      <w:szCs w:val="21"/>
                      <w:u w:val="single"/>
                      <w:lang w:val="en-US" w:eastAsia="zh-CN" w:bidi="ar"/>
                    </w:rPr>
                  </w:pPr>
                  <w:r>
                    <w:rPr>
                      <w:rFonts w:hint="eastAsia"/>
                      <w:b w:val="0"/>
                      <w:bCs w:val="0"/>
                      <w:color w:val="auto"/>
                      <w:kern w:val="0"/>
                      <w:szCs w:val="21"/>
                      <w:u w:val="single"/>
                      <w:lang w:val="en-US" w:eastAsia="zh-CN" w:bidi="ar"/>
                    </w:rPr>
                    <w:t>ZS-50</w:t>
                  </w:r>
                </w:p>
              </w:tc>
              <w:tc>
                <w:tcPr>
                  <w:tcW w:w="800" w:type="dxa"/>
                  <w:noWrap w:val="0"/>
                  <w:vAlign w:val="center"/>
                </w:tcPr>
                <w:p>
                  <w:pPr>
                    <w:spacing w:line="240" w:lineRule="auto"/>
                    <w:jc w:val="center"/>
                    <w:rPr>
                      <w:rFonts w:hint="eastAsia" w:hAnsi="宋体"/>
                      <w:color w:val="auto"/>
                      <w:szCs w:val="21"/>
                      <w:highlight w:val="none"/>
                      <w:u w:val="single"/>
                      <w:lang w:eastAsia="zh-CN"/>
                    </w:rPr>
                  </w:pPr>
                  <w:r>
                    <w:rPr>
                      <w:rFonts w:hint="eastAsia" w:hAnsi="宋体"/>
                      <w:color w:val="auto"/>
                      <w:szCs w:val="21"/>
                      <w:highlight w:val="none"/>
                      <w:u w:val="single"/>
                      <w:lang w:val="en-US" w:eastAsia="zh-CN"/>
                    </w:rPr>
                    <w:t>台</w:t>
                  </w:r>
                </w:p>
              </w:tc>
              <w:tc>
                <w:tcPr>
                  <w:tcW w:w="933"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s="Times New Roman"/>
                      <w:color w:val="auto"/>
                      <w:szCs w:val="21"/>
                      <w:highlight w:val="none"/>
                      <w:u w:val="single"/>
                      <w:lang w:val="en-US" w:eastAsia="zh-CN"/>
                    </w:rPr>
                    <w:t>8</w:t>
                  </w:r>
                </w:p>
              </w:tc>
              <w:tc>
                <w:tcPr>
                  <w:tcW w:w="2072" w:type="dxa"/>
                  <w:noWrap w:val="0"/>
                  <w:vAlign w:val="center"/>
                </w:tcPr>
                <w:p>
                  <w:pPr>
                    <w:spacing w:line="240" w:lineRule="auto"/>
                    <w:jc w:val="center"/>
                    <w:rPr>
                      <w:rFonts w:hint="eastAsia" w:hAnsi="宋体"/>
                      <w:color w:val="auto"/>
                      <w:szCs w:val="21"/>
                      <w:highlight w:val="none"/>
                      <w:u w:val="single"/>
                      <w:lang w:val="en-US" w:eastAsia="zh-CN"/>
                    </w:rPr>
                  </w:pPr>
                  <w:r>
                    <w:rPr>
                      <w:rFonts w:hint="eastAsia" w:hAnsi="宋体"/>
                      <w:color w:val="auto"/>
                      <w:szCs w:val="21"/>
                      <w:highlight w:val="none"/>
                      <w:u w:val="single"/>
                      <w:lang w:eastAsia="zh-CN"/>
                    </w:rPr>
                    <w:t>塑料盘生产</w:t>
                  </w:r>
                </w:p>
              </w:tc>
              <w:tc>
                <w:tcPr>
                  <w:tcW w:w="1103" w:type="dxa"/>
                  <w:noWrap w:val="0"/>
                  <w:vAlign w:val="center"/>
                </w:tcPr>
                <w:p>
                  <w:pPr>
                    <w:autoSpaceDE w:val="0"/>
                    <w:autoSpaceDN w:val="0"/>
                    <w:adjustRightInd w:val="0"/>
                    <w:spacing w:line="240" w:lineRule="auto"/>
                    <w:jc w:val="center"/>
                    <w:rPr>
                      <w:rFonts w:hint="eastAsia"/>
                      <w:b w:val="0"/>
                      <w:bCs w:val="0"/>
                      <w:color w:val="auto"/>
                      <w:kern w:val="0"/>
                      <w:szCs w:val="21"/>
                      <w:u w:val="single"/>
                      <w:lang w:eastAsia="zh-CN" w:bidi="ar"/>
                    </w:rPr>
                  </w:pPr>
                  <w:r>
                    <w:rPr>
                      <w:rFonts w:hint="eastAsia"/>
                      <w:b w:val="0"/>
                      <w:bCs w:val="0"/>
                      <w:color w:val="auto"/>
                      <w:kern w:val="0"/>
                      <w:szCs w:val="21"/>
                      <w:u w:val="single"/>
                      <w:lang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91" w:type="dxa"/>
                  <w:noWrap w:val="0"/>
                  <w:vAlign w:val="center"/>
                </w:tcPr>
                <w:p>
                  <w:pPr>
                    <w:pStyle w:val="95"/>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center"/>
                    <w:textAlignment w:val="auto"/>
                    <w:outlineLvl w:val="9"/>
                    <w:rPr>
                      <w:rFonts w:hint="eastAsia" w:ascii="Times New Roman" w:hAnsi="Times New Roman" w:eastAsia="宋体" w:cs="Times New Roman"/>
                      <w:b/>
                      <w:bCs/>
                      <w:color w:val="auto"/>
                      <w:kern w:val="0"/>
                      <w:szCs w:val="21"/>
                      <w:u w:val="none"/>
                      <w:lang w:eastAsia="zh-CN" w:bidi="ar"/>
                    </w:rPr>
                  </w:pPr>
                  <w:r>
                    <w:rPr>
                      <w:rFonts w:hint="eastAsia" w:cs="Times New Roman"/>
                      <w:b/>
                      <w:bCs/>
                      <w:color w:val="auto"/>
                      <w:kern w:val="0"/>
                      <w:szCs w:val="21"/>
                      <w:u w:val="none"/>
                      <w:lang w:eastAsia="zh-CN" w:bidi="ar"/>
                    </w:rPr>
                    <w:t>四</w:t>
                  </w:r>
                </w:p>
              </w:tc>
              <w:tc>
                <w:tcPr>
                  <w:tcW w:w="8522" w:type="dxa"/>
                  <w:gridSpan w:val="6"/>
                  <w:noWrap w:val="0"/>
                  <w:vAlign w:val="center"/>
                </w:tcPr>
                <w:p>
                  <w:pPr>
                    <w:autoSpaceDE w:val="0"/>
                    <w:autoSpaceDN w:val="0"/>
                    <w:adjustRightInd w:val="0"/>
                    <w:spacing w:line="240" w:lineRule="auto"/>
                    <w:jc w:val="left"/>
                    <w:rPr>
                      <w:rFonts w:hint="eastAsia"/>
                      <w:b/>
                      <w:bCs/>
                      <w:color w:val="auto"/>
                      <w:kern w:val="0"/>
                      <w:szCs w:val="21"/>
                      <w:highlight w:val="none"/>
                      <w:u w:val="none"/>
                      <w:lang w:val="en-US" w:eastAsia="zh-CN"/>
                    </w:rPr>
                  </w:pPr>
                  <w:r>
                    <w:rPr>
                      <w:rFonts w:hint="eastAsia"/>
                      <w:b/>
                      <w:bCs/>
                      <w:color w:val="auto"/>
                      <w:kern w:val="0"/>
                      <w:szCs w:val="21"/>
                      <w:highlight w:val="none"/>
                      <w:u w:val="none"/>
                      <w:lang w:val="en-US" w:eastAsia="zh-CN"/>
                    </w:rPr>
                    <w:t>共用设备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u w:val="none"/>
                      <w:lang w:eastAsia="zh-CN"/>
                    </w:rPr>
                  </w:pPr>
                  <w:r>
                    <w:rPr>
                      <w:rFonts w:hint="eastAsia" w:hAnsi="宋体"/>
                      <w:color w:val="auto"/>
                      <w:szCs w:val="21"/>
                      <w:u w:val="none"/>
                      <w:lang w:val="en-US" w:eastAsia="zh-CN"/>
                    </w:rPr>
                    <w:t>钻石模研磨</w:t>
                  </w:r>
                  <w:r>
                    <w:rPr>
                      <w:rFonts w:hint="eastAsia" w:hAnsi="宋体"/>
                      <w:color w:val="auto"/>
                      <w:szCs w:val="21"/>
                      <w:u w:val="none"/>
                      <w:lang w:eastAsia="zh-CN"/>
                    </w:rPr>
                    <w:t>设备</w:t>
                  </w:r>
                </w:p>
              </w:tc>
              <w:tc>
                <w:tcPr>
                  <w:tcW w:w="1761" w:type="dxa"/>
                  <w:noWrap w:val="0"/>
                  <w:vAlign w:val="center"/>
                </w:tcPr>
                <w:p>
                  <w:pPr>
                    <w:autoSpaceDE w:val="0"/>
                    <w:autoSpaceDN w:val="0"/>
                    <w:adjustRightInd w:val="0"/>
                    <w:spacing w:line="240" w:lineRule="auto"/>
                    <w:jc w:val="center"/>
                    <w:rPr>
                      <w:rFonts w:hint="default" w:ascii="Times New Roman" w:hAnsi="宋体" w:eastAsia="宋体" w:cs="Times New Roman"/>
                      <w:color w:val="auto"/>
                      <w:szCs w:val="21"/>
                      <w:u w:val="none"/>
                      <w:lang w:val="en-US" w:eastAsia="zh-CN"/>
                    </w:rPr>
                  </w:pPr>
                  <w:r>
                    <w:rPr>
                      <w:rFonts w:hint="eastAsia"/>
                      <w:b/>
                      <w:bCs/>
                      <w:color w:val="auto"/>
                      <w:kern w:val="0"/>
                      <w:szCs w:val="21"/>
                      <w:u w:val="none"/>
                      <w:lang w:val="en-US" w:eastAsia="zh-CN" w:bidi="ar"/>
                    </w:rPr>
                    <w:t>/</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ascii="Times New Roman" w:hAnsi="宋体" w:eastAsia="宋体" w:cs="Times New Roman"/>
                      <w:color w:val="auto"/>
                      <w:szCs w:val="21"/>
                      <w:u w:val="none"/>
                      <w:lang w:val="en-US" w:eastAsia="zh-CN"/>
                    </w:rPr>
                    <w:t>16</w:t>
                  </w:r>
                </w:p>
              </w:tc>
              <w:tc>
                <w:tcPr>
                  <w:tcW w:w="2072" w:type="dxa"/>
                  <w:noWrap w:val="0"/>
                  <w:vAlign w:val="center"/>
                </w:tcPr>
                <w:p>
                  <w:pPr>
                    <w:spacing w:line="240" w:lineRule="auto"/>
                    <w:jc w:val="center"/>
                    <w:rPr>
                      <w:rFonts w:hAnsi="宋体"/>
                      <w:color w:val="auto"/>
                      <w:szCs w:val="21"/>
                      <w:u w:val="none"/>
                    </w:rPr>
                  </w:pPr>
                  <w:r>
                    <w:rPr>
                      <w:rFonts w:hint="eastAsia" w:hAnsi="宋体"/>
                      <w:color w:val="auto"/>
                      <w:szCs w:val="21"/>
                      <w:u w:val="none"/>
                      <w:lang w:eastAsia="zh-CN"/>
                    </w:rPr>
                    <w:t>修复磨具</w:t>
                  </w:r>
                </w:p>
              </w:tc>
              <w:tc>
                <w:tcPr>
                  <w:tcW w:w="1103" w:type="dxa"/>
                  <w:noWrap w:val="0"/>
                  <w:vAlign w:val="center"/>
                </w:tcPr>
                <w:p>
                  <w:pPr>
                    <w:autoSpaceDE w:val="0"/>
                    <w:autoSpaceDN w:val="0"/>
                    <w:adjustRightInd w:val="0"/>
                    <w:spacing w:line="240" w:lineRule="auto"/>
                    <w:jc w:val="center"/>
                    <w:rPr>
                      <w:rFonts w:hint="eastAsia"/>
                      <w:b w:val="0"/>
                      <w:bCs w:val="0"/>
                      <w:color w:val="auto"/>
                      <w:kern w:val="0"/>
                      <w:szCs w:val="21"/>
                      <w:highlight w:val="none"/>
                      <w:u w:val="none"/>
                      <w:lang w:val="en-US" w:eastAsia="zh-CN" w:bidi="ar"/>
                    </w:rPr>
                  </w:pPr>
                  <w:r>
                    <w:rPr>
                      <w:rFonts w:hint="eastAsia"/>
                      <w:b w:val="0"/>
                      <w:bCs w:val="0"/>
                      <w:color w:val="auto"/>
                      <w:kern w:val="0"/>
                      <w:szCs w:val="21"/>
                      <w:highlight w:val="none"/>
                      <w:u w:val="none"/>
                      <w:lang w:val="en-US" w:eastAsia="zh-CN" w:bidi="ar"/>
                    </w:rPr>
                    <w:t>新增</w:t>
                  </w:r>
                </w:p>
                <w:p>
                  <w:pPr>
                    <w:autoSpaceDE w:val="0"/>
                    <w:autoSpaceDN w:val="0"/>
                    <w:adjustRightInd w:val="0"/>
                    <w:spacing w:line="240" w:lineRule="auto"/>
                    <w:jc w:val="center"/>
                    <w:rPr>
                      <w:rFonts w:hint="default"/>
                      <w:b w:val="0"/>
                      <w:bCs w:val="0"/>
                      <w:color w:val="auto"/>
                      <w:kern w:val="0"/>
                      <w:szCs w:val="21"/>
                      <w:highlight w:val="none"/>
                      <w:u w:val="none"/>
                      <w:lang w:val="en-US" w:eastAsia="zh-CN" w:bidi="ar"/>
                    </w:rPr>
                  </w:pPr>
                  <w:r>
                    <w:rPr>
                      <w:rFonts w:hint="eastAsia"/>
                      <w:b w:val="0"/>
                      <w:bCs w:val="0"/>
                      <w:color w:val="auto"/>
                      <w:kern w:val="0"/>
                      <w:szCs w:val="21"/>
                      <w:highlight w:val="none"/>
                      <w:u w:val="none"/>
                      <w:lang w:val="en-US"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u w:val="none"/>
                      <w:lang w:eastAsia="zh-CN"/>
                    </w:rPr>
                  </w:pPr>
                  <w:r>
                    <w:rPr>
                      <w:rFonts w:hAnsi="宋体"/>
                      <w:color w:val="auto"/>
                      <w:szCs w:val="21"/>
                      <w:u w:val="none"/>
                    </w:rPr>
                    <w:t>精密层绕机</w:t>
                  </w:r>
                </w:p>
              </w:tc>
              <w:tc>
                <w:tcPr>
                  <w:tcW w:w="1761" w:type="dxa"/>
                  <w:noWrap w:val="0"/>
                  <w:vAlign w:val="center"/>
                </w:tcPr>
                <w:p>
                  <w:pPr>
                    <w:autoSpaceDE w:val="0"/>
                    <w:autoSpaceDN w:val="0"/>
                    <w:adjustRightInd w:val="0"/>
                    <w:spacing w:line="240" w:lineRule="auto"/>
                    <w:jc w:val="center"/>
                    <w:rPr>
                      <w:rFonts w:hint="default" w:ascii="Times New Roman" w:hAnsi="宋体" w:eastAsia="宋体" w:cs="Times New Roman"/>
                      <w:color w:val="auto"/>
                      <w:szCs w:val="21"/>
                      <w:u w:val="none"/>
                      <w:lang w:val="en-US" w:eastAsia="zh-CN"/>
                    </w:rPr>
                  </w:pPr>
                  <w:r>
                    <w:rPr>
                      <w:rFonts w:hint="eastAsia"/>
                      <w:b/>
                      <w:bCs/>
                      <w:color w:val="auto"/>
                      <w:kern w:val="0"/>
                      <w:szCs w:val="21"/>
                      <w:u w:val="none"/>
                      <w:lang w:val="en-US" w:eastAsia="zh-CN" w:bidi="ar"/>
                    </w:rPr>
                    <w:t>/</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eastAsia" w:ascii="Times New Roman" w:hAnsi="宋体" w:eastAsia="宋体" w:cs="Times New Roman"/>
                      <w:color w:val="auto"/>
                      <w:szCs w:val="21"/>
                      <w:u w:val="none"/>
                      <w:lang w:val="en-US" w:eastAsia="zh-CN"/>
                    </w:rPr>
                  </w:pPr>
                  <w:r>
                    <w:rPr>
                      <w:rFonts w:hint="eastAsia" w:ascii="Times New Roman" w:hAnsi="宋体" w:eastAsia="宋体" w:cs="Times New Roman"/>
                      <w:color w:val="auto"/>
                      <w:szCs w:val="21"/>
                      <w:u w:val="none"/>
                      <w:lang w:val="en-US" w:eastAsia="zh-CN"/>
                    </w:rPr>
                    <w:t>40</w:t>
                  </w:r>
                </w:p>
              </w:tc>
              <w:tc>
                <w:tcPr>
                  <w:tcW w:w="2072" w:type="dxa"/>
                  <w:noWrap w:val="0"/>
                  <w:vAlign w:val="center"/>
                </w:tcPr>
                <w:p>
                  <w:pPr>
                    <w:spacing w:line="240" w:lineRule="auto"/>
                    <w:jc w:val="center"/>
                    <w:rPr>
                      <w:rFonts w:hAnsi="宋体"/>
                      <w:color w:val="auto"/>
                      <w:szCs w:val="21"/>
                      <w:u w:val="none"/>
                    </w:rPr>
                  </w:pPr>
                  <w:r>
                    <w:rPr>
                      <w:rFonts w:hint="eastAsia" w:hAnsi="宋体"/>
                      <w:color w:val="auto"/>
                      <w:szCs w:val="21"/>
                      <w:u w:val="none"/>
                      <w:lang w:eastAsia="zh-CN"/>
                    </w:rPr>
                    <w:t>层绕</w:t>
                  </w:r>
                </w:p>
              </w:tc>
              <w:tc>
                <w:tcPr>
                  <w:tcW w:w="1103" w:type="dxa"/>
                  <w:vMerge w:val="restart"/>
                  <w:noWrap w:val="0"/>
                  <w:vAlign w:val="center"/>
                </w:tcPr>
                <w:p>
                  <w:pPr>
                    <w:autoSpaceDE w:val="0"/>
                    <w:autoSpaceDN w:val="0"/>
                    <w:adjustRightInd w:val="0"/>
                    <w:spacing w:line="240" w:lineRule="auto"/>
                    <w:jc w:val="center"/>
                    <w:rPr>
                      <w:rFonts w:hint="eastAsia"/>
                      <w:color w:val="auto"/>
                      <w:kern w:val="0"/>
                      <w:szCs w:val="21"/>
                      <w:u w:val="none"/>
                      <w:lang w:val="en-US" w:eastAsia="zh-CN"/>
                    </w:rPr>
                  </w:pPr>
                  <w:r>
                    <w:rPr>
                      <w:rFonts w:hint="eastAsia"/>
                      <w:color w:val="auto"/>
                      <w:kern w:val="0"/>
                      <w:szCs w:val="21"/>
                      <w:u w:val="none"/>
                      <w:lang w:val="en-US" w:eastAsia="zh-CN"/>
                    </w:rPr>
                    <w:t>依托</w:t>
                  </w:r>
                </w:p>
                <w:p>
                  <w:pPr>
                    <w:autoSpaceDE w:val="0"/>
                    <w:autoSpaceDN w:val="0"/>
                    <w:adjustRightInd w:val="0"/>
                    <w:spacing w:line="240" w:lineRule="auto"/>
                    <w:jc w:val="center"/>
                    <w:rPr>
                      <w:rFonts w:hint="eastAsia"/>
                      <w:color w:val="auto"/>
                      <w:kern w:val="0"/>
                      <w:szCs w:val="21"/>
                      <w:u w:val="none"/>
                      <w:lang w:val="en-US" w:eastAsia="zh-CN"/>
                    </w:rPr>
                  </w:pPr>
                  <w:r>
                    <w:rPr>
                      <w:rFonts w:hint="eastAsia"/>
                      <w:color w:val="auto"/>
                      <w:kern w:val="0"/>
                      <w:szCs w:val="21"/>
                      <w:u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u w:val="none"/>
                      <w:lang w:eastAsia="zh-CN"/>
                    </w:rPr>
                  </w:pPr>
                  <w:r>
                    <w:rPr>
                      <w:rFonts w:hint="eastAsia" w:hAnsi="宋体"/>
                      <w:color w:val="auto"/>
                      <w:szCs w:val="21"/>
                      <w:u w:val="none"/>
                      <w:lang w:eastAsia="zh-CN"/>
                    </w:rPr>
                    <w:t>手动</w:t>
                  </w:r>
                  <w:r>
                    <w:rPr>
                      <w:rFonts w:hAnsi="宋体"/>
                      <w:color w:val="auto"/>
                      <w:szCs w:val="21"/>
                      <w:u w:val="none"/>
                    </w:rPr>
                    <w:t>层绕机</w:t>
                  </w:r>
                </w:p>
              </w:tc>
              <w:tc>
                <w:tcPr>
                  <w:tcW w:w="1761" w:type="dxa"/>
                  <w:noWrap w:val="0"/>
                  <w:vAlign w:val="center"/>
                </w:tcPr>
                <w:p>
                  <w:pPr>
                    <w:autoSpaceDE w:val="0"/>
                    <w:autoSpaceDN w:val="0"/>
                    <w:adjustRightInd w:val="0"/>
                    <w:spacing w:line="240" w:lineRule="auto"/>
                    <w:jc w:val="center"/>
                    <w:rPr>
                      <w:rFonts w:hint="default" w:ascii="Times New Roman" w:hAnsi="宋体" w:eastAsia="宋体" w:cs="Times New Roman"/>
                      <w:color w:val="auto"/>
                      <w:szCs w:val="21"/>
                      <w:u w:val="none"/>
                      <w:lang w:val="en-US" w:eastAsia="zh-CN"/>
                    </w:rPr>
                  </w:pPr>
                  <w:r>
                    <w:rPr>
                      <w:rFonts w:hint="eastAsia"/>
                      <w:b/>
                      <w:bCs/>
                      <w:color w:val="auto"/>
                      <w:kern w:val="0"/>
                      <w:szCs w:val="21"/>
                      <w:u w:val="none"/>
                      <w:lang w:val="en-US" w:eastAsia="zh-CN" w:bidi="ar"/>
                    </w:rPr>
                    <w:t>/</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eastAsia" w:ascii="Times New Roman" w:hAnsi="宋体" w:eastAsia="宋体" w:cs="Times New Roman"/>
                      <w:color w:val="auto"/>
                      <w:szCs w:val="21"/>
                      <w:u w:val="none"/>
                      <w:lang w:val="en-US" w:eastAsia="zh-CN"/>
                    </w:rPr>
                  </w:pPr>
                  <w:r>
                    <w:rPr>
                      <w:rFonts w:hint="eastAsia" w:ascii="Times New Roman" w:hAnsi="宋体" w:eastAsia="宋体" w:cs="Times New Roman"/>
                      <w:color w:val="auto"/>
                      <w:szCs w:val="21"/>
                      <w:u w:val="none"/>
                      <w:lang w:val="en-US" w:eastAsia="zh-CN"/>
                    </w:rPr>
                    <w:t>20</w:t>
                  </w:r>
                </w:p>
              </w:tc>
              <w:tc>
                <w:tcPr>
                  <w:tcW w:w="2072" w:type="dxa"/>
                  <w:noWrap w:val="0"/>
                  <w:vAlign w:val="center"/>
                </w:tcPr>
                <w:p>
                  <w:pPr>
                    <w:spacing w:line="240" w:lineRule="auto"/>
                    <w:jc w:val="center"/>
                    <w:rPr>
                      <w:rFonts w:hint="eastAsia" w:hAnsi="宋体" w:eastAsia="宋体"/>
                      <w:color w:val="auto"/>
                      <w:szCs w:val="21"/>
                      <w:u w:val="none"/>
                      <w:lang w:eastAsia="zh-CN"/>
                    </w:rPr>
                  </w:pPr>
                  <w:r>
                    <w:rPr>
                      <w:rFonts w:hint="eastAsia" w:hAnsi="宋体"/>
                      <w:color w:val="auto"/>
                      <w:szCs w:val="21"/>
                      <w:u w:val="none"/>
                      <w:lang w:eastAsia="zh-CN"/>
                    </w:rPr>
                    <w:t>层绕</w:t>
                  </w:r>
                </w:p>
              </w:tc>
              <w:tc>
                <w:tcPr>
                  <w:tcW w:w="1103" w:type="dxa"/>
                  <w:vMerge w:val="continue"/>
                  <w:noWrap w:val="0"/>
                  <w:vAlign w:val="center"/>
                </w:tcPr>
                <w:p>
                  <w:pPr>
                    <w:autoSpaceDE w:val="0"/>
                    <w:autoSpaceDN w:val="0"/>
                    <w:adjustRightInd w:val="0"/>
                    <w:spacing w:line="240" w:lineRule="auto"/>
                    <w:jc w:val="center"/>
                    <w:rPr>
                      <w:rFonts w:hint="eastAsia"/>
                      <w:color w:val="auto"/>
                      <w:kern w:val="0"/>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u w:val="none"/>
                      <w:lang w:eastAsia="zh-CN"/>
                    </w:rPr>
                  </w:pPr>
                  <w:r>
                    <w:rPr>
                      <w:rFonts w:hAnsi="宋体"/>
                      <w:color w:val="auto"/>
                      <w:szCs w:val="21"/>
                      <w:u w:val="none"/>
                    </w:rPr>
                    <w:t>自动包装机</w:t>
                  </w:r>
                </w:p>
              </w:tc>
              <w:tc>
                <w:tcPr>
                  <w:tcW w:w="1761" w:type="dxa"/>
                  <w:noWrap w:val="0"/>
                  <w:vAlign w:val="center"/>
                </w:tcPr>
                <w:p>
                  <w:pPr>
                    <w:autoSpaceDE w:val="0"/>
                    <w:autoSpaceDN w:val="0"/>
                    <w:adjustRightInd w:val="0"/>
                    <w:spacing w:line="240" w:lineRule="auto"/>
                    <w:jc w:val="center"/>
                    <w:rPr>
                      <w:rFonts w:hint="default" w:ascii="Times New Roman" w:hAnsi="宋体" w:eastAsia="宋体" w:cs="Times New Roman"/>
                      <w:color w:val="auto"/>
                      <w:szCs w:val="21"/>
                      <w:u w:val="none"/>
                      <w:lang w:val="en-US" w:eastAsia="zh-CN"/>
                    </w:rPr>
                  </w:pPr>
                  <w:r>
                    <w:rPr>
                      <w:rFonts w:hint="eastAsia"/>
                      <w:b/>
                      <w:bCs/>
                      <w:color w:val="auto"/>
                      <w:kern w:val="0"/>
                      <w:szCs w:val="21"/>
                      <w:u w:val="none"/>
                      <w:lang w:val="en-US" w:eastAsia="zh-CN" w:bidi="ar"/>
                    </w:rPr>
                    <w:t>/</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eastAsia" w:ascii="Times New Roman" w:hAnsi="宋体" w:eastAsia="宋体" w:cs="Times New Roman"/>
                      <w:color w:val="auto"/>
                      <w:szCs w:val="21"/>
                      <w:u w:val="none"/>
                      <w:lang w:val="en-US" w:eastAsia="zh-CN"/>
                    </w:rPr>
                  </w:pPr>
                  <w:r>
                    <w:rPr>
                      <w:rFonts w:hint="eastAsia" w:ascii="Times New Roman" w:hAnsi="宋体" w:eastAsia="宋体" w:cs="Times New Roman"/>
                      <w:color w:val="auto"/>
                      <w:szCs w:val="21"/>
                      <w:u w:val="none"/>
                      <w:lang w:val="en-US" w:eastAsia="zh-CN"/>
                    </w:rPr>
                    <w:t>1</w:t>
                  </w:r>
                </w:p>
              </w:tc>
              <w:tc>
                <w:tcPr>
                  <w:tcW w:w="2072" w:type="dxa"/>
                  <w:noWrap w:val="0"/>
                  <w:vAlign w:val="center"/>
                </w:tcPr>
                <w:p>
                  <w:pPr>
                    <w:spacing w:line="240" w:lineRule="auto"/>
                    <w:jc w:val="center"/>
                    <w:rPr>
                      <w:rFonts w:hAnsi="宋体"/>
                      <w:color w:val="auto"/>
                      <w:szCs w:val="21"/>
                      <w:u w:val="none"/>
                    </w:rPr>
                  </w:pPr>
                  <w:r>
                    <w:rPr>
                      <w:rFonts w:hint="eastAsia" w:hAnsi="宋体"/>
                      <w:color w:val="auto"/>
                      <w:szCs w:val="21"/>
                      <w:u w:val="none"/>
                      <w:lang w:eastAsia="zh-CN"/>
                    </w:rPr>
                    <w:t>包装</w:t>
                  </w:r>
                </w:p>
              </w:tc>
              <w:tc>
                <w:tcPr>
                  <w:tcW w:w="1103" w:type="dxa"/>
                  <w:vMerge w:val="continue"/>
                  <w:noWrap w:val="0"/>
                  <w:vAlign w:val="center"/>
                </w:tcPr>
                <w:p>
                  <w:pPr>
                    <w:autoSpaceDE w:val="0"/>
                    <w:autoSpaceDN w:val="0"/>
                    <w:adjustRightInd w:val="0"/>
                    <w:spacing w:line="240" w:lineRule="auto"/>
                    <w:jc w:val="center"/>
                    <w:rPr>
                      <w:rFonts w:hint="eastAsia"/>
                      <w:color w:val="auto"/>
                      <w:kern w:val="0"/>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eastAsia="宋体"/>
                      <w:color w:val="auto"/>
                      <w:szCs w:val="21"/>
                      <w:u w:val="none"/>
                      <w:lang w:eastAsia="zh-CN"/>
                    </w:rPr>
                  </w:pPr>
                  <w:r>
                    <w:rPr>
                      <w:rFonts w:hint="eastAsia" w:hAnsi="宋体"/>
                      <w:color w:val="auto"/>
                      <w:szCs w:val="21"/>
                      <w:u w:val="none"/>
                      <w:lang w:eastAsia="zh-CN"/>
                    </w:rPr>
                    <w:t>手动包装机</w:t>
                  </w:r>
                </w:p>
              </w:tc>
              <w:tc>
                <w:tcPr>
                  <w:tcW w:w="1761" w:type="dxa"/>
                  <w:noWrap w:val="0"/>
                  <w:vAlign w:val="center"/>
                </w:tcPr>
                <w:p>
                  <w:pPr>
                    <w:autoSpaceDE w:val="0"/>
                    <w:autoSpaceDN w:val="0"/>
                    <w:adjustRightInd w:val="0"/>
                    <w:spacing w:line="240" w:lineRule="auto"/>
                    <w:jc w:val="center"/>
                    <w:rPr>
                      <w:rFonts w:hint="default" w:ascii="Times New Roman" w:hAnsi="宋体" w:eastAsia="宋体" w:cs="Times New Roman"/>
                      <w:color w:val="auto"/>
                      <w:szCs w:val="21"/>
                      <w:u w:val="none"/>
                      <w:lang w:val="en-US" w:eastAsia="zh-CN"/>
                    </w:rPr>
                  </w:pPr>
                  <w:r>
                    <w:rPr>
                      <w:rFonts w:hint="eastAsia"/>
                      <w:b/>
                      <w:bCs/>
                      <w:color w:val="auto"/>
                      <w:kern w:val="0"/>
                      <w:szCs w:val="21"/>
                      <w:u w:val="none"/>
                      <w:lang w:val="en-US" w:eastAsia="zh-CN" w:bidi="ar"/>
                    </w:rPr>
                    <w:t>/</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s="Times New Roman"/>
                      <w:color w:val="auto"/>
                      <w:szCs w:val="21"/>
                      <w:u w:val="none"/>
                      <w:lang w:val="en-US" w:eastAsia="zh-CN"/>
                    </w:rPr>
                    <w:t>1</w:t>
                  </w:r>
                </w:p>
              </w:tc>
              <w:tc>
                <w:tcPr>
                  <w:tcW w:w="2072" w:type="dxa"/>
                  <w:noWrap w:val="0"/>
                  <w:vAlign w:val="center"/>
                </w:tcPr>
                <w:p>
                  <w:pPr>
                    <w:spacing w:line="240" w:lineRule="auto"/>
                    <w:jc w:val="center"/>
                    <w:rPr>
                      <w:rFonts w:hint="eastAsia" w:hAnsi="宋体" w:eastAsia="宋体"/>
                      <w:color w:val="auto"/>
                      <w:szCs w:val="21"/>
                      <w:u w:val="none"/>
                      <w:lang w:eastAsia="zh-CN"/>
                    </w:rPr>
                  </w:pPr>
                  <w:r>
                    <w:rPr>
                      <w:rFonts w:hint="eastAsia" w:hAnsi="宋体"/>
                      <w:color w:val="auto"/>
                      <w:szCs w:val="21"/>
                      <w:u w:val="none"/>
                      <w:lang w:eastAsia="zh-CN"/>
                    </w:rPr>
                    <w:t>包装</w:t>
                  </w:r>
                </w:p>
              </w:tc>
              <w:tc>
                <w:tcPr>
                  <w:tcW w:w="1103" w:type="dxa"/>
                  <w:vMerge w:val="continue"/>
                  <w:noWrap w:val="0"/>
                  <w:vAlign w:val="center"/>
                </w:tcPr>
                <w:p>
                  <w:pPr>
                    <w:autoSpaceDE w:val="0"/>
                    <w:autoSpaceDN w:val="0"/>
                    <w:adjustRightInd w:val="0"/>
                    <w:spacing w:line="240" w:lineRule="auto"/>
                    <w:jc w:val="center"/>
                    <w:rPr>
                      <w:rFonts w:hint="eastAsia"/>
                      <w:color w:val="auto"/>
                      <w:kern w:val="0"/>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u w:val="none"/>
                      <w:lang w:eastAsia="zh-CN"/>
                    </w:rPr>
                  </w:pPr>
                  <w:r>
                    <w:rPr>
                      <w:rFonts w:hAnsi="宋体"/>
                      <w:color w:val="auto"/>
                      <w:szCs w:val="21"/>
                      <w:u w:val="none"/>
                    </w:rPr>
                    <w:t>机动叉车</w:t>
                  </w:r>
                </w:p>
              </w:tc>
              <w:tc>
                <w:tcPr>
                  <w:tcW w:w="1761" w:type="dxa"/>
                  <w:noWrap w:val="0"/>
                  <w:vAlign w:val="center"/>
                </w:tcPr>
                <w:p>
                  <w:pPr>
                    <w:autoSpaceDE w:val="0"/>
                    <w:autoSpaceDN w:val="0"/>
                    <w:adjustRightInd w:val="0"/>
                    <w:spacing w:line="240" w:lineRule="auto"/>
                    <w:jc w:val="center"/>
                    <w:rPr>
                      <w:rFonts w:hint="default" w:ascii="Times New Roman" w:hAnsi="宋体" w:eastAsia="宋体" w:cs="Times New Roman"/>
                      <w:color w:val="auto"/>
                      <w:szCs w:val="21"/>
                      <w:u w:val="none"/>
                      <w:lang w:val="en-US" w:eastAsia="zh-CN"/>
                    </w:rPr>
                  </w:pPr>
                  <w:r>
                    <w:rPr>
                      <w:rFonts w:hint="eastAsia"/>
                      <w:b/>
                      <w:bCs/>
                      <w:color w:val="auto"/>
                      <w:kern w:val="0"/>
                      <w:szCs w:val="21"/>
                      <w:u w:val="none"/>
                      <w:lang w:val="en-US" w:eastAsia="zh-CN" w:bidi="ar"/>
                    </w:rPr>
                    <w:t>/</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eastAsia" w:ascii="Times New Roman" w:hAnsi="宋体" w:eastAsia="宋体" w:cs="Times New Roman"/>
                      <w:color w:val="auto"/>
                      <w:szCs w:val="21"/>
                      <w:u w:val="none"/>
                      <w:lang w:val="en-US" w:eastAsia="zh-CN"/>
                    </w:rPr>
                  </w:pPr>
                  <w:r>
                    <w:rPr>
                      <w:rFonts w:hint="eastAsia" w:ascii="Times New Roman" w:hAnsi="宋体" w:eastAsia="宋体" w:cs="Times New Roman"/>
                      <w:color w:val="auto"/>
                      <w:szCs w:val="21"/>
                      <w:u w:val="none"/>
                      <w:lang w:val="en-US" w:eastAsia="zh-CN"/>
                    </w:rPr>
                    <w:t>6</w:t>
                  </w:r>
                </w:p>
              </w:tc>
              <w:tc>
                <w:tcPr>
                  <w:tcW w:w="2072" w:type="dxa"/>
                  <w:noWrap w:val="0"/>
                  <w:vAlign w:val="center"/>
                </w:tcPr>
                <w:p>
                  <w:pPr>
                    <w:spacing w:line="240" w:lineRule="auto"/>
                    <w:jc w:val="center"/>
                    <w:rPr>
                      <w:rFonts w:hint="eastAsia" w:hAnsi="宋体" w:eastAsia="宋体"/>
                      <w:color w:val="auto"/>
                      <w:szCs w:val="21"/>
                      <w:u w:val="none"/>
                      <w:lang w:eastAsia="zh-CN"/>
                    </w:rPr>
                  </w:pPr>
                  <w:r>
                    <w:rPr>
                      <w:rFonts w:hint="eastAsia" w:hAnsi="宋体"/>
                      <w:color w:val="auto"/>
                      <w:szCs w:val="21"/>
                      <w:u w:val="none"/>
                      <w:lang w:eastAsia="zh-CN"/>
                    </w:rPr>
                    <w:t>装卸</w:t>
                  </w:r>
                </w:p>
              </w:tc>
              <w:tc>
                <w:tcPr>
                  <w:tcW w:w="1103" w:type="dxa"/>
                  <w:vMerge w:val="continue"/>
                  <w:noWrap w:val="0"/>
                  <w:vAlign w:val="center"/>
                </w:tcPr>
                <w:p>
                  <w:pPr>
                    <w:autoSpaceDE w:val="0"/>
                    <w:autoSpaceDN w:val="0"/>
                    <w:adjustRightInd w:val="0"/>
                    <w:spacing w:line="240" w:lineRule="auto"/>
                    <w:jc w:val="center"/>
                    <w:rPr>
                      <w:rFonts w:hint="eastAsia"/>
                      <w:color w:val="auto"/>
                      <w:kern w:val="0"/>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u w:val="none"/>
                      <w:lang w:eastAsia="zh-CN"/>
                    </w:rPr>
                  </w:pPr>
                  <w:r>
                    <w:rPr>
                      <w:rFonts w:hint="eastAsia" w:hAnsi="宋体"/>
                      <w:color w:val="auto"/>
                      <w:szCs w:val="21"/>
                      <w:u w:val="none"/>
                      <w:lang w:eastAsia="zh-CN"/>
                    </w:rPr>
                    <w:t>空压机</w:t>
                  </w:r>
                </w:p>
              </w:tc>
              <w:tc>
                <w:tcPr>
                  <w:tcW w:w="1761"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s="Times New Roman"/>
                      <w:color w:val="auto"/>
                      <w:szCs w:val="21"/>
                      <w:u w:val="none"/>
                      <w:lang w:val="en-US" w:eastAsia="zh-CN"/>
                    </w:rPr>
                    <w:t>110kW</w:t>
                  </w:r>
                </w:p>
              </w:tc>
              <w:tc>
                <w:tcPr>
                  <w:tcW w:w="800"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hAnsi="宋体"/>
                      <w:color w:val="auto"/>
                      <w:szCs w:val="21"/>
                      <w:highlight w:val="none"/>
                      <w:u w:val="none"/>
                      <w:lang w:eastAsia="zh-CN"/>
                    </w:rPr>
                    <w:t>台</w:t>
                  </w:r>
                </w:p>
              </w:tc>
              <w:tc>
                <w:tcPr>
                  <w:tcW w:w="933" w:type="dxa"/>
                  <w:noWrap w:val="0"/>
                  <w:vAlign w:val="center"/>
                </w:tcPr>
                <w:p>
                  <w:pPr>
                    <w:spacing w:line="240" w:lineRule="auto"/>
                    <w:jc w:val="center"/>
                    <w:rPr>
                      <w:rFonts w:hint="default" w:ascii="Times New Roman" w:hAnsi="宋体" w:eastAsia="宋体" w:cs="Times New Roman"/>
                      <w:color w:val="auto"/>
                      <w:szCs w:val="21"/>
                      <w:u w:val="none"/>
                      <w:lang w:val="en-US" w:eastAsia="zh-CN"/>
                    </w:rPr>
                  </w:pPr>
                  <w:r>
                    <w:rPr>
                      <w:rFonts w:hint="eastAsia" w:ascii="Times New Roman" w:hAnsi="宋体" w:eastAsia="宋体" w:cs="Times New Roman"/>
                      <w:color w:val="auto"/>
                      <w:szCs w:val="21"/>
                      <w:u w:val="none"/>
                      <w:lang w:val="en-US" w:eastAsia="zh-CN"/>
                    </w:rPr>
                    <w:t>10</w:t>
                  </w:r>
                </w:p>
              </w:tc>
              <w:tc>
                <w:tcPr>
                  <w:tcW w:w="2072" w:type="dxa"/>
                  <w:noWrap w:val="0"/>
                  <w:vAlign w:val="center"/>
                </w:tcPr>
                <w:p>
                  <w:pPr>
                    <w:spacing w:line="240" w:lineRule="auto"/>
                    <w:jc w:val="center"/>
                    <w:rPr>
                      <w:rFonts w:hint="eastAsia" w:hAnsi="宋体" w:eastAsia="宋体"/>
                      <w:color w:val="auto"/>
                      <w:szCs w:val="21"/>
                      <w:u w:val="none"/>
                      <w:lang w:val="en-US" w:eastAsia="zh-CN"/>
                    </w:rPr>
                  </w:pPr>
                  <w:r>
                    <w:rPr>
                      <w:rFonts w:hint="eastAsia" w:hAnsi="宋体"/>
                      <w:color w:val="auto"/>
                      <w:szCs w:val="21"/>
                      <w:u w:val="none"/>
                      <w:lang w:val="en-US" w:eastAsia="zh-CN"/>
                    </w:rPr>
                    <w:t>/</w:t>
                  </w:r>
                </w:p>
              </w:tc>
              <w:tc>
                <w:tcPr>
                  <w:tcW w:w="1103" w:type="dxa"/>
                  <w:vMerge w:val="continue"/>
                  <w:noWrap w:val="0"/>
                  <w:vAlign w:val="center"/>
                </w:tcPr>
                <w:p>
                  <w:pPr>
                    <w:autoSpaceDE w:val="0"/>
                    <w:autoSpaceDN w:val="0"/>
                    <w:adjustRightInd w:val="0"/>
                    <w:spacing w:line="240" w:lineRule="auto"/>
                    <w:jc w:val="center"/>
                    <w:rPr>
                      <w:rFonts w:hint="eastAsia"/>
                      <w:color w:val="auto"/>
                      <w:kern w:val="0"/>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val="en-US" w:eastAsia="zh-CN"/>
                    </w:rPr>
                    <w:t>硫酸罐</w:t>
                  </w:r>
                </w:p>
              </w:tc>
              <w:tc>
                <w:tcPr>
                  <w:tcW w:w="1761" w:type="dxa"/>
                  <w:noWrap w:val="0"/>
                  <w:vAlign w:val="center"/>
                </w:tcPr>
                <w:p>
                  <w:pPr>
                    <w:spacing w:line="240" w:lineRule="auto"/>
                    <w:jc w:val="center"/>
                    <w:rPr>
                      <w:rFonts w:hint="default" w:hAnsi="宋体" w:cs="Times New Roman"/>
                      <w:color w:val="auto"/>
                      <w:szCs w:val="21"/>
                      <w:highlight w:val="none"/>
                      <w:u w:val="none"/>
                      <w:lang w:val="en-US" w:eastAsia="zh-CN"/>
                    </w:rPr>
                  </w:pPr>
                  <w:r>
                    <w:rPr>
                      <w:rFonts w:hint="default" w:ascii="Times New Roman" w:hAnsi="Times New Roman" w:cs="Times New Roman"/>
                      <w:b w:val="0"/>
                      <w:bCs w:val="0"/>
                      <w:color w:val="auto"/>
                      <w:sz w:val="21"/>
                      <w:szCs w:val="21"/>
                      <w:highlight w:val="none"/>
                      <w:lang w:val="en-US" w:eastAsia="zh-CN"/>
                    </w:rPr>
                    <w:t>Φ</w:t>
                  </w:r>
                  <w:r>
                    <w:rPr>
                      <w:rFonts w:hint="eastAsia" w:cs="Times New Roman"/>
                      <w:b w:val="0"/>
                      <w:bCs w:val="0"/>
                      <w:color w:val="auto"/>
                      <w:sz w:val="21"/>
                      <w:szCs w:val="21"/>
                      <w:highlight w:val="none"/>
                      <w:lang w:val="en-US" w:eastAsia="zh-CN"/>
                    </w:rPr>
                    <w:t>2.4</w:t>
                  </w:r>
                  <w:r>
                    <w:rPr>
                      <w:rFonts w:hint="eastAsia" w:ascii="Times New Roman" w:hAnsi="Times New Roman"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5</w:t>
                  </w:r>
                </w:p>
              </w:tc>
              <w:tc>
                <w:tcPr>
                  <w:tcW w:w="80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val="en-US" w:eastAsia="zh-CN"/>
                    </w:rPr>
                    <w:t>罐</w:t>
                  </w:r>
                </w:p>
              </w:tc>
              <w:tc>
                <w:tcPr>
                  <w:tcW w:w="933" w:type="dxa"/>
                  <w:noWrap w:val="0"/>
                  <w:vAlign w:val="center"/>
                </w:tcPr>
                <w:p>
                  <w:pPr>
                    <w:spacing w:line="240" w:lineRule="auto"/>
                    <w:jc w:val="center"/>
                    <w:rPr>
                      <w:rFonts w:hint="eastAsia" w:hAnsi="宋体" w:cs="Times New Roman"/>
                      <w:color w:val="auto"/>
                      <w:szCs w:val="21"/>
                      <w:highlight w:val="none"/>
                      <w:u w:val="none"/>
                      <w:lang w:val="en-US" w:eastAsia="zh-CN"/>
                    </w:rPr>
                  </w:pPr>
                  <w:r>
                    <w:rPr>
                      <w:rFonts w:hint="eastAsia" w:hAnsi="宋体" w:cs="Times New Roman"/>
                      <w:color w:val="auto"/>
                      <w:szCs w:val="21"/>
                      <w:highlight w:val="none"/>
                      <w:u w:val="none"/>
                      <w:lang w:val="en-US" w:eastAsia="zh-CN"/>
                    </w:rPr>
                    <w:t>1</w:t>
                  </w:r>
                </w:p>
              </w:tc>
              <w:tc>
                <w:tcPr>
                  <w:tcW w:w="2072"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highlight w:val="none"/>
                      <w:u w:val="none"/>
                      <w:lang w:eastAsia="zh-CN"/>
                    </w:rPr>
                    <w:t>储罐</w:t>
                  </w:r>
                </w:p>
              </w:tc>
              <w:tc>
                <w:tcPr>
                  <w:tcW w:w="1103" w:type="dxa"/>
                  <w:vMerge w:val="continue"/>
                  <w:noWrap w:val="0"/>
                  <w:vAlign w:val="center"/>
                </w:tcPr>
                <w:p>
                  <w:pPr>
                    <w:autoSpaceDE w:val="0"/>
                    <w:autoSpaceDN w:val="0"/>
                    <w:adjustRightInd w:val="0"/>
                    <w:spacing w:line="240" w:lineRule="auto"/>
                    <w:jc w:val="center"/>
                    <w:rPr>
                      <w:rFonts w:hint="default"/>
                      <w:b w:val="0"/>
                      <w:bCs w:val="0"/>
                      <w:color w:val="auto"/>
                      <w:kern w:val="0"/>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val="en-US" w:eastAsia="zh-CN"/>
                    </w:rPr>
                    <w:t>高位罐</w:t>
                  </w:r>
                </w:p>
              </w:tc>
              <w:tc>
                <w:tcPr>
                  <w:tcW w:w="1761" w:type="dxa"/>
                  <w:noWrap w:val="0"/>
                  <w:vAlign w:val="center"/>
                </w:tcPr>
                <w:p>
                  <w:pPr>
                    <w:spacing w:line="240" w:lineRule="auto"/>
                    <w:jc w:val="center"/>
                    <w:rPr>
                      <w:rFonts w:hint="eastAsia" w:hAnsi="宋体" w:cs="Times New Roman"/>
                      <w:color w:val="auto"/>
                      <w:szCs w:val="21"/>
                      <w:highlight w:val="none"/>
                      <w:u w:val="none"/>
                      <w:lang w:val="en-US" w:eastAsia="zh-CN"/>
                    </w:rPr>
                  </w:pPr>
                  <w:r>
                    <w:rPr>
                      <w:rFonts w:hint="default" w:ascii="Times New Roman" w:hAnsi="Times New Roman" w:cs="Times New Roman"/>
                      <w:b w:val="0"/>
                      <w:bCs w:val="0"/>
                      <w:color w:val="auto"/>
                      <w:sz w:val="21"/>
                      <w:szCs w:val="21"/>
                      <w:highlight w:val="none"/>
                      <w:lang w:val="en-US" w:eastAsia="zh-CN"/>
                    </w:rPr>
                    <w:t>φ1.2</w:t>
                  </w:r>
                  <w:r>
                    <w:rPr>
                      <w:rFonts w:hint="eastAsia" w:ascii="Times New Roman" w:hAnsi="Times New Roman" w:cs="Times New Roman"/>
                      <w:b w:val="0"/>
                      <w:bCs w:val="0"/>
                      <w:color w:val="auto"/>
                      <w:sz w:val="21"/>
                      <w:szCs w:val="21"/>
                      <w:highlight w:val="none"/>
                      <w:lang w:val="en-US" w:eastAsia="zh-CN"/>
                    </w:rPr>
                    <w:t>*5.6</w:t>
                  </w:r>
                </w:p>
              </w:tc>
              <w:tc>
                <w:tcPr>
                  <w:tcW w:w="80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val="en-US" w:eastAsia="zh-CN"/>
                    </w:rPr>
                    <w:t>罐</w:t>
                  </w:r>
                </w:p>
              </w:tc>
              <w:tc>
                <w:tcPr>
                  <w:tcW w:w="933" w:type="dxa"/>
                  <w:noWrap w:val="0"/>
                  <w:vAlign w:val="center"/>
                </w:tcPr>
                <w:p>
                  <w:pPr>
                    <w:spacing w:line="240" w:lineRule="auto"/>
                    <w:jc w:val="center"/>
                    <w:rPr>
                      <w:rFonts w:hint="eastAsia" w:hAnsi="宋体" w:cs="Times New Roman"/>
                      <w:color w:val="auto"/>
                      <w:szCs w:val="21"/>
                      <w:highlight w:val="none"/>
                      <w:u w:val="none"/>
                      <w:lang w:val="en-US" w:eastAsia="zh-CN"/>
                    </w:rPr>
                  </w:pPr>
                  <w:r>
                    <w:rPr>
                      <w:rFonts w:hint="eastAsia" w:hAnsi="宋体" w:cs="Times New Roman"/>
                      <w:color w:val="auto"/>
                      <w:szCs w:val="21"/>
                      <w:highlight w:val="none"/>
                      <w:u w:val="none"/>
                      <w:lang w:val="en-US" w:eastAsia="zh-CN"/>
                    </w:rPr>
                    <w:t>1</w:t>
                  </w:r>
                </w:p>
              </w:tc>
              <w:tc>
                <w:tcPr>
                  <w:tcW w:w="2072"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highlight w:val="none"/>
                      <w:u w:val="none"/>
                      <w:lang w:eastAsia="zh-CN"/>
                    </w:rPr>
                    <w:t>储罐</w:t>
                  </w:r>
                </w:p>
              </w:tc>
              <w:tc>
                <w:tcPr>
                  <w:tcW w:w="1103" w:type="dxa"/>
                  <w:vMerge w:val="continue"/>
                  <w:noWrap w:val="0"/>
                  <w:vAlign w:val="center"/>
                </w:tcPr>
                <w:p>
                  <w:pPr>
                    <w:autoSpaceDE w:val="0"/>
                    <w:autoSpaceDN w:val="0"/>
                    <w:adjustRightInd w:val="0"/>
                    <w:spacing w:line="240" w:lineRule="auto"/>
                    <w:jc w:val="center"/>
                    <w:rPr>
                      <w:rFonts w:hint="default"/>
                      <w:b w:val="0"/>
                      <w:bCs w:val="0"/>
                      <w:color w:val="auto"/>
                      <w:kern w:val="0"/>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1" w:type="dxa"/>
                  <w:noWrap w:val="0"/>
                  <w:vAlign w:val="center"/>
                </w:tcPr>
                <w:p>
                  <w:pPr>
                    <w:pStyle w:val="95"/>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b w:val="0"/>
                      <w:bCs w:val="0"/>
                      <w:color w:val="auto"/>
                      <w:kern w:val="0"/>
                      <w:szCs w:val="21"/>
                      <w:u w:val="none"/>
                      <w:lang w:bidi="ar"/>
                    </w:rPr>
                  </w:pPr>
                </w:p>
              </w:tc>
              <w:tc>
                <w:tcPr>
                  <w:tcW w:w="1853"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val="en-US" w:eastAsia="zh-CN"/>
                    </w:rPr>
                    <w:t>污水处理设施</w:t>
                  </w:r>
                </w:p>
              </w:tc>
              <w:tc>
                <w:tcPr>
                  <w:tcW w:w="1761" w:type="dxa"/>
                  <w:noWrap w:val="0"/>
                  <w:vAlign w:val="center"/>
                </w:tcPr>
                <w:p>
                  <w:pPr>
                    <w:spacing w:line="240" w:lineRule="auto"/>
                    <w:jc w:val="center"/>
                    <w:rPr>
                      <w:rFonts w:hint="default" w:hAnsi="宋体" w:cs="Times New Roman"/>
                      <w:color w:val="auto"/>
                      <w:szCs w:val="21"/>
                      <w:highlight w:val="none"/>
                      <w:u w:val="none"/>
                      <w:lang w:val="en-US" w:eastAsia="zh-CN"/>
                    </w:rPr>
                  </w:pP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val="en-US" w:eastAsia="zh-CN"/>
                    </w:rPr>
                    <w:t>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/d</w:t>
                  </w:r>
                </w:p>
              </w:tc>
              <w:tc>
                <w:tcPr>
                  <w:tcW w:w="800" w:type="dxa"/>
                  <w:noWrap w:val="0"/>
                  <w:vAlign w:val="center"/>
                </w:tcPr>
                <w:p>
                  <w:pPr>
                    <w:spacing w:line="240" w:lineRule="auto"/>
                    <w:jc w:val="center"/>
                    <w:rPr>
                      <w:rFonts w:hint="default" w:hAnsi="宋体"/>
                      <w:color w:val="auto"/>
                      <w:szCs w:val="21"/>
                      <w:highlight w:val="none"/>
                      <w:u w:val="none"/>
                      <w:lang w:val="en-US" w:eastAsia="zh-CN"/>
                    </w:rPr>
                  </w:pPr>
                  <w:r>
                    <w:rPr>
                      <w:rFonts w:hint="eastAsia" w:hAnsi="宋体"/>
                      <w:color w:val="auto"/>
                      <w:szCs w:val="21"/>
                      <w:highlight w:val="none"/>
                      <w:u w:val="none"/>
                      <w:lang w:val="en-US" w:eastAsia="zh-CN"/>
                    </w:rPr>
                    <w:t>座</w:t>
                  </w:r>
                </w:p>
              </w:tc>
              <w:tc>
                <w:tcPr>
                  <w:tcW w:w="933" w:type="dxa"/>
                  <w:noWrap w:val="0"/>
                  <w:vAlign w:val="center"/>
                </w:tcPr>
                <w:p>
                  <w:pPr>
                    <w:spacing w:line="240" w:lineRule="auto"/>
                    <w:jc w:val="center"/>
                    <w:rPr>
                      <w:rFonts w:hint="eastAsia" w:hAnsi="宋体" w:cs="Times New Roman"/>
                      <w:color w:val="auto"/>
                      <w:szCs w:val="21"/>
                      <w:highlight w:val="none"/>
                      <w:u w:val="none"/>
                      <w:lang w:val="en-US" w:eastAsia="zh-CN"/>
                    </w:rPr>
                  </w:pPr>
                  <w:r>
                    <w:rPr>
                      <w:rFonts w:hint="eastAsia" w:hAnsi="宋体" w:cs="Times New Roman"/>
                      <w:color w:val="auto"/>
                      <w:szCs w:val="21"/>
                      <w:highlight w:val="none"/>
                      <w:u w:val="none"/>
                      <w:lang w:val="en-US" w:eastAsia="zh-CN"/>
                    </w:rPr>
                    <w:t>1</w:t>
                  </w:r>
                </w:p>
              </w:tc>
              <w:tc>
                <w:tcPr>
                  <w:tcW w:w="2072"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highlight w:val="none"/>
                      <w:u w:val="none"/>
                      <w:lang w:eastAsia="zh-CN"/>
                    </w:rPr>
                    <w:t>污水处理</w:t>
                  </w:r>
                </w:p>
              </w:tc>
              <w:tc>
                <w:tcPr>
                  <w:tcW w:w="1103" w:type="dxa"/>
                  <w:vMerge w:val="continue"/>
                  <w:noWrap w:val="0"/>
                  <w:vAlign w:val="center"/>
                </w:tcPr>
                <w:p>
                  <w:pPr>
                    <w:autoSpaceDE w:val="0"/>
                    <w:autoSpaceDN w:val="0"/>
                    <w:adjustRightInd w:val="0"/>
                    <w:spacing w:line="240" w:lineRule="auto"/>
                    <w:jc w:val="center"/>
                    <w:rPr>
                      <w:rFonts w:hint="default"/>
                      <w:b w:val="0"/>
                      <w:bCs w:val="0"/>
                      <w:color w:val="auto"/>
                      <w:kern w:val="0"/>
                      <w:szCs w:val="21"/>
                      <w:highlight w:val="none"/>
                      <w:u w:val="none"/>
                      <w:lang w:val="en-US" w:eastAsia="zh-CN" w:bidi="ar"/>
                    </w:rPr>
                  </w:pPr>
                </w:p>
              </w:tc>
            </w:tr>
          </w:tbl>
          <w:p>
            <w:pPr>
              <w:jc w:val="center"/>
              <w:rPr>
                <w:rFonts w:hint="default" w:ascii="Times New Roman" w:hAnsi="Times New Roman" w:cs="Times New Roman"/>
                <w:b/>
                <w:color w:val="auto"/>
                <w:sz w:val="24"/>
                <w:szCs w:val="24"/>
                <w:u w:val="none"/>
                <w:lang w:bidi="ar"/>
              </w:rPr>
            </w:pPr>
            <w:r>
              <w:rPr>
                <w:rFonts w:hint="default" w:ascii="Times New Roman" w:hAnsi="Times New Roman" w:cs="Times New Roman"/>
                <w:b/>
                <w:color w:val="auto"/>
                <w:sz w:val="24"/>
                <w:szCs w:val="24"/>
                <w:u w:val="none"/>
                <w:lang w:val="en-US" w:eastAsia="zh-CN" w:bidi="ar"/>
              </w:rPr>
              <w:t>表2.5-</w:t>
            </w:r>
            <w:r>
              <w:rPr>
                <w:rFonts w:hint="eastAsia" w:cs="Times New Roman"/>
                <w:b/>
                <w:color w:val="auto"/>
                <w:sz w:val="24"/>
                <w:szCs w:val="24"/>
                <w:u w:val="none"/>
                <w:lang w:val="en-US" w:eastAsia="zh-CN" w:bidi="ar"/>
              </w:rPr>
              <w:t>3不锈钢焊丝生产线</w:t>
            </w:r>
            <w:r>
              <w:rPr>
                <w:rFonts w:hint="default" w:ascii="Times New Roman" w:hAnsi="Times New Roman" w:cs="Times New Roman"/>
                <w:b/>
                <w:color w:val="auto"/>
                <w:sz w:val="24"/>
                <w:szCs w:val="24"/>
                <w:u w:val="none"/>
                <w:lang w:val="en-US" w:eastAsia="zh-CN" w:bidi="ar"/>
              </w:rPr>
              <w:t>表面处理功能槽体基本参数一览表</w:t>
            </w:r>
          </w:p>
          <w:tbl>
            <w:tblPr>
              <w:tblStyle w:val="29"/>
              <w:tblpPr w:leftFromText="181" w:rightFromText="181" w:vertAnchor="text" w:tblpXSpec="center" w:tblpY="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98"/>
              <w:gridCol w:w="359"/>
              <w:gridCol w:w="1152"/>
              <w:gridCol w:w="1198"/>
              <w:gridCol w:w="600"/>
              <w:gridCol w:w="692"/>
              <w:gridCol w:w="897"/>
              <w:gridCol w:w="938"/>
              <w:gridCol w:w="984"/>
              <w:gridCol w:w="751"/>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3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工序</w:t>
                  </w: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槽体名称</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尺寸</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lang w:eastAsia="zh-CN"/>
                    </w:rPr>
                    <w:t>）</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数量（座）</w:t>
                  </w:r>
                </w:p>
              </w:tc>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eastAsia"/>
                      <w:b/>
                      <w:bCs/>
                      <w:color w:val="auto"/>
                      <w:lang w:eastAsia="zh-CN"/>
                    </w:rPr>
                    <w:t>单槽</w:t>
                  </w:r>
                  <w:r>
                    <w:rPr>
                      <w:rFonts w:hint="default" w:ascii="Times New Roman" w:hAnsi="Times New Roman" w:eastAsia="宋体" w:cs="Times New Roman"/>
                      <w:b/>
                      <w:bCs/>
                      <w:color w:val="auto"/>
                      <w:sz w:val="21"/>
                      <w:szCs w:val="21"/>
                      <w:highlight w:val="none"/>
                      <w:lang w:eastAsia="zh-CN"/>
                    </w:rPr>
                    <w:t>有效容积（</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eastAsia="zh-CN"/>
                    </w:rPr>
                    <w:t>）</w:t>
                  </w:r>
                </w:p>
              </w:tc>
              <w:tc>
                <w:tcPr>
                  <w:tcW w:w="8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工艺时长</w:t>
                  </w:r>
                </w:p>
              </w:tc>
              <w:tc>
                <w:tcPr>
                  <w:tcW w:w="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u w:val="none"/>
                      <w:lang w:eastAsia="zh-CN"/>
                    </w:rPr>
                    <w:t>工作温度</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eastAsia="zh-CN"/>
                    </w:rPr>
                  </w:pPr>
                  <w:r>
                    <w:rPr>
                      <w:rFonts w:hint="default" w:ascii="Times New Roman" w:hAnsi="Times New Roman" w:eastAsia="宋体" w:cs="Times New Roman"/>
                      <w:b/>
                      <w:bCs/>
                      <w:color w:val="auto"/>
                      <w:sz w:val="21"/>
                      <w:szCs w:val="21"/>
                      <w:u w:val="none"/>
                      <w:lang w:eastAsia="zh-CN"/>
                    </w:rPr>
                    <w:t>换水</w:t>
                  </w:r>
                  <w:r>
                    <w:rPr>
                      <w:rFonts w:hint="default" w:ascii="Times New Roman" w:hAnsi="Times New Roman" w:eastAsia="宋体" w:cs="Times New Roman"/>
                      <w:b/>
                      <w:bCs/>
                      <w:color w:val="auto"/>
                      <w:sz w:val="21"/>
                      <w:szCs w:val="21"/>
                      <w:u w:val="none"/>
                    </w:rPr>
                    <w:t>频率</w:t>
                  </w:r>
                </w:p>
              </w:tc>
              <w:tc>
                <w:tcPr>
                  <w:tcW w:w="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eastAsia" w:cs="Times New Roman"/>
                      <w:b/>
                      <w:bCs/>
                      <w:color w:val="auto"/>
                      <w:sz w:val="21"/>
                      <w:szCs w:val="21"/>
                      <w:u w:val="none"/>
                      <w:lang w:val="en-US" w:eastAsia="zh-CN"/>
                    </w:rPr>
                    <w:t>添加原料</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设计槽液</w:t>
                  </w:r>
                  <w:r>
                    <w:rPr>
                      <w:rFonts w:hint="default" w:ascii="Times New Roman" w:hAnsi="Times New Roman" w:eastAsia="宋体" w:cs="Times New Roman"/>
                      <w:b/>
                      <w:bCs/>
                      <w:color w:val="auto"/>
                      <w:sz w:val="21"/>
                      <w:szCs w:val="21"/>
                      <w:u w:val="none"/>
                      <w:lang w:val="en-US"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98" w:type="dxa"/>
                  <w:noWrap w:val="0"/>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不锈钢焊丝</w:t>
                  </w: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酸洗槽</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6.5×0.7×0.7</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w:t>
                  </w:r>
                </w:p>
              </w:tc>
              <w:tc>
                <w:tcPr>
                  <w:tcW w:w="8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kern w:val="2"/>
                      <w:sz w:val="21"/>
                      <w:szCs w:val="21"/>
                      <w:highlight w:val="none"/>
                      <w:lang w:val="en-US" w:eastAsia="zh-CN" w:bidi="ar-SA"/>
                    </w:rPr>
                    <w:t>24</w:t>
                  </w:r>
                  <w:r>
                    <w:rPr>
                      <w:rFonts w:hint="default" w:ascii="Times New Roman" w:hAnsi="Times New Roman" w:eastAsia="宋体" w:cs="Times New Roman"/>
                      <w:b w:val="0"/>
                      <w:bCs w:val="0"/>
                      <w:color w:val="auto"/>
                      <w:kern w:val="2"/>
                      <w:sz w:val="21"/>
                      <w:szCs w:val="21"/>
                      <w:highlight w:val="none"/>
                      <w:lang w:val="en-US" w:eastAsia="zh-CN" w:bidi="ar-SA"/>
                    </w:rPr>
                    <w:t>h</w:t>
                  </w:r>
                  <w:r>
                    <w:rPr>
                      <w:rFonts w:hint="default" w:ascii="Times New Roman" w:hAnsi="Times New Roman" w:eastAsia="宋体" w:cs="Times New Roman"/>
                      <w:b w:val="0"/>
                      <w:bCs w:val="0"/>
                      <w:color w:val="auto"/>
                      <w:sz w:val="21"/>
                      <w:szCs w:val="21"/>
                      <w:highlight w:val="none"/>
                      <w:lang w:val="en-US" w:eastAsia="zh-CN"/>
                    </w:rPr>
                    <w:t>×330d</w:t>
                  </w:r>
                </w:p>
              </w:tc>
              <w:tc>
                <w:tcPr>
                  <w:tcW w:w="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val="en-US" w:eastAsia="zh-CN" w:bidi="ar-SA"/>
                    </w:rPr>
                    <w:t>20~35℃</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kern w:val="2"/>
                      <w:sz w:val="21"/>
                      <w:szCs w:val="21"/>
                      <w:highlight w:val="none"/>
                      <w:lang w:val="en-US" w:eastAsia="zh-CN" w:bidi="ar-SA"/>
                    </w:rPr>
                    <w:t>半年</w:t>
                  </w:r>
                  <w:r>
                    <w:rPr>
                      <w:rFonts w:hint="default" w:ascii="Times New Roman" w:hAnsi="Times New Roman" w:eastAsia="宋体" w:cs="Times New Roman"/>
                      <w:b w:val="0"/>
                      <w:bCs w:val="0"/>
                      <w:color w:val="auto"/>
                      <w:kern w:val="2"/>
                      <w:sz w:val="21"/>
                      <w:szCs w:val="21"/>
                      <w:highlight w:val="none"/>
                      <w:lang w:val="en-US" w:eastAsia="zh-CN" w:bidi="ar-SA"/>
                    </w:rPr>
                    <w:t>/次</w:t>
                  </w:r>
                </w:p>
              </w:tc>
              <w:tc>
                <w:tcPr>
                  <w:tcW w:w="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kern w:val="2"/>
                      <w:sz w:val="21"/>
                      <w:szCs w:val="21"/>
                      <w:highlight w:val="none"/>
                      <w:lang w:val="en-US" w:eastAsia="zh-CN" w:bidi="ar-SA"/>
                    </w:rPr>
                    <w:t>硫酸</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300g/L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98" w:type="dxa"/>
                  <w:noWrap w:val="0"/>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水洗槽</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2.5×0.7×0.7</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w:t>
                  </w:r>
                </w:p>
              </w:tc>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8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kern w:val="2"/>
                      <w:sz w:val="21"/>
                      <w:szCs w:val="21"/>
                      <w:highlight w:val="none"/>
                      <w:lang w:val="en-US" w:eastAsia="zh-CN" w:bidi="ar-SA"/>
                    </w:rPr>
                    <w:t>24</w:t>
                  </w:r>
                  <w:r>
                    <w:rPr>
                      <w:rFonts w:hint="default" w:ascii="Times New Roman" w:hAnsi="Times New Roman" w:eastAsia="宋体" w:cs="Times New Roman"/>
                      <w:b w:val="0"/>
                      <w:bCs w:val="0"/>
                      <w:color w:val="auto"/>
                      <w:kern w:val="2"/>
                      <w:sz w:val="21"/>
                      <w:szCs w:val="21"/>
                      <w:highlight w:val="none"/>
                      <w:lang w:val="en-US" w:eastAsia="zh-CN" w:bidi="ar-SA"/>
                    </w:rPr>
                    <w:t>h</w:t>
                  </w:r>
                  <w:r>
                    <w:rPr>
                      <w:rFonts w:hint="default" w:ascii="Times New Roman" w:hAnsi="Times New Roman" w:eastAsia="宋体" w:cs="Times New Roman"/>
                      <w:b w:val="0"/>
                      <w:bCs w:val="0"/>
                      <w:color w:val="auto"/>
                      <w:sz w:val="21"/>
                      <w:szCs w:val="21"/>
                      <w:highlight w:val="none"/>
                      <w:lang w:val="en-US" w:eastAsia="zh-CN"/>
                    </w:rPr>
                    <w:t>×330d</w:t>
                  </w:r>
                </w:p>
              </w:tc>
              <w:tc>
                <w:tcPr>
                  <w:tcW w:w="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val="en-US" w:eastAsia="zh-CN" w:bidi="ar-SA"/>
                    </w:rPr>
                    <w:t>常温/90℃</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val="en-US" w:eastAsia="zh-CN" w:bidi="ar-SA"/>
                    </w:rPr>
                    <w:t>1天/次</w:t>
                  </w:r>
                </w:p>
              </w:tc>
              <w:tc>
                <w:tcPr>
                  <w:tcW w:w="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98" w:type="dxa"/>
                  <w:noWrap w:val="0"/>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u w:val="none"/>
                    </w:rPr>
                    <w:t>涂膜槽</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0.9×0.6×0.5</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0.25</w:t>
                  </w:r>
                </w:p>
              </w:tc>
              <w:tc>
                <w:tcPr>
                  <w:tcW w:w="8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kern w:val="2"/>
                      <w:sz w:val="21"/>
                      <w:szCs w:val="21"/>
                      <w:highlight w:val="none"/>
                      <w:lang w:val="en-US" w:eastAsia="zh-CN" w:bidi="ar-SA"/>
                    </w:rPr>
                    <w:t>24</w:t>
                  </w:r>
                  <w:r>
                    <w:rPr>
                      <w:rFonts w:hint="default" w:ascii="Times New Roman" w:hAnsi="Times New Roman" w:eastAsia="宋体" w:cs="Times New Roman"/>
                      <w:b w:val="0"/>
                      <w:bCs w:val="0"/>
                      <w:color w:val="auto"/>
                      <w:kern w:val="2"/>
                      <w:sz w:val="21"/>
                      <w:szCs w:val="21"/>
                      <w:highlight w:val="none"/>
                      <w:lang w:val="en-US" w:eastAsia="zh-CN" w:bidi="ar-SA"/>
                    </w:rPr>
                    <w:t>h</w:t>
                  </w:r>
                  <w:r>
                    <w:rPr>
                      <w:rFonts w:hint="default" w:ascii="Times New Roman" w:hAnsi="Times New Roman" w:eastAsia="宋体" w:cs="Times New Roman"/>
                      <w:b w:val="0"/>
                      <w:bCs w:val="0"/>
                      <w:color w:val="auto"/>
                      <w:sz w:val="21"/>
                      <w:szCs w:val="21"/>
                      <w:highlight w:val="none"/>
                      <w:lang w:val="en-US" w:eastAsia="zh-CN"/>
                    </w:rPr>
                    <w:t>×330d</w:t>
                  </w:r>
                </w:p>
              </w:tc>
              <w:tc>
                <w:tcPr>
                  <w:tcW w:w="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val="en-US" w:eastAsia="zh-CN" w:bidi="ar-SA"/>
                    </w:rPr>
                    <w:t>60~85℃</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val="en-US" w:eastAsia="zh-CN" w:bidi="ar-SA"/>
                    </w:rPr>
                    <w:t>1月/次</w:t>
                  </w:r>
                </w:p>
              </w:tc>
              <w:tc>
                <w:tcPr>
                  <w:tcW w:w="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Ansi="宋体"/>
                      <w:color w:val="auto"/>
                      <w:szCs w:val="21"/>
                      <w:u w:val="none"/>
                    </w:rPr>
                    <w:t>涂膜剂</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298" w:type="dxa"/>
                  <w:noWrap w:val="0"/>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eastAsia="zh-CN"/>
                    </w:rPr>
                    <w:t>清洗槽</w:t>
                  </w:r>
                </w:p>
              </w:tc>
              <w:tc>
                <w:tcPr>
                  <w:tcW w:w="11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4×0.7×0.7</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6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c>
                <w:tcPr>
                  <w:tcW w:w="8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lang w:val="en-US" w:eastAsia="zh-CN"/>
                    </w:rPr>
                  </w:pPr>
                  <w:r>
                    <w:rPr>
                      <w:rFonts w:hint="eastAsia" w:cs="Times New Roman"/>
                      <w:b w:val="0"/>
                      <w:bCs w:val="0"/>
                      <w:color w:val="auto"/>
                      <w:kern w:val="2"/>
                      <w:sz w:val="21"/>
                      <w:szCs w:val="21"/>
                      <w:highlight w:val="none"/>
                      <w:lang w:val="en-US" w:eastAsia="zh-CN" w:bidi="ar-SA"/>
                    </w:rPr>
                    <w:t>24</w:t>
                  </w:r>
                  <w:r>
                    <w:rPr>
                      <w:rFonts w:hint="default" w:ascii="Times New Roman" w:hAnsi="Times New Roman" w:eastAsia="宋体" w:cs="Times New Roman"/>
                      <w:b w:val="0"/>
                      <w:bCs w:val="0"/>
                      <w:color w:val="auto"/>
                      <w:kern w:val="2"/>
                      <w:sz w:val="21"/>
                      <w:szCs w:val="21"/>
                      <w:highlight w:val="none"/>
                      <w:lang w:val="en-US" w:eastAsia="zh-CN" w:bidi="ar-SA"/>
                    </w:rPr>
                    <w:t>h</w:t>
                  </w:r>
                  <w:r>
                    <w:rPr>
                      <w:rFonts w:hint="default" w:ascii="Times New Roman" w:hAnsi="Times New Roman" w:eastAsia="宋体" w:cs="Times New Roman"/>
                      <w:b w:val="0"/>
                      <w:bCs w:val="0"/>
                      <w:color w:val="auto"/>
                      <w:sz w:val="21"/>
                      <w:szCs w:val="21"/>
                      <w:highlight w:val="none"/>
                      <w:lang w:val="en-US" w:eastAsia="zh-CN"/>
                    </w:rPr>
                    <w:t>×330d</w:t>
                  </w:r>
                </w:p>
              </w:tc>
              <w:tc>
                <w:tcPr>
                  <w:tcW w:w="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常温</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kern w:val="2"/>
                      <w:sz w:val="21"/>
                      <w:szCs w:val="21"/>
                      <w:highlight w:val="none"/>
                      <w:lang w:val="en-US" w:eastAsia="zh-CN" w:bidi="ar-SA"/>
                    </w:rPr>
                    <w:t>1天/次</w:t>
                  </w:r>
                </w:p>
              </w:tc>
              <w:tc>
                <w:tcPr>
                  <w:tcW w:w="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4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bl>
          <w:p>
            <w:pPr>
              <w:pStyle w:val="56"/>
              <w:bidi w:val="0"/>
              <w:rPr>
                <w:color w:val="auto"/>
                <w:sz w:val="24"/>
                <w:szCs w:val="24"/>
                <w:highlight w:val="none"/>
                <w:u w:val="none"/>
                <w:lang w:val="ru-RU"/>
              </w:rPr>
            </w:pPr>
            <w:r>
              <w:rPr>
                <w:rFonts w:hint="eastAsia"/>
                <w:color w:val="auto"/>
                <w:sz w:val="24"/>
                <w:szCs w:val="24"/>
                <w:highlight w:val="none"/>
                <w:u w:val="none"/>
                <w:lang w:val="en-US" w:eastAsia="zh-CN"/>
              </w:rPr>
              <w:t>2.6</w:t>
            </w:r>
            <w:r>
              <w:rPr>
                <w:color w:val="auto"/>
                <w:sz w:val="24"/>
                <w:szCs w:val="24"/>
                <w:highlight w:val="none"/>
                <w:u w:val="none"/>
                <w:lang w:val="ru-RU"/>
              </w:rPr>
              <w:t>平面布置</w:t>
            </w:r>
          </w:p>
          <w:p>
            <w:pPr>
              <w:pStyle w:val="62"/>
              <w:ind w:firstLine="480"/>
              <w:rPr>
                <w:rFonts w:hint="eastAsia"/>
                <w:color w:val="auto"/>
                <w:sz w:val="24"/>
                <w:szCs w:val="24"/>
                <w:highlight w:val="none"/>
                <w:u w:val="none"/>
              </w:rPr>
            </w:pPr>
            <w:r>
              <w:rPr>
                <w:rFonts w:hint="eastAsia"/>
                <w:color w:val="auto"/>
                <w:sz w:val="24"/>
                <w:szCs w:val="24"/>
                <w:highlight w:val="none"/>
                <w:u w:val="none"/>
              </w:rPr>
              <w:t>项目位于</w:t>
            </w:r>
            <w:r>
              <w:rPr>
                <w:rFonts w:hint="eastAsia"/>
                <w:color w:val="auto"/>
                <w:sz w:val="24"/>
                <w:szCs w:val="24"/>
                <w:highlight w:val="none"/>
                <w:u w:val="none"/>
                <w:lang w:eastAsia="zh-CN"/>
              </w:rPr>
              <w:t>湘阴金龙工业园</w:t>
            </w:r>
            <w:r>
              <w:rPr>
                <w:rFonts w:hint="eastAsia"/>
                <w:color w:val="auto"/>
                <w:sz w:val="24"/>
                <w:szCs w:val="24"/>
                <w:highlight w:val="none"/>
                <w:u w:val="none"/>
              </w:rPr>
              <w:t>，通过道路连接G</w:t>
            </w:r>
            <w:r>
              <w:rPr>
                <w:rFonts w:hint="eastAsia"/>
                <w:color w:val="auto"/>
                <w:sz w:val="24"/>
                <w:szCs w:val="24"/>
                <w:highlight w:val="none"/>
                <w:u w:val="none"/>
                <w:lang w:val="en-US" w:eastAsia="zh-CN"/>
              </w:rPr>
              <w:t>240</w:t>
            </w:r>
            <w:r>
              <w:rPr>
                <w:rFonts w:hint="eastAsia"/>
                <w:color w:val="auto"/>
                <w:sz w:val="24"/>
                <w:szCs w:val="24"/>
                <w:highlight w:val="none"/>
                <w:u w:val="none"/>
              </w:rPr>
              <w:t>国道，交通较为便利。</w:t>
            </w:r>
            <w:r>
              <w:rPr>
                <w:rFonts w:hint="eastAsia"/>
                <w:color w:val="auto"/>
                <w:sz w:val="24"/>
                <w:szCs w:val="24"/>
                <w:highlight w:val="none"/>
                <w:u w:val="none"/>
                <w:lang w:eastAsia="zh-CN"/>
              </w:rPr>
              <w:t>改扩建</w:t>
            </w:r>
            <w:r>
              <w:rPr>
                <w:rFonts w:hint="eastAsia"/>
                <w:color w:val="auto"/>
                <w:sz w:val="24"/>
                <w:szCs w:val="24"/>
                <w:highlight w:val="none"/>
                <w:u w:val="none"/>
              </w:rPr>
              <w:t>项目依托现有</w:t>
            </w:r>
            <w:r>
              <w:rPr>
                <w:rFonts w:hint="eastAsia"/>
                <w:color w:val="auto"/>
                <w:sz w:val="24"/>
                <w:szCs w:val="24"/>
                <w:highlight w:val="none"/>
                <w:u w:val="none"/>
                <w:lang w:val="en-US" w:eastAsia="zh-CN"/>
              </w:rPr>
              <w:t>1#</w:t>
            </w:r>
            <w:r>
              <w:rPr>
                <w:rFonts w:hint="eastAsia"/>
                <w:color w:val="auto"/>
                <w:sz w:val="24"/>
                <w:szCs w:val="24"/>
                <w:highlight w:val="none"/>
                <w:u w:val="none"/>
              </w:rPr>
              <w:t>生产厂房、</w:t>
            </w:r>
            <w:r>
              <w:rPr>
                <w:rFonts w:hint="eastAsia"/>
                <w:color w:val="auto"/>
                <w:sz w:val="24"/>
                <w:szCs w:val="24"/>
                <w:highlight w:val="none"/>
                <w:u w:val="none"/>
                <w:lang w:val="en-US" w:eastAsia="zh-CN"/>
              </w:rPr>
              <w:t>2#生产厂房以及现有环保设施（</w:t>
            </w:r>
            <w:r>
              <w:rPr>
                <w:rFonts w:hint="eastAsia"/>
                <w:color w:val="auto"/>
                <w:sz w:val="24"/>
                <w:szCs w:val="24"/>
                <w:highlight w:val="none"/>
                <w:u w:val="none"/>
              </w:rPr>
              <w:t>危废暂存间、污水处理设施</w:t>
            </w:r>
            <w:r>
              <w:rPr>
                <w:rFonts w:hint="eastAsia"/>
                <w:color w:val="auto"/>
                <w:sz w:val="24"/>
                <w:szCs w:val="24"/>
                <w:highlight w:val="none"/>
                <w:u w:val="none"/>
                <w:lang w:val="en-US" w:eastAsia="zh-CN"/>
              </w:rPr>
              <w:t>）</w:t>
            </w:r>
            <w:r>
              <w:rPr>
                <w:rFonts w:hint="eastAsia"/>
                <w:color w:val="auto"/>
                <w:sz w:val="24"/>
                <w:szCs w:val="24"/>
                <w:highlight w:val="none"/>
                <w:u w:val="none"/>
              </w:rPr>
              <w:t>等</w:t>
            </w:r>
            <w:r>
              <w:rPr>
                <w:rFonts w:hint="eastAsia"/>
                <w:color w:val="auto"/>
                <w:sz w:val="24"/>
                <w:szCs w:val="24"/>
                <w:highlight w:val="none"/>
                <w:u w:val="none"/>
                <w:lang w:eastAsia="zh-CN"/>
              </w:rPr>
              <w:t>。</w:t>
            </w:r>
            <w:r>
              <w:rPr>
                <w:rFonts w:hint="eastAsia"/>
                <w:color w:val="auto"/>
                <w:sz w:val="24"/>
                <w:szCs w:val="24"/>
                <w:highlight w:val="none"/>
                <w:u w:val="none"/>
              </w:rPr>
              <w:t>出入口在厂</w:t>
            </w:r>
            <w:r>
              <w:rPr>
                <w:rFonts w:hint="eastAsia"/>
                <w:color w:val="auto"/>
                <w:sz w:val="24"/>
                <w:szCs w:val="24"/>
                <w:highlight w:val="none"/>
                <w:u w:val="none"/>
                <w:lang w:eastAsia="zh-CN"/>
              </w:rPr>
              <w:t>区西南</w:t>
            </w:r>
            <w:r>
              <w:rPr>
                <w:rFonts w:hint="eastAsia"/>
                <w:color w:val="auto"/>
                <w:sz w:val="24"/>
                <w:szCs w:val="24"/>
                <w:highlight w:val="none"/>
                <w:u w:val="none"/>
              </w:rPr>
              <w:t>侧，</w:t>
            </w:r>
            <w:r>
              <w:rPr>
                <w:rFonts w:hint="eastAsia"/>
                <w:color w:val="auto"/>
                <w:sz w:val="24"/>
                <w:szCs w:val="24"/>
                <w:highlight w:val="none"/>
                <w:u w:val="none"/>
                <w:lang w:eastAsia="zh-CN"/>
              </w:rPr>
              <w:t>厂区中部为</w:t>
            </w:r>
            <w:r>
              <w:rPr>
                <w:rFonts w:hint="eastAsia"/>
                <w:color w:val="auto"/>
                <w:sz w:val="24"/>
                <w:szCs w:val="24"/>
                <w:highlight w:val="none"/>
                <w:u w:val="none"/>
                <w:lang w:val="en-US" w:eastAsia="zh-CN"/>
              </w:rPr>
              <w:t>1#</w:t>
            </w:r>
            <w:r>
              <w:rPr>
                <w:rFonts w:hint="eastAsia"/>
                <w:color w:val="auto"/>
                <w:sz w:val="24"/>
                <w:szCs w:val="24"/>
                <w:highlight w:val="none"/>
                <w:u w:val="none"/>
                <w:lang w:eastAsia="zh-CN"/>
              </w:rPr>
              <w:t>生产</w:t>
            </w:r>
            <w:r>
              <w:rPr>
                <w:rFonts w:hint="eastAsia"/>
                <w:color w:val="auto"/>
                <w:sz w:val="24"/>
                <w:szCs w:val="24"/>
                <w:highlight w:val="none"/>
                <w:u w:val="none"/>
              </w:rPr>
              <w:t>厂房</w:t>
            </w:r>
            <w:r>
              <w:rPr>
                <w:rFonts w:hint="eastAsia"/>
                <w:color w:val="auto"/>
                <w:sz w:val="24"/>
                <w:szCs w:val="24"/>
                <w:highlight w:val="none"/>
                <w:u w:val="none"/>
                <w:lang w:eastAsia="zh-CN"/>
              </w:rPr>
              <w:t>，厂房由南向北为不锈钢焊丝车间、气保焊丝车间、废气处理设施；厂区北侧为</w:t>
            </w:r>
            <w:r>
              <w:rPr>
                <w:rFonts w:hint="eastAsia"/>
                <w:color w:val="auto"/>
                <w:sz w:val="24"/>
                <w:szCs w:val="24"/>
                <w:highlight w:val="none"/>
                <w:u w:val="none"/>
                <w:lang w:val="en-US" w:eastAsia="zh-CN"/>
              </w:rPr>
              <w:t>2#生产厂房，厂房由东向西布置产品堆场以及层绕机</w:t>
            </w:r>
            <w:r>
              <w:rPr>
                <w:rFonts w:hint="eastAsia"/>
                <w:color w:val="auto"/>
                <w:sz w:val="24"/>
                <w:szCs w:val="24"/>
                <w:highlight w:val="none"/>
                <w:u w:val="none"/>
              </w:rPr>
              <w:t>。</w:t>
            </w:r>
            <w:r>
              <w:rPr>
                <w:rFonts w:hint="eastAsia"/>
                <w:color w:val="auto"/>
                <w:sz w:val="24"/>
                <w:szCs w:val="24"/>
                <w:highlight w:val="none"/>
                <w:u w:val="none"/>
                <w:lang w:eastAsia="zh-CN"/>
              </w:rPr>
              <w:t>厂区西侧由南向北为宿舍楼、</w:t>
            </w:r>
            <w:r>
              <w:rPr>
                <w:rFonts w:hint="eastAsia"/>
                <w:color w:val="auto"/>
                <w:sz w:val="24"/>
                <w:szCs w:val="24"/>
                <w:highlight w:val="none"/>
                <w:u w:val="none"/>
                <w:lang w:val="en-US" w:eastAsia="zh-CN"/>
              </w:rPr>
              <w:t>3#生产厂房、</w:t>
            </w:r>
            <w:r>
              <w:rPr>
                <w:rFonts w:hint="eastAsia"/>
                <w:color w:val="auto"/>
                <w:sz w:val="24"/>
                <w:szCs w:val="24"/>
                <w:highlight w:val="none"/>
                <w:u w:val="none"/>
                <w:lang w:eastAsia="zh-CN"/>
              </w:rPr>
              <w:t>原料堆场、污泥暂存间、</w:t>
            </w:r>
            <w:r>
              <w:rPr>
                <w:rFonts w:hint="eastAsia"/>
                <w:color w:val="auto"/>
                <w:sz w:val="24"/>
                <w:szCs w:val="24"/>
                <w:highlight w:val="none"/>
                <w:u w:val="none"/>
              </w:rPr>
              <w:t>污水处理站、</w:t>
            </w:r>
            <w:r>
              <w:rPr>
                <w:rFonts w:hint="eastAsia"/>
                <w:color w:val="auto"/>
                <w:sz w:val="24"/>
                <w:szCs w:val="24"/>
                <w:highlight w:val="none"/>
                <w:u w:val="none"/>
                <w:lang w:eastAsia="zh-CN"/>
              </w:rPr>
              <w:t>一般固废暂存间</w:t>
            </w:r>
            <w:r>
              <w:rPr>
                <w:rFonts w:hint="eastAsia"/>
                <w:color w:val="auto"/>
                <w:sz w:val="24"/>
                <w:szCs w:val="24"/>
                <w:highlight w:val="none"/>
                <w:u w:val="none"/>
              </w:rPr>
              <w:t>、</w:t>
            </w:r>
            <w:r>
              <w:rPr>
                <w:rFonts w:hint="eastAsia"/>
                <w:color w:val="auto"/>
                <w:sz w:val="24"/>
                <w:szCs w:val="24"/>
                <w:highlight w:val="none"/>
                <w:u w:val="none"/>
                <w:lang w:eastAsia="zh-CN"/>
              </w:rPr>
              <w:t>危废暂存间</w:t>
            </w:r>
            <w:r>
              <w:rPr>
                <w:rFonts w:hint="eastAsia"/>
                <w:color w:val="auto"/>
                <w:sz w:val="24"/>
                <w:szCs w:val="24"/>
                <w:highlight w:val="none"/>
                <w:u w:val="none"/>
              </w:rPr>
              <w:t>等</w:t>
            </w:r>
            <w:r>
              <w:rPr>
                <w:rFonts w:hint="eastAsia"/>
                <w:color w:val="auto"/>
                <w:sz w:val="24"/>
                <w:szCs w:val="24"/>
                <w:highlight w:val="none"/>
                <w:u w:val="none"/>
                <w:lang w:eastAsia="zh-CN"/>
              </w:rPr>
              <w:t>，厂区东侧由南向北为</w:t>
            </w:r>
            <w:r>
              <w:rPr>
                <w:rFonts w:hint="eastAsia"/>
                <w:color w:val="auto"/>
                <w:sz w:val="24"/>
                <w:szCs w:val="24"/>
                <w:highlight w:val="none"/>
                <w:u w:val="none"/>
                <w:lang w:val="en-US" w:eastAsia="zh-CN"/>
              </w:rPr>
              <w:t>5F</w:t>
            </w:r>
            <w:r>
              <w:rPr>
                <w:rFonts w:hint="eastAsia"/>
                <w:color w:val="auto"/>
                <w:sz w:val="24"/>
                <w:szCs w:val="24"/>
                <w:highlight w:val="none"/>
                <w:u w:val="none"/>
                <w:lang w:eastAsia="zh-CN"/>
              </w:rPr>
              <w:t>办公楼、</w:t>
            </w:r>
            <w:r>
              <w:rPr>
                <w:rFonts w:hint="eastAsia"/>
                <w:color w:val="auto"/>
                <w:sz w:val="24"/>
                <w:szCs w:val="24"/>
                <w:highlight w:val="none"/>
                <w:u w:val="none"/>
                <w:lang w:val="en-US" w:eastAsia="zh-CN"/>
              </w:rPr>
              <w:t>4#生产厂房</w:t>
            </w:r>
            <w:r>
              <w:rPr>
                <w:rFonts w:hint="eastAsia"/>
                <w:color w:val="auto"/>
                <w:sz w:val="24"/>
                <w:szCs w:val="24"/>
                <w:highlight w:val="none"/>
                <w:u w:val="none"/>
              </w:rPr>
              <w:t>。项目总平面布置见附图3。</w:t>
            </w:r>
          </w:p>
          <w:p>
            <w:pPr>
              <w:pStyle w:val="62"/>
              <w:ind w:firstLine="480"/>
              <w:rPr>
                <w:rFonts w:hint="default"/>
                <w:color w:val="auto"/>
                <w:sz w:val="24"/>
                <w:szCs w:val="24"/>
                <w:highlight w:val="none"/>
                <w:u w:val="none"/>
                <w:lang w:val="en-US" w:eastAsia="zh-CN"/>
              </w:rPr>
            </w:pPr>
            <w:r>
              <w:rPr>
                <w:rFonts w:hint="eastAsia"/>
                <w:color w:val="auto"/>
                <w:sz w:val="24"/>
                <w:szCs w:val="24"/>
                <w:highlight w:val="none"/>
                <w:u w:val="none"/>
              </w:rPr>
              <w:t>本项目各个生产工序有通道连接，保障各生产环节紧密衔接，工艺流程顺畅，各种设施，工艺、动力路线短捷，工艺流向合理，物料运输方便。从环保角度分析，本项目平面布置基本合理。</w:t>
            </w:r>
          </w:p>
          <w:p>
            <w:pPr>
              <w:pStyle w:val="56"/>
              <w:bidi w:val="0"/>
              <w:rPr>
                <w:color w:val="auto"/>
                <w:sz w:val="24"/>
                <w:szCs w:val="24"/>
                <w:highlight w:val="none"/>
                <w:u w:val="none"/>
                <w:lang w:val="ru-RU"/>
              </w:rPr>
            </w:pPr>
            <w:r>
              <w:rPr>
                <w:rFonts w:hint="eastAsia"/>
                <w:color w:val="auto"/>
                <w:sz w:val="24"/>
                <w:szCs w:val="24"/>
                <w:highlight w:val="none"/>
                <w:u w:val="none"/>
                <w:lang w:val="en-US" w:eastAsia="zh-CN"/>
              </w:rPr>
              <w:t>2.7</w:t>
            </w:r>
            <w:r>
              <w:rPr>
                <w:color w:val="auto"/>
                <w:sz w:val="24"/>
                <w:szCs w:val="24"/>
                <w:highlight w:val="none"/>
                <w:u w:val="none"/>
                <w:lang w:val="ru-RU"/>
              </w:rPr>
              <w:t>公用工程</w:t>
            </w:r>
          </w:p>
          <w:p>
            <w:pPr>
              <w:pStyle w:val="62"/>
              <w:ind w:firstLine="480"/>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2.7.1给水工程</w:t>
            </w:r>
          </w:p>
          <w:p>
            <w:pPr>
              <w:pStyle w:val="62"/>
              <w:ind w:firstLine="480"/>
              <w:rPr>
                <w:rFonts w:hint="eastAsia"/>
                <w:color w:val="auto"/>
                <w:sz w:val="24"/>
                <w:szCs w:val="24"/>
                <w:highlight w:val="none"/>
                <w:u w:val="single"/>
                <w:lang w:val="en-US" w:eastAsia="zh-CN"/>
              </w:rPr>
            </w:pPr>
            <w:r>
              <w:rPr>
                <w:rFonts w:hint="eastAsia"/>
                <w:color w:val="auto"/>
                <w:sz w:val="24"/>
                <w:szCs w:val="24"/>
                <w:highlight w:val="none"/>
                <w:u w:val="single"/>
                <w:lang w:val="en-US" w:eastAsia="zh-CN"/>
              </w:rPr>
              <w:t>本项目用水水源为园区供水管网，本项目用水主要为酸洗用水、水洗用水、清洗用水、以及退火冷却用水、喷淋用水、办公楼用水。根据分析可知，本项目年新鲜用水42.31m</w:t>
            </w:r>
            <w:r>
              <w:rPr>
                <w:rFonts w:hint="eastAsia"/>
                <w:color w:val="auto"/>
                <w:sz w:val="24"/>
                <w:szCs w:val="24"/>
                <w:highlight w:val="none"/>
                <w:u w:val="single"/>
                <w:vertAlign w:val="superscript"/>
                <w:lang w:val="en-US" w:eastAsia="zh-CN"/>
              </w:rPr>
              <w:t>3</w:t>
            </w:r>
            <w:r>
              <w:rPr>
                <w:rFonts w:hint="eastAsia"/>
                <w:color w:val="auto"/>
                <w:sz w:val="24"/>
                <w:szCs w:val="24"/>
                <w:highlight w:val="none"/>
                <w:u w:val="single"/>
                <w:lang w:val="en-US" w:eastAsia="zh-CN"/>
              </w:rPr>
              <w:t>/d（13963m³/a）。</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（1）酸洗用水</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本项目单个酸电解槽容积为2.8m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，共5个槽，槽液重复使用，每天损耗10%，则每天补充水量为1.4m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/d（462m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/a）；酸电解槽</w:t>
            </w:r>
            <w:r>
              <w:rPr>
                <w:rFonts w:hint="eastAsia" w:hAnsi="宋体"/>
                <w:color w:val="auto"/>
                <w:sz w:val="24"/>
                <w:szCs w:val="24"/>
                <w:highlight w:val="none"/>
                <w:lang w:eastAsia="zh-CN"/>
              </w:rPr>
              <w:t>每半年需更换一次槽液</w:t>
            </w:r>
            <w:r>
              <w:rPr>
                <w:rFonts w:hint="eastAsia"/>
                <w:color w:val="auto"/>
                <w:sz w:val="24"/>
                <w:szCs w:val="24"/>
                <w:highlight w:val="none"/>
                <w:u w:val="none"/>
                <w:lang w:val="en-US" w:eastAsia="zh-CN"/>
              </w:rPr>
              <w:t>，更换量约为14m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，则年更换用水为28m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/a。合计年用水量490m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（2）水洗废水</w:t>
            </w:r>
          </w:p>
          <w:p>
            <w:pPr>
              <w:pStyle w:val="62"/>
              <w:ind w:firstLine="480"/>
              <w:rPr>
                <w:rFonts w:hint="eastAsia"/>
                <w:color w:val="auto"/>
                <w:sz w:val="24"/>
                <w:szCs w:val="24"/>
                <w:highlight w:val="none"/>
                <w:u w:val="none"/>
                <w:lang w:val="en-US" w:eastAsia="zh-CN"/>
              </w:rPr>
            </w:pPr>
            <w:r>
              <w:rPr>
                <w:rFonts w:hAnsi="宋体"/>
                <w:color w:val="auto"/>
                <w:sz w:val="24"/>
                <w:szCs w:val="24"/>
                <w:highlight w:val="none"/>
              </w:rPr>
              <w:t>在电解酸洗工序后均需水洗，水洗槽每天</w:t>
            </w:r>
            <w:r>
              <w:rPr>
                <w:rFonts w:hint="eastAsia" w:hAnsi="宋体"/>
                <w:color w:val="auto"/>
                <w:sz w:val="24"/>
                <w:szCs w:val="24"/>
                <w:highlight w:val="none"/>
                <w:lang w:eastAsia="zh-CN"/>
              </w:rPr>
              <w:t>更换一次</w:t>
            </w:r>
            <w:r>
              <w:rPr>
                <w:rFonts w:hAnsi="宋体"/>
                <w:color w:val="auto"/>
                <w:sz w:val="24"/>
                <w:szCs w:val="24"/>
                <w:highlight w:val="none"/>
              </w:rPr>
              <w:t>，</w:t>
            </w:r>
            <w:r>
              <w:rPr>
                <w:rFonts w:hint="eastAsia"/>
                <w:color w:val="auto"/>
                <w:sz w:val="24"/>
                <w:szCs w:val="24"/>
                <w:highlight w:val="none"/>
                <w:u w:val="none"/>
                <w:lang w:val="en-US" w:eastAsia="zh-CN"/>
              </w:rPr>
              <w:t>用水量约为13m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w:t>
            </w:r>
            <w:r>
              <w:rPr>
                <w:rFonts w:hint="eastAsia"/>
                <w:color w:val="auto"/>
                <w:sz w:val="24"/>
                <w:szCs w:val="24"/>
                <w:highlight w:val="none"/>
                <w:lang w:val="en-US" w:eastAsia="zh-CN"/>
              </w:rPr>
              <w:t>4290</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vertAlign w:val="baseline"/>
                <w:lang w:val="en-US" w:eastAsia="zh-CN"/>
              </w:rPr>
              <w:t>/a</w:t>
            </w:r>
            <w:r>
              <w:rPr>
                <w:rFonts w:hint="eastAsia"/>
                <w:color w:val="auto"/>
                <w:sz w:val="24"/>
                <w:szCs w:val="24"/>
                <w:highlight w:val="none"/>
                <w:u w:val="none"/>
                <w:lang w:val="en-US" w:eastAsia="zh-CN"/>
              </w:rPr>
              <w:t>），损耗20%，则排放量为10.4m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/d（3432m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（3）清洗废水</w:t>
            </w:r>
          </w:p>
          <w:p>
            <w:pPr>
              <w:pStyle w:val="62"/>
              <w:ind w:firstLine="480"/>
              <w:rPr>
                <w:rFonts w:hint="default"/>
                <w:color w:val="auto"/>
                <w:sz w:val="24"/>
                <w:szCs w:val="24"/>
                <w:highlight w:val="none"/>
                <w:u w:val="none"/>
                <w:lang w:val="en-US" w:eastAsia="zh-CN"/>
              </w:rPr>
            </w:pPr>
            <w:r>
              <w:rPr>
                <w:rFonts w:hAnsi="宋体"/>
                <w:color w:val="auto"/>
                <w:sz w:val="24"/>
                <w:szCs w:val="24"/>
                <w:highlight w:val="none"/>
              </w:rPr>
              <w:t>在</w:t>
            </w:r>
            <w:r>
              <w:rPr>
                <w:rFonts w:hint="eastAsia" w:hAnsi="宋体"/>
                <w:color w:val="auto"/>
                <w:sz w:val="24"/>
                <w:szCs w:val="24"/>
                <w:highlight w:val="none"/>
                <w:lang w:eastAsia="zh-CN"/>
              </w:rPr>
              <w:t>单头拉、切丝</w:t>
            </w:r>
            <w:r>
              <w:rPr>
                <w:rFonts w:hAnsi="宋体"/>
                <w:color w:val="auto"/>
                <w:sz w:val="24"/>
                <w:szCs w:val="24"/>
                <w:highlight w:val="none"/>
              </w:rPr>
              <w:t>工序后需</w:t>
            </w:r>
            <w:r>
              <w:rPr>
                <w:rFonts w:hint="eastAsia" w:hAnsi="宋体"/>
                <w:color w:val="auto"/>
                <w:sz w:val="24"/>
                <w:szCs w:val="24"/>
                <w:highlight w:val="none"/>
                <w:lang w:eastAsia="zh-CN"/>
              </w:rPr>
              <w:t>清洗</w:t>
            </w:r>
            <w:r>
              <w:rPr>
                <w:rFonts w:hAnsi="宋体"/>
                <w:color w:val="auto"/>
                <w:sz w:val="24"/>
                <w:szCs w:val="24"/>
                <w:highlight w:val="none"/>
              </w:rPr>
              <w:t>，</w:t>
            </w:r>
            <w:r>
              <w:rPr>
                <w:rFonts w:hint="eastAsia" w:hAnsi="宋体"/>
                <w:color w:val="auto"/>
                <w:sz w:val="24"/>
                <w:szCs w:val="24"/>
                <w:highlight w:val="none"/>
                <w:lang w:eastAsia="zh-CN"/>
              </w:rPr>
              <w:t>清洗</w:t>
            </w:r>
            <w:r>
              <w:rPr>
                <w:rFonts w:hAnsi="宋体"/>
                <w:color w:val="auto"/>
                <w:sz w:val="24"/>
                <w:szCs w:val="24"/>
                <w:highlight w:val="none"/>
              </w:rPr>
              <w:t>槽每天</w:t>
            </w:r>
            <w:r>
              <w:rPr>
                <w:rFonts w:hint="eastAsia" w:hAnsi="宋体"/>
                <w:color w:val="auto"/>
                <w:sz w:val="24"/>
                <w:szCs w:val="24"/>
                <w:highlight w:val="none"/>
                <w:lang w:eastAsia="zh-CN"/>
              </w:rPr>
              <w:t>更换一次</w:t>
            </w:r>
            <w:r>
              <w:rPr>
                <w:rFonts w:hAnsi="宋体"/>
                <w:color w:val="auto"/>
                <w:sz w:val="24"/>
                <w:szCs w:val="24"/>
                <w:highlight w:val="none"/>
              </w:rPr>
              <w:t>，</w:t>
            </w:r>
            <w:r>
              <w:rPr>
                <w:rFonts w:hint="eastAsia"/>
                <w:color w:val="auto"/>
                <w:sz w:val="24"/>
                <w:szCs w:val="24"/>
                <w:highlight w:val="none"/>
                <w:u w:val="none"/>
                <w:lang w:val="en-US" w:eastAsia="zh-CN"/>
              </w:rPr>
              <w:t>用水量约为3.4m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/d（1122</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vertAlign w:val="baseline"/>
                <w:lang w:val="en-US" w:eastAsia="zh-CN"/>
              </w:rPr>
              <w:t>/a</w:t>
            </w:r>
            <w:r>
              <w:rPr>
                <w:rFonts w:hint="eastAsia"/>
                <w:color w:val="auto"/>
                <w:sz w:val="24"/>
                <w:szCs w:val="24"/>
                <w:highlight w:val="none"/>
                <w:u w:val="none"/>
                <w:lang w:val="en-US" w:eastAsia="zh-CN"/>
              </w:rPr>
              <w:t>），损耗20%，则排放量为2.72m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/d（897.6m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（4）间接循环冷却水</w:t>
            </w:r>
          </w:p>
          <w:p>
            <w:pPr>
              <w:pStyle w:val="62"/>
              <w:ind w:firstLine="480"/>
              <w:rPr>
                <w:rFonts w:hint="default"/>
                <w:color w:val="auto"/>
                <w:sz w:val="24"/>
                <w:szCs w:val="24"/>
                <w:highlight w:val="none"/>
                <w:u w:val="none"/>
                <w:lang w:val="en-US" w:eastAsia="zh-CN"/>
              </w:rPr>
            </w:pPr>
            <w:r>
              <w:rPr>
                <w:rFonts w:hint="eastAsia" w:hAnsi="宋体" w:eastAsia="宋体" w:cs="宋体"/>
                <w:color w:val="auto"/>
                <w:sz w:val="24"/>
                <w:szCs w:val="24"/>
                <w:highlight w:val="none"/>
                <w:lang w:val="en-US" w:eastAsia="zh-CN"/>
              </w:rPr>
              <w:t>项目退火</w:t>
            </w:r>
            <w:r>
              <w:rPr>
                <w:rFonts w:hint="eastAsia" w:hAnsi="宋体" w:cs="宋体"/>
                <w:color w:val="auto"/>
                <w:sz w:val="24"/>
                <w:szCs w:val="24"/>
                <w:highlight w:val="none"/>
                <w:lang w:val="en-US" w:eastAsia="zh-CN"/>
              </w:rPr>
              <w:t>炉、注塑机等设备需采用循环冷却水冷却，均采用间接方式冷却，即冷却水不与工件直接接触。退火后</w:t>
            </w:r>
            <w:r>
              <w:rPr>
                <w:rFonts w:hint="eastAsia"/>
                <w:color w:val="auto"/>
                <w:sz w:val="24"/>
                <w:szCs w:val="24"/>
                <w:highlight w:val="none"/>
                <w:u w:val="none"/>
                <w:lang w:val="en-US" w:eastAsia="zh-CN"/>
              </w:rPr>
              <w:t>依托原</w:t>
            </w:r>
            <w:r>
              <w:rPr>
                <w:rFonts w:hint="eastAsia" w:hAnsi="宋体" w:cs="宋体"/>
                <w:color w:val="auto"/>
                <w:sz w:val="24"/>
                <w:szCs w:val="24"/>
                <w:highlight w:val="none"/>
                <w:lang w:val="en-US" w:eastAsia="zh-CN"/>
              </w:rPr>
              <w:t>循环</w:t>
            </w:r>
            <w:r>
              <w:rPr>
                <w:rFonts w:hint="eastAsia" w:hAnsi="宋体" w:eastAsia="宋体" w:cs="宋体"/>
                <w:color w:val="auto"/>
                <w:sz w:val="24"/>
                <w:szCs w:val="24"/>
                <w:highlight w:val="none"/>
                <w:lang w:val="en-US" w:eastAsia="zh-CN"/>
              </w:rPr>
              <w:t>冷却水池，容积为</w:t>
            </w:r>
            <w:r>
              <w:rPr>
                <w:rFonts w:hint="eastAsia" w:hAnsi="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m</w:t>
            </w:r>
            <w:r>
              <w:rPr>
                <w:rFonts w:hint="eastAsia" w:hAnsi="宋体" w:eastAsia="宋体" w:cs="宋体"/>
                <w:color w:val="auto"/>
                <w:sz w:val="24"/>
                <w:szCs w:val="24"/>
                <w:highlight w:val="none"/>
                <w:vertAlign w:val="superscript"/>
                <w:lang w:val="en-US" w:eastAsia="zh-CN"/>
              </w:rPr>
              <w:t>3</w:t>
            </w:r>
            <w:r>
              <w:rPr>
                <w:rFonts w:hint="eastAsia"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循环流量为1t/h，循环水损耗20%，补充水量为4.8t/d（1584t/a）</w:t>
            </w:r>
            <w:r>
              <w:rPr>
                <w:rFonts w:hint="eastAsia"/>
                <w:color w:val="auto"/>
                <w:sz w:val="24"/>
                <w:szCs w:val="24"/>
                <w:highlight w:val="none"/>
                <w:u w:val="none"/>
                <w:lang w:val="en-US" w:eastAsia="zh-CN"/>
              </w:rPr>
              <w:t>。注塑机依托原循环水池，容积为64</w:t>
            </w:r>
            <w:r>
              <w:rPr>
                <w:rFonts w:hint="eastAsia" w:hAnsi="宋体" w:eastAsia="宋体" w:cs="宋体"/>
                <w:color w:val="auto"/>
                <w:sz w:val="24"/>
                <w:szCs w:val="24"/>
                <w:highlight w:val="none"/>
                <w:lang w:val="en-US" w:eastAsia="zh-CN"/>
              </w:rPr>
              <w:t>m</w:t>
            </w:r>
            <w:r>
              <w:rPr>
                <w:rFonts w:hint="eastAsia" w:hAnsi="宋体" w:eastAsia="宋体" w:cs="宋体"/>
                <w:color w:val="auto"/>
                <w:sz w:val="24"/>
                <w:szCs w:val="24"/>
                <w:highlight w:val="none"/>
                <w:vertAlign w:val="superscript"/>
                <w:lang w:val="en-US" w:eastAsia="zh-CN"/>
              </w:rPr>
              <w:t>3</w:t>
            </w:r>
            <w:r>
              <w:rPr>
                <w:rFonts w:hint="eastAsia"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循环流量为1t/h，循环水损耗20%，补充水量为4.8t/d（1584t/a）</w:t>
            </w:r>
            <w:r>
              <w:rPr>
                <w:rFonts w:hint="eastAsia"/>
                <w:color w:val="auto"/>
                <w:sz w:val="24"/>
                <w:szCs w:val="24"/>
                <w:highlight w:val="none"/>
                <w:u w:val="none"/>
                <w:lang w:val="en-US" w:eastAsia="zh-CN"/>
              </w:rPr>
              <w:t>。</w:t>
            </w:r>
          </w:p>
          <w:p>
            <w:pPr>
              <w:pStyle w:val="62"/>
              <w:ind w:firstLine="48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（5）喷淋用水</w:t>
            </w:r>
          </w:p>
          <w:p>
            <w:pPr>
              <w:pStyle w:val="62"/>
              <w:ind w:firstLine="480"/>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本项目采用喷淋塔处理</w:t>
            </w:r>
            <w:r>
              <w:rPr>
                <w:rFonts w:hint="eastAsia" w:hAnsi="宋体" w:cs="宋体"/>
                <w:color w:val="auto"/>
                <w:sz w:val="24"/>
                <w:szCs w:val="24"/>
                <w:highlight w:val="none"/>
                <w:lang w:val="en-US" w:eastAsia="zh-CN"/>
              </w:rPr>
              <w:t>酸雾废气</w:t>
            </w:r>
            <w:r>
              <w:rPr>
                <w:rFonts w:hint="eastAsia" w:hAnsi="宋体" w:eastAsia="宋体" w:cs="宋体"/>
                <w:color w:val="auto"/>
                <w:sz w:val="24"/>
                <w:szCs w:val="24"/>
                <w:highlight w:val="none"/>
                <w:lang w:val="en-US" w:eastAsia="zh-CN"/>
              </w:rPr>
              <w:t>。生产时，向喷淋塔循环水池内加入一定量的NaOH溶液，喷淋塔配置1个1m</w:t>
            </w:r>
            <w:r>
              <w:rPr>
                <w:rFonts w:hint="eastAsia" w:hAnsi="宋体" w:eastAsia="宋体" w:cs="宋体"/>
                <w:color w:val="auto"/>
                <w:sz w:val="24"/>
                <w:szCs w:val="24"/>
                <w:highlight w:val="none"/>
                <w:vertAlign w:val="superscript"/>
                <w:lang w:val="en-US" w:eastAsia="zh-CN"/>
              </w:rPr>
              <w:t>3</w:t>
            </w:r>
            <w:r>
              <w:rPr>
                <w:rFonts w:hint="eastAsia" w:hAnsi="宋体" w:eastAsia="宋体" w:cs="宋体"/>
                <w:color w:val="auto"/>
                <w:sz w:val="24"/>
                <w:szCs w:val="24"/>
                <w:highlight w:val="none"/>
                <w:lang w:val="en-US" w:eastAsia="zh-CN"/>
              </w:rPr>
              <w:t>的循环水池，</w:t>
            </w:r>
            <w:r>
              <w:rPr>
                <w:rFonts w:hint="eastAsia" w:hAnsi="宋体" w:cs="宋体"/>
                <w:color w:val="auto"/>
                <w:sz w:val="24"/>
                <w:szCs w:val="24"/>
                <w:highlight w:val="none"/>
                <w:lang w:val="en-US" w:eastAsia="zh-CN"/>
              </w:rPr>
              <w:t>循环流量为0.5t/h，</w:t>
            </w:r>
            <w:r>
              <w:rPr>
                <w:rFonts w:hint="eastAsia" w:hAnsi="宋体" w:eastAsia="宋体" w:cs="宋体"/>
                <w:color w:val="auto"/>
                <w:sz w:val="24"/>
                <w:szCs w:val="24"/>
                <w:highlight w:val="none"/>
                <w:lang w:val="en-US" w:eastAsia="zh-CN"/>
              </w:rPr>
              <w:t>循环水损失率以2</w:t>
            </w:r>
            <w:r>
              <w:rPr>
                <w:rFonts w:hint="eastAsia"/>
                <w:color w:val="auto"/>
                <w:lang w:val="en-US" w:eastAsia="zh-CN"/>
              </w:rPr>
              <w:t>0</w:t>
            </w:r>
            <w:r>
              <w:rPr>
                <w:rFonts w:hint="eastAsia" w:hAnsi="宋体" w:eastAsia="宋体" w:cs="宋体"/>
                <w:color w:val="auto"/>
                <w:sz w:val="24"/>
                <w:szCs w:val="24"/>
                <w:highlight w:val="none"/>
                <w:lang w:val="en-US" w:eastAsia="zh-CN"/>
              </w:rPr>
              <w:t>%计，补</w:t>
            </w:r>
            <w:r>
              <w:rPr>
                <w:rFonts w:hint="eastAsia" w:hAnsi="宋体" w:cs="宋体"/>
                <w:color w:val="auto"/>
                <w:sz w:val="24"/>
                <w:szCs w:val="24"/>
                <w:highlight w:val="none"/>
                <w:lang w:val="en-US" w:eastAsia="zh-CN"/>
              </w:rPr>
              <w:t>水</w:t>
            </w:r>
            <w:r>
              <w:rPr>
                <w:rFonts w:hint="eastAsia" w:hAnsi="宋体" w:eastAsia="宋体" w:cs="宋体"/>
                <w:color w:val="auto"/>
                <w:sz w:val="24"/>
                <w:szCs w:val="24"/>
                <w:highlight w:val="none"/>
                <w:lang w:val="en-US" w:eastAsia="zh-CN"/>
              </w:rPr>
              <w:t>量约为</w:t>
            </w:r>
            <w:r>
              <w:rPr>
                <w:rFonts w:hint="eastAsia" w:hAnsi="宋体" w:cs="宋体"/>
                <w:color w:val="auto"/>
                <w:sz w:val="24"/>
                <w:szCs w:val="24"/>
                <w:highlight w:val="none"/>
                <w:lang w:val="en-US" w:eastAsia="zh-CN"/>
              </w:rPr>
              <w:t>2.4t</w:t>
            </w:r>
            <w:r>
              <w:rPr>
                <w:rFonts w:hint="eastAsia" w:hAnsi="宋体" w:eastAsia="宋体" w:cs="宋体"/>
                <w:color w:val="auto"/>
                <w:sz w:val="24"/>
                <w:szCs w:val="24"/>
                <w:highlight w:val="none"/>
                <w:lang w:val="en-US" w:eastAsia="zh-CN"/>
              </w:rPr>
              <w:t>/d（</w:t>
            </w:r>
            <w:r>
              <w:rPr>
                <w:rFonts w:hint="eastAsia" w:hAnsi="宋体" w:cs="宋体"/>
                <w:color w:val="auto"/>
                <w:sz w:val="24"/>
                <w:szCs w:val="24"/>
                <w:highlight w:val="none"/>
                <w:lang w:val="en-US" w:eastAsia="zh-CN"/>
              </w:rPr>
              <w:t>792t</w:t>
            </w:r>
            <w:r>
              <w:rPr>
                <w:rFonts w:hint="eastAsia" w:hAnsi="宋体" w:eastAsia="宋体" w:cs="宋体"/>
                <w:color w:val="auto"/>
                <w:sz w:val="24"/>
                <w:szCs w:val="24"/>
                <w:highlight w:val="none"/>
                <w:lang w:val="en-US" w:eastAsia="zh-CN"/>
              </w:rPr>
              <w:t>/a）</w:t>
            </w:r>
            <w:r>
              <w:rPr>
                <w:rFonts w:hint="eastAsia" w:hAnsi="宋体" w:cs="宋体"/>
                <w:color w:val="auto"/>
                <w:sz w:val="24"/>
                <w:szCs w:val="24"/>
                <w:highlight w:val="none"/>
                <w:vertAlign w:val="baseline"/>
                <w:lang w:val="en-US" w:eastAsia="zh-CN"/>
              </w:rPr>
              <w:t>。</w:t>
            </w:r>
            <w:r>
              <w:rPr>
                <w:rFonts w:hint="eastAsia"/>
                <w:color w:val="auto"/>
                <w:sz w:val="24"/>
                <w:szCs w:val="24"/>
                <w:lang w:eastAsia="zh-CN"/>
              </w:rPr>
              <w:t>循环水池</w:t>
            </w:r>
            <w:r>
              <w:rPr>
                <w:rFonts w:hint="eastAsia" w:ascii="Times New Roman" w:hAnsi="宋体" w:eastAsia="宋体" w:cs="宋体"/>
                <w:color w:val="auto"/>
                <w:sz w:val="24"/>
                <w:szCs w:val="24"/>
                <w:highlight w:val="none"/>
                <w:lang w:eastAsia="zh-CN"/>
              </w:rPr>
              <w:t>每四个月排放一次，则</w:t>
            </w:r>
            <w:r>
              <w:rPr>
                <w:rFonts w:hint="eastAsia"/>
                <w:color w:val="auto"/>
                <w:sz w:val="24"/>
                <w:szCs w:val="24"/>
                <w:lang w:eastAsia="zh-CN"/>
              </w:rPr>
              <w:t>排水量为</w:t>
            </w:r>
            <w:r>
              <w:rPr>
                <w:rFonts w:hint="eastAsia"/>
                <w:color w:val="auto"/>
                <w:sz w:val="24"/>
                <w:szCs w:val="24"/>
                <w:lang w:val="en-US" w:eastAsia="zh-CN"/>
              </w:rPr>
              <w:t>3t/a。</w:t>
            </w:r>
            <w:r>
              <w:rPr>
                <w:rFonts w:hint="eastAsia" w:ascii="Times New Roman" w:hAnsi="宋体" w:eastAsia="宋体" w:cs="宋体"/>
                <w:color w:val="auto"/>
                <w:sz w:val="24"/>
                <w:szCs w:val="24"/>
                <w:highlight w:val="none"/>
                <w:lang w:val="en-US" w:eastAsia="zh-CN"/>
              </w:rPr>
              <w:t>合计用水量为</w:t>
            </w:r>
            <w:r>
              <w:rPr>
                <w:rFonts w:hint="eastAsia" w:hAnsi="宋体" w:cs="宋体"/>
                <w:color w:val="auto"/>
                <w:sz w:val="24"/>
                <w:szCs w:val="24"/>
                <w:highlight w:val="none"/>
                <w:lang w:val="en-US" w:eastAsia="zh-CN"/>
              </w:rPr>
              <w:t>795</w:t>
            </w:r>
            <w:r>
              <w:rPr>
                <w:rFonts w:hint="eastAsia" w:ascii="Times New Roman" w:hAnsi="宋体" w:eastAsia="宋体" w:cs="宋体"/>
                <w:color w:val="auto"/>
                <w:sz w:val="24"/>
                <w:szCs w:val="24"/>
                <w:highlight w:val="none"/>
                <w:lang w:val="en-US" w:eastAsia="zh-CN"/>
              </w:rPr>
              <w:t>t/a</w:t>
            </w:r>
            <w:r>
              <w:rPr>
                <w:rFonts w:hint="eastAsia"/>
                <w:color w:val="auto"/>
                <w:sz w:val="24"/>
                <w:szCs w:val="24"/>
                <w:lang w:eastAsia="zh-CN"/>
              </w:rPr>
              <w:t>，</w:t>
            </w:r>
          </w:p>
          <w:p>
            <w:pPr>
              <w:pStyle w:val="62"/>
              <w:ind w:firstLine="480"/>
              <w:rPr>
                <w:rFonts w:hint="eastAsia" w:ascii="Times New Roman" w:hAnsi="宋体" w:eastAsia="宋体" w:cs="宋体"/>
                <w:color w:val="auto"/>
                <w:sz w:val="24"/>
                <w:szCs w:val="24"/>
                <w:highlight w:val="none"/>
                <w:u w:val="single"/>
                <w:lang w:val="en-US" w:eastAsia="zh-CN"/>
              </w:rPr>
            </w:pPr>
            <w:r>
              <w:rPr>
                <w:rFonts w:hint="eastAsia" w:ascii="Times New Roman" w:hAnsi="宋体" w:eastAsia="宋体" w:cs="宋体"/>
                <w:color w:val="auto"/>
                <w:sz w:val="24"/>
                <w:szCs w:val="24"/>
                <w:highlight w:val="none"/>
                <w:u w:val="single"/>
                <w:lang w:val="en-US" w:eastAsia="zh-CN"/>
              </w:rPr>
              <w:t>（6）办公楼用水（包括食堂用水）</w:t>
            </w:r>
          </w:p>
          <w:p>
            <w:pPr>
              <w:pStyle w:val="62"/>
              <w:numPr>
                <w:ilvl w:val="0"/>
                <w:numId w:val="0"/>
              </w:numPr>
              <w:ind w:firstLine="480" w:firstLineChars="200"/>
              <w:rPr>
                <w:rFonts w:hint="eastAsia" w:ascii="Times New Roman" w:hAnsi="宋体" w:eastAsia="宋体" w:cs="宋体"/>
                <w:color w:val="auto"/>
                <w:sz w:val="24"/>
                <w:szCs w:val="24"/>
                <w:highlight w:val="none"/>
                <w:u w:val="single"/>
                <w:lang w:val="en-US" w:eastAsia="zh-CN"/>
              </w:rPr>
            </w:pPr>
            <w:r>
              <w:rPr>
                <w:rFonts w:hint="eastAsia" w:hAnsi="宋体" w:cs="宋体"/>
                <w:color w:val="auto"/>
                <w:sz w:val="24"/>
                <w:szCs w:val="24"/>
                <w:highlight w:val="none"/>
                <w:u w:val="single"/>
                <w:lang w:val="en-US" w:eastAsia="zh-CN"/>
              </w:rPr>
              <w:t>现</w:t>
            </w:r>
            <w:r>
              <w:rPr>
                <w:rFonts w:hint="eastAsia" w:ascii="Times New Roman" w:hAnsi="宋体" w:eastAsia="宋体" w:cs="宋体"/>
                <w:color w:val="auto"/>
                <w:sz w:val="24"/>
                <w:szCs w:val="24"/>
                <w:highlight w:val="none"/>
                <w:u w:val="single"/>
                <w:lang w:val="en-US" w:eastAsia="zh-CN"/>
              </w:rPr>
              <w:t>有工程生活污水未核算</w:t>
            </w:r>
            <w:r>
              <w:rPr>
                <w:rFonts w:hint="eastAsia" w:hAnsi="宋体" w:cs="宋体"/>
                <w:color w:val="auto"/>
                <w:sz w:val="24"/>
                <w:szCs w:val="24"/>
                <w:highlight w:val="none"/>
                <w:u w:val="single"/>
                <w:lang w:val="en-US" w:eastAsia="zh-CN"/>
              </w:rPr>
              <w:t>食堂、住宿等用水</w:t>
            </w:r>
            <w:r>
              <w:rPr>
                <w:rFonts w:hint="eastAsia" w:ascii="Times New Roman" w:hAnsi="宋体" w:eastAsia="宋体" w:cs="宋体"/>
                <w:color w:val="auto"/>
                <w:sz w:val="24"/>
                <w:szCs w:val="24"/>
                <w:highlight w:val="none"/>
                <w:u w:val="single"/>
                <w:lang w:val="en-US" w:eastAsia="zh-CN"/>
              </w:rPr>
              <w:t>，本次新建办公楼后，重新核算</w:t>
            </w:r>
            <w:r>
              <w:rPr>
                <w:rFonts w:hint="eastAsia" w:hAnsi="宋体" w:cs="宋体"/>
                <w:color w:val="auto"/>
                <w:sz w:val="24"/>
                <w:szCs w:val="24"/>
                <w:highlight w:val="none"/>
                <w:u w:val="single"/>
                <w:lang w:val="en-US" w:eastAsia="zh-CN"/>
              </w:rPr>
              <w:t>生活用水，</w:t>
            </w:r>
            <w:r>
              <w:rPr>
                <w:rFonts w:hint="eastAsia" w:ascii="Times New Roman" w:hAnsi="宋体" w:eastAsia="宋体" w:cs="宋体"/>
                <w:color w:val="auto"/>
                <w:sz w:val="24"/>
                <w:szCs w:val="24"/>
                <w:highlight w:val="none"/>
                <w:u w:val="single"/>
                <w:lang w:val="en-US" w:eastAsia="zh-CN"/>
              </w:rPr>
              <w:t>参照湖南省地方标准《用水定额》（DB43/T388-2020）中办公用水38m</w:t>
            </w:r>
            <w:r>
              <w:rPr>
                <w:rFonts w:hint="eastAsia" w:ascii="Times New Roman" w:hAnsi="宋体" w:eastAsia="宋体" w:cs="宋体"/>
                <w:color w:val="auto"/>
                <w:sz w:val="24"/>
                <w:szCs w:val="24"/>
                <w:highlight w:val="none"/>
                <w:u w:val="single"/>
                <w:vertAlign w:val="superscript"/>
                <w:lang w:val="en-US" w:eastAsia="zh-CN"/>
              </w:rPr>
              <w:t>3</w:t>
            </w:r>
            <w:r>
              <w:rPr>
                <w:rFonts w:hint="eastAsia" w:ascii="Times New Roman" w:hAnsi="宋体" w:eastAsia="宋体" w:cs="宋体"/>
                <w:color w:val="auto"/>
                <w:sz w:val="24"/>
                <w:szCs w:val="24"/>
                <w:highlight w:val="none"/>
                <w:u w:val="single"/>
                <w:lang w:val="en-US" w:eastAsia="zh-CN"/>
              </w:rPr>
              <w:t>/人·a，办公用水包括办公室、食堂</w:t>
            </w:r>
            <w:r>
              <w:rPr>
                <w:rFonts w:hint="eastAsia" w:hAnsi="宋体" w:cs="宋体"/>
                <w:color w:val="auto"/>
                <w:sz w:val="24"/>
                <w:szCs w:val="24"/>
                <w:highlight w:val="none"/>
                <w:u w:val="single"/>
                <w:lang w:val="en-US" w:eastAsia="zh-CN"/>
              </w:rPr>
              <w:t>、住宿</w:t>
            </w:r>
            <w:r>
              <w:rPr>
                <w:rFonts w:hint="eastAsia" w:ascii="Times New Roman" w:hAnsi="宋体" w:eastAsia="宋体" w:cs="宋体"/>
                <w:color w:val="auto"/>
                <w:sz w:val="24"/>
                <w:szCs w:val="24"/>
                <w:highlight w:val="none"/>
                <w:u w:val="single"/>
                <w:lang w:val="en-US" w:eastAsia="zh-CN"/>
              </w:rPr>
              <w:t>等相关用水，</w:t>
            </w:r>
            <w:r>
              <w:rPr>
                <w:rFonts w:hint="eastAsia" w:hAnsi="宋体" w:cs="宋体"/>
                <w:color w:val="auto"/>
                <w:sz w:val="24"/>
                <w:szCs w:val="24"/>
                <w:highlight w:val="none"/>
                <w:u w:val="single"/>
                <w:lang w:val="en-US" w:eastAsia="zh-CN"/>
              </w:rPr>
              <w:t>劳动定</w:t>
            </w:r>
            <w:r>
              <w:rPr>
                <w:rFonts w:hint="eastAsia" w:ascii="Times New Roman" w:hAnsi="宋体" w:eastAsia="宋体" w:cs="宋体"/>
                <w:color w:val="auto"/>
                <w:sz w:val="24"/>
                <w:szCs w:val="24"/>
                <w:highlight w:val="none"/>
                <w:u w:val="single"/>
                <w:lang w:val="en-US" w:eastAsia="zh-CN"/>
              </w:rPr>
              <w:t>员按160人计，则办公楼用水量约为6080t/a（18.4t/d），排污系数取0.8，则排水量约为4864t/a（14.74t/d）。</w:t>
            </w:r>
          </w:p>
          <w:p>
            <w:pPr>
              <w:pStyle w:val="62"/>
              <w:ind w:firstLine="480"/>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2.7.2排水工程</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本项目排水采用雨污分流、污污分流的排水体制。雨水收集后排入园区雨水管网。</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single"/>
                <w:lang w:val="en-US" w:eastAsia="zh-CN"/>
              </w:rPr>
              <w:t>综上所述，本项目废水总排放量为6608t/a，其中项目生产废水处理量为4360.6t/a，</w:t>
            </w:r>
            <w:r>
              <w:rPr>
                <w:rFonts w:hint="eastAsia"/>
                <w:color w:val="auto"/>
                <w:sz w:val="24"/>
                <w:szCs w:val="24"/>
                <w:highlight w:val="none"/>
                <w:u w:val="none"/>
                <w:lang w:val="en-US" w:eastAsia="zh-CN"/>
              </w:rPr>
              <w:t>生产废水经现有污水处理系统（中和+混凝+沉淀+砂滤）处理后约</w:t>
            </w:r>
            <w:r>
              <w:rPr>
                <w:rFonts w:hint="eastAsia"/>
                <w:color w:val="auto"/>
                <w:sz w:val="24"/>
                <w:szCs w:val="24"/>
                <w:highlight w:val="none"/>
                <w:u w:val="single"/>
                <w:lang w:val="en-US" w:eastAsia="zh-CN"/>
              </w:rPr>
              <w:t>2616.6t</w:t>
            </w:r>
            <w:r>
              <w:rPr>
                <w:rFonts w:hint="eastAsia"/>
                <w:color w:val="auto"/>
                <w:sz w:val="24"/>
                <w:szCs w:val="24"/>
                <w:highlight w:val="none"/>
                <w:u w:val="none"/>
                <w:lang w:val="en-US" w:eastAsia="zh-CN"/>
              </w:rPr>
              <w:t>回用，</w:t>
            </w:r>
            <w:r>
              <w:rPr>
                <w:rFonts w:hint="eastAsia"/>
                <w:color w:val="auto"/>
                <w:sz w:val="24"/>
                <w:szCs w:val="24"/>
                <w:highlight w:val="none"/>
                <w:u w:val="single"/>
                <w:lang w:val="en-US" w:eastAsia="zh-CN"/>
              </w:rPr>
              <w:t>1744t/a</w:t>
            </w:r>
            <w:r>
              <w:rPr>
                <w:rFonts w:hint="eastAsia"/>
                <w:color w:val="auto"/>
                <w:sz w:val="24"/>
                <w:szCs w:val="24"/>
                <w:highlight w:val="none"/>
                <w:u w:val="none"/>
                <w:lang w:val="en-US" w:eastAsia="zh-CN"/>
              </w:rPr>
              <w:t>废水排湘阴县第三污水处理厂；</w:t>
            </w:r>
            <w:r>
              <w:rPr>
                <w:rFonts w:hint="eastAsia"/>
                <w:color w:val="auto"/>
                <w:sz w:val="24"/>
                <w:szCs w:val="24"/>
                <w:highlight w:val="none"/>
                <w:u w:val="single"/>
                <w:lang w:val="en-US" w:eastAsia="zh-CN"/>
              </w:rPr>
              <w:t>生活污水排放量为</w:t>
            </w:r>
            <w:r>
              <w:rPr>
                <w:rFonts w:hint="eastAsia" w:ascii="Times New Roman" w:hAnsi="宋体" w:eastAsia="宋体" w:cs="宋体"/>
                <w:color w:val="auto"/>
                <w:sz w:val="24"/>
                <w:szCs w:val="24"/>
                <w:highlight w:val="none"/>
                <w:u w:val="single"/>
                <w:lang w:val="en-US" w:eastAsia="zh-CN"/>
              </w:rPr>
              <w:t>4864t/a</w:t>
            </w:r>
            <w:r>
              <w:rPr>
                <w:rFonts w:hint="eastAsia" w:hAnsi="宋体" w:cs="宋体"/>
                <w:color w:val="auto"/>
                <w:sz w:val="24"/>
                <w:szCs w:val="24"/>
                <w:highlight w:val="none"/>
                <w:u w:val="single"/>
                <w:lang w:val="en-US" w:eastAsia="zh-CN"/>
              </w:rPr>
              <w:t>，</w:t>
            </w:r>
            <w:r>
              <w:rPr>
                <w:rFonts w:hint="eastAsia"/>
                <w:color w:val="auto"/>
                <w:sz w:val="24"/>
                <w:szCs w:val="24"/>
                <w:highlight w:val="none"/>
                <w:u w:val="none"/>
                <w:lang w:val="en-US" w:eastAsia="zh-CN"/>
              </w:rPr>
              <w:t>经化粪池、隔油池处理后排湘阴县第三污水处理厂，经处理达到《城镇污水处理厂污染物排放标准》（GB18918-2002）一级A标后排入洋沙河。</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本项目建成后水平衡分析如下所示：</w:t>
            </w:r>
          </w:p>
          <w:p>
            <w:pPr>
              <w:pStyle w:val="62"/>
              <w:ind w:firstLine="480"/>
              <w:rPr>
                <w:rFonts w:hint="eastAsia"/>
                <w:color w:val="auto"/>
                <w:sz w:val="24"/>
                <w:szCs w:val="24"/>
                <w:highlight w:val="none"/>
                <w:u w:val="single"/>
                <w:lang w:val="en-US" w:eastAsia="zh-CN"/>
              </w:rPr>
            </w:pPr>
            <w:r>
              <w:rPr>
                <w:rFonts w:hint="default"/>
                <w:color w:val="auto"/>
                <w:highlight w:val="none"/>
                <w:u w:val="none"/>
                <w:lang w:val="en-US" w:eastAsia="zh-CN"/>
              </w:rPr>
              <w:object>
                <v:shape id="_x0000_i1025" o:spt="75" type="#_x0000_t75" style="height:404.1pt;width:414.75pt;" o:ole="t" filled="f" o:preferrelative="t" stroked="f" coordsize="21600,21600">
                  <v:path/>
                  <v:fill on="f" focussize="0,0"/>
                  <v:stroke on="f"/>
                  <v:imagedata r:id="rId13" cropleft="3713f" croptop="2957f" cropright="2825f" cropbottom="3112f" o:title=""/>
                  <o:lock v:ext="edit" aspectratio="f"/>
                  <w10:wrap type="none"/>
                  <w10:anchorlock/>
                </v:shape>
                <o:OLEObject Type="Embed" ProgID="Visio.Drawing.15" ShapeID="_x0000_i1025" DrawAspect="Content" ObjectID="_1468075725" r:id="rId12">
                  <o:LockedField>false</o:LockedField>
                </o:OLEObject>
              </w:object>
            </w:r>
          </w:p>
          <w:p>
            <w:pPr>
              <w:pStyle w:val="62"/>
              <w:spacing w:line="240" w:lineRule="auto"/>
              <w:ind w:firstLine="480"/>
              <w:jc w:val="center"/>
              <w:rPr>
                <w:rFonts w:hint="eastAsia"/>
                <w:color w:val="auto"/>
                <w:sz w:val="24"/>
                <w:szCs w:val="24"/>
                <w:highlight w:val="none"/>
                <w:u w:val="single"/>
                <w:lang w:val="en-US" w:eastAsia="zh-CN"/>
              </w:rPr>
            </w:pPr>
            <w:r>
              <w:rPr>
                <w:rFonts w:hint="eastAsia"/>
                <w:b/>
                <w:bCs/>
                <w:color w:val="auto"/>
                <w:sz w:val="24"/>
                <w:szCs w:val="24"/>
                <w:highlight w:val="none"/>
                <w:u w:val="single"/>
                <w:lang w:val="en-US" w:eastAsia="zh-CN"/>
              </w:rPr>
              <w:t>图2.7-1本次改扩建项目水平衡图（单位：m</w:t>
            </w:r>
            <w:r>
              <w:rPr>
                <w:rFonts w:hint="eastAsia"/>
                <w:b/>
                <w:bCs/>
                <w:color w:val="auto"/>
                <w:sz w:val="24"/>
                <w:szCs w:val="24"/>
                <w:highlight w:val="none"/>
                <w:u w:val="single"/>
                <w:vertAlign w:val="superscript"/>
                <w:lang w:val="en-US" w:eastAsia="zh-CN"/>
              </w:rPr>
              <w:t>3</w:t>
            </w:r>
            <w:r>
              <w:rPr>
                <w:rFonts w:hint="eastAsia"/>
                <w:b/>
                <w:bCs/>
                <w:color w:val="auto"/>
                <w:sz w:val="24"/>
                <w:szCs w:val="24"/>
                <w:highlight w:val="none"/>
                <w:u w:val="single"/>
                <w:lang w:val="en-US" w:eastAsia="zh-CN"/>
              </w:rPr>
              <w:t>/a）</w:t>
            </w:r>
          </w:p>
          <w:p>
            <w:pPr>
              <w:pStyle w:val="62"/>
              <w:ind w:firstLine="480"/>
              <w:rPr>
                <w:rFonts w:hint="eastAsia"/>
                <w:color w:val="auto"/>
                <w:sz w:val="24"/>
                <w:szCs w:val="24"/>
                <w:highlight w:val="none"/>
                <w:u w:val="single"/>
                <w:lang w:val="en-US" w:eastAsia="zh-CN"/>
              </w:rPr>
            </w:pPr>
            <w:r>
              <w:rPr>
                <w:rFonts w:hint="eastAsia"/>
                <w:color w:val="auto"/>
                <w:sz w:val="24"/>
                <w:szCs w:val="24"/>
                <w:highlight w:val="none"/>
                <w:u w:val="single"/>
                <w:lang w:val="en-US" w:eastAsia="zh-CN"/>
              </w:rPr>
              <w:t>本项目建成后全厂水平衡分析如下所示：</w:t>
            </w:r>
          </w:p>
          <w:p>
            <w:pPr>
              <w:pStyle w:val="62"/>
              <w:ind w:firstLine="480"/>
              <w:rPr>
                <w:rFonts w:hint="eastAsia"/>
                <w:color w:val="auto"/>
                <w:sz w:val="24"/>
                <w:szCs w:val="24"/>
                <w:highlight w:val="none"/>
                <w:u w:val="single"/>
                <w:lang w:val="en-US" w:eastAsia="zh-CN"/>
              </w:rPr>
            </w:pPr>
            <w:r>
              <w:rPr>
                <w:rFonts w:hint="default"/>
                <w:color w:val="auto"/>
                <w:highlight w:val="none"/>
                <w:u w:val="single"/>
                <w:lang w:val="en-US" w:eastAsia="zh-CN"/>
              </w:rPr>
              <w:object>
                <v:shape id="_x0000_i1026" o:spt="75" type="#_x0000_t75" style="height:435.65pt;width:415.55pt;" o:ole="t" filled="f" o:preferrelative="t" stroked="f" coordsize="21600,21600">
                  <v:path/>
                  <v:fill on="f" focussize="0,0"/>
                  <v:stroke on="f"/>
                  <v:imagedata r:id="rId15" cropleft="3713f" croptop="2957f" cropright="2825f" cropbottom="2234f" o:title=""/>
                  <o:lock v:ext="edit" aspectratio="f"/>
                  <w10:wrap type="none"/>
                  <w10:anchorlock/>
                </v:shape>
                <o:OLEObject Type="Embed" ProgID="Visio.Drawing.15" ShapeID="_x0000_i1026" DrawAspect="Content" ObjectID="_1468075726" r:id="rId14">
                  <o:LockedField>false</o:LockedField>
                </o:OLEObject>
              </w:object>
            </w:r>
          </w:p>
          <w:p>
            <w:pPr>
              <w:pStyle w:val="62"/>
              <w:spacing w:line="240" w:lineRule="auto"/>
              <w:ind w:firstLine="480"/>
              <w:jc w:val="center"/>
              <w:rPr>
                <w:rFonts w:hint="eastAsia"/>
                <w:color w:val="auto"/>
                <w:sz w:val="24"/>
                <w:szCs w:val="24"/>
                <w:highlight w:val="none"/>
                <w:u w:val="single"/>
                <w:lang w:val="en-US" w:eastAsia="zh-CN"/>
              </w:rPr>
            </w:pPr>
            <w:r>
              <w:rPr>
                <w:rFonts w:hint="eastAsia"/>
                <w:b/>
                <w:bCs/>
                <w:color w:val="auto"/>
                <w:sz w:val="24"/>
                <w:szCs w:val="24"/>
                <w:highlight w:val="none"/>
                <w:u w:val="single"/>
                <w:lang w:val="en-US" w:eastAsia="zh-CN"/>
              </w:rPr>
              <w:t>图2.7-2本次改扩建后全厂水平衡图（单位：m</w:t>
            </w:r>
            <w:r>
              <w:rPr>
                <w:rFonts w:hint="eastAsia"/>
                <w:b/>
                <w:bCs/>
                <w:color w:val="auto"/>
                <w:sz w:val="24"/>
                <w:szCs w:val="24"/>
                <w:highlight w:val="none"/>
                <w:u w:val="single"/>
                <w:vertAlign w:val="superscript"/>
                <w:lang w:val="en-US" w:eastAsia="zh-CN"/>
              </w:rPr>
              <w:t>3</w:t>
            </w:r>
            <w:r>
              <w:rPr>
                <w:rFonts w:hint="eastAsia"/>
                <w:b/>
                <w:bCs/>
                <w:color w:val="auto"/>
                <w:sz w:val="24"/>
                <w:szCs w:val="24"/>
                <w:highlight w:val="none"/>
                <w:u w:val="single"/>
                <w:lang w:val="en-US" w:eastAsia="zh-CN"/>
              </w:rPr>
              <w:t>/a）</w:t>
            </w:r>
          </w:p>
          <w:p>
            <w:pPr>
              <w:pStyle w:val="62"/>
              <w:tabs>
                <w:tab w:val="left" w:pos="5530"/>
              </w:tabs>
              <w:ind w:firstLine="480"/>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2.7.3供电</w:t>
            </w:r>
          </w:p>
          <w:p>
            <w:pPr>
              <w:pStyle w:val="62"/>
              <w:ind w:firstLine="480"/>
              <w:rPr>
                <w:rFonts w:hint="default"/>
                <w:color w:val="auto"/>
                <w:sz w:val="24"/>
                <w:szCs w:val="24"/>
                <w:highlight w:val="none"/>
                <w:u w:val="none"/>
                <w:lang w:val="en-US"/>
              </w:rPr>
            </w:pPr>
            <w:r>
              <w:rPr>
                <w:rFonts w:hint="eastAsia"/>
                <w:color w:val="auto"/>
                <w:sz w:val="24"/>
                <w:szCs w:val="24"/>
                <w:highlight w:val="none"/>
                <w:u w:val="none"/>
                <w:lang w:val="en-US" w:eastAsia="zh-CN"/>
              </w:rPr>
              <w:t>本项目供电依托厂区现有供电设施进行供电。</w:t>
            </w:r>
          </w:p>
          <w:p>
            <w:pPr>
              <w:pStyle w:val="56"/>
              <w:bidi w:val="0"/>
              <w:ind w:firstLine="482" w:firstLineChars="200"/>
              <w:rPr>
                <w:color w:val="auto"/>
                <w:sz w:val="24"/>
                <w:szCs w:val="24"/>
                <w:highlight w:val="none"/>
                <w:u w:val="none"/>
              </w:rPr>
            </w:pPr>
            <w:r>
              <w:rPr>
                <w:rFonts w:hint="eastAsia"/>
                <w:color w:val="auto"/>
                <w:sz w:val="24"/>
                <w:szCs w:val="24"/>
                <w:highlight w:val="none"/>
                <w:u w:val="none"/>
                <w:lang w:val="en-US" w:eastAsia="zh-CN"/>
              </w:rPr>
              <w:t>2.8</w:t>
            </w:r>
            <w:r>
              <w:rPr>
                <w:color w:val="auto"/>
                <w:sz w:val="24"/>
                <w:szCs w:val="24"/>
                <w:highlight w:val="none"/>
                <w:u w:val="none"/>
              </w:rPr>
              <w:t>劳动定员及工作制度</w:t>
            </w:r>
          </w:p>
          <w:p>
            <w:pPr>
              <w:pStyle w:val="62"/>
              <w:ind w:firstLine="480"/>
              <w:rPr>
                <w:b/>
                <w:color w:val="auto"/>
                <w:sz w:val="24"/>
                <w:szCs w:val="24"/>
                <w:highlight w:val="none"/>
                <w:u w:val="none"/>
              </w:rPr>
            </w:pPr>
            <w:r>
              <w:rPr>
                <w:color w:val="auto"/>
                <w:sz w:val="24"/>
                <w:szCs w:val="24"/>
                <w:highlight w:val="none"/>
                <w:u w:val="none"/>
              </w:rPr>
              <w:t>劳动定员：</w:t>
            </w:r>
            <w:r>
              <w:rPr>
                <w:rFonts w:hint="eastAsia"/>
                <w:color w:val="auto"/>
                <w:sz w:val="24"/>
                <w:szCs w:val="24"/>
                <w:highlight w:val="none"/>
                <w:u w:val="none"/>
                <w:lang w:val="en-US" w:eastAsia="zh-CN"/>
              </w:rPr>
              <w:t>本次改扩建不新增劳动定员，保持劳动定员160</w:t>
            </w:r>
            <w:r>
              <w:rPr>
                <w:rFonts w:hint="eastAsia"/>
                <w:color w:val="auto"/>
                <w:sz w:val="24"/>
                <w:szCs w:val="24"/>
                <w:highlight w:val="none"/>
                <w:u w:val="none"/>
                <w:lang w:val="ru-RU"/>
              </w:rPr>
              <w:t>人。</w:t>
            </w:r>
          </w:p>
          <w:p>
            <w:pPr>
              <w:pStyle w:val="62"/>
              <w:ind w:firstLine="480"/>
              <w:rPr>
                <w:rFonts w:hint="default"/>
                <w:color w:val="auto"/>
                <w:highlight w:val="none"/>
                <w:u w:val="none"/>
                <w:lang w:val="en-US" w:eastAsia="zh-CN"/>
              </w:rPr>
            </w:pPr>
            <w:r>
              <w:rPr>
                <w:color w:val="auto"/>
                <w:sz w:val="24"/>
                <w:szCs w:val="24"/>
                <w:highlight w:val="none"/>
                <w:u w:val="none"/>
              </w:rPr>
              <w:t>工作制度：每年工作</w:t>
            </w:r>
            <w:r>
              <w:rPr>
                <w:rFonts w:hint="eastAsia"/>
                <w:color w:val="auto"/>
                <w:sz w:val="24"/>
                <w:szCs w:val="24"/>
                <w:highlight w:val="none"/>
                <w:u w:val="none"/>
                <w:lang w:val="en-US" w:eastAsia="zh-CN"/>
              </w:rPr>
              <w:t>330</w:t>
            </w:r>
            <w:r>
              <w:rPr>
                <w:color w:val="auto"/>
                <w:sz w:val="24"/>
                <w:szCs w:val="24"/>
                <w:highlight w:val="none"/>
                <w:u w:val="none"/>
              </w:rPr>
              <w:t>天，</w:t>
            </w:r>
            <w:r>
              <w:rPr>
                <w:rFonts w:hint="eastAsia"/>
                <w:color w:val="auto"/>
                <w:sz w:val="24"/>
                <w:szCs w:val="24"/>
                <w:highlight w:val="none"/>
                <w:u w:val="none"/>
                <w:lang w:eastAsia="zh-CN"/>
              </w:rPr>
              <w:t>工作</w:t>
            </w:r>
            <w:r>
              <w:rPr>
                <w:rFonts w:hint="eastAsia"/>
                <w:color w:val="auto"/>
                <w:sz w:val="24"/>
                <w:szCs w:val="24"/>
                <w:highlight w:val="none"/>
                <w:u w:val="none"/>
                <w:lang w:val="en-US" w:eastAsia="zh-CN"/>
              </w:rPr>
              <w:t>24h</w:t>
            </w:r>
            <w:r>
              <w:rPr>
                <w:rFonts w:hint="eastAsia"/>
                <w:color w:val="auto"/>
                <w:sz w:val="24"/>
                <w:szCs w:val="24"/>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423" w:type="dxa"/>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u w:val="none"/>
                <w:vertAlign w:val="baseline"/>
                <w:lang w:val="en-US" w:eastAsia="zh-CN"/>
              </w:rPr>
            </w:pPr>
            <w:r>
              <w:rPr>
                <w:rFonts w:hint="eastAsia"/>
                <w:color w:val="auto"/>
                <w:highlight w:val="none"/>
                <w:u w:val="none"/>
                <w:lang w:val="en-US" w:eastAsia="zh-CN"/>
              </w:rPr>
              <w:t>工艺流程和产排污环节</w:t>
            </w:r>
          </w:p>
        </w:tc>
        <w:tc>
          <w:tcPr>
            <w:tcW w:w="9539" w:type="dxa"/>
          </w:tcPr>
          <w:p>
            <w:pPr>
              <w:pStyle w:val="56"/>
              <w:ind w:firstLine="482" w:firstLineChars="200"/>
              <w:rPr>
                <w:rFonts w:hint="default"/>
                <w:color w:val="auto"/>
                <w:sz w:val="24"/>
                <w:szCs w:val="24"/>
                <w:highlight w:val="none"/>
                <w:u w:val="none"/>
                <w:lang w:val="en-US" w:eastAsia="zh-CN"/>
              </w:rPr>
            </w:pPr>
            <w:r>
              <w:rPr>
                <w:rFonts w:hint="default"/>
                <w:color w:val="auto"/>
                <w:sz w:val="24"/>
                <w:szCs w:val="24"/>
                <w:highlight w:val="none"/>
                <w:u w:val="none"/>
                <w:lang w:val="en-US" w:eastAsia="zh-CN"/>
              </w:rPr>
              <w:t>2.</w:t>
            </w:r>
            <w:r>
              <w:rPr>
                <w:rFonts w:hint="eastAsia"/>
                <w:color w:val="auto"/>
                <w:sz w:val="24"/>
                <w:szCs w:val="24"/>
                <w:highlight w:val="none"/>
                <w:u w:val="none"/>
                <w:lang w:val="en-US" w:eastAsia="zh-CN"/>
              </w:rPr>
              <w:t>9.2</w:t>
            </w:r>
            <w:r>
              <w:rPr>
                <w:rFonts w:hint="default"/>
                <w:color w:val="auto"/>
                <w:sz w:val="24"/>
                <w:szCs w:val="24"/>
                <w:highlight w:val="none"/>
                <w:u w:val="none"/>
              </w:rPr>
              <w:t>施工期</w:t>
            </w:r>
            <w:r>
              <w:rPr>
                <w:rFonts w:hint="default"/>
                <w:color w:val="auto"/>
                <w:sz w:val="24"/>
                <w:szCs w:val="24"/>
                <w:highlight w:val="none"/>
                <w:u w:val="none"/>
                <w:lang w:val="en-US" w:eastAsia="zh-CN"/>
              </w:rPr>
              <w:t>工艺</w:t>
            </w:r>
          </w:p>
          <w:p>
            <w:pPr>
              <w:pStyle w:val="62"/>
              <w:bidi w:val="0"/>
              <w:rPr>
                <w:rFonts w:hint="eastAsia"/>
                <w:color w:val="auto"/>
                <w:sz w:val="24"/>
                <w:szCs w:val="24"/>
                <w:highlight w:val="none"/>
                <w:u w:val="none"/>
                <w:lang w:eastAsia="zh-CN"/>
              </w:rPr>
            </w:pPr>
            <w:r>
              <w:rPr>
                <w:rFonts w:hint="default"/>
                <w:color w:val="auto"/>
                <w:sz w:val="24"/>
                <w:szCs w:val="24"/>
                <w:highlight w:val="none"/>
                <w:u w:val="none"/>
              </w:rPr>
              <w:t>本项目</w:t>
            </w:r>
            <w:r>
              <w:rPr>
                <w:rFonts w:hint="eastAsia"/>
                <w:color w:val="auto"/>
                <w:sz w:val="24"/>
                <w:szCs w:val="24"/>
                <w:highlight w:val="none"/>
                <w:u w:val="none"/>
                <w:lang w:eastAsia="zh-CN"/>
              </w:rPr>
              <w:t>拟建</w:t>
            </w:r>
            <w:r>
              <w:rPr>
                <w:rFonts w:hint="eastAsia"/>
                <w:color w:val="auto"/>
                <w:sz w:val="24"/>
                <w:szCs w:val="24"/>
                <w:highlight w:val="none"/>
                <w:u w:val="none"/>
                <w:lang w:val="en-US" w:eastAsia="zh-CN"/>
              </w:rPr>
              <w:t>3#生产厂房、4#生产厂房以及5F办公楼</w:t>
            </w:r>
            <w:r>
              <w:rPr>
                <w:rFonts w:hint="default"/>
                <w:color w:val="auto"/>
                <w:sz w:val="24"/>
                <w:szCs w:val="24"/>
                <w:highlight w:val="none"/>
                <w:u w:val="none"/>
              </w:rPr>
              <w:t>，项目施工期时间较短，产生的污染物较少</w:t>
            </w:r>
            <w:r>
              <w:rPr>
                <w:rFonts w:hint="eastAsia"/>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hAnsi="宋体" w:eastAsia="仿宋_GB2312" w:cs="Times New Roman"/>
                <w:b/>
                <w:color w:val="auto"/>
                <w:sz w:val="24"/>
                <w:highlight w:val="none"/>
                <w:u w:val="none" w:color="auto"/>
              </w:rPr>
            </w:pPr>
            <w:r>
              <w:rPr>
                <w:rFonts w:ascii="仿宋_GB2312" w:hAnsi="宋体" w:eastAsia="仿宋_GB2312" w:cs="Times New Roman"/>
                <w:b/>
                <w:color w:val="auto"/>
                <w:sz w:val="24"/>
                <w:highlight w:val="none"/>
                <w:u w:val="none" w:color="auto"/>
              </w:rPr>
              <w:drawing>
                <wp:inline distT="0" distB="0" distL="114300" distR="114300">
                  <wp:extent cx="4401820" cy="915035"/>
                  <wp:effectExtent l="0" t="0" r="17780" b="18415"/>
                  <wp:docPr id="9" name="图片 7" descr="1647546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647546843(1)"/>
                          <pic:cNvPicPr>
                            <a:picLocks noChangeAspect="1"/>
                          </pic:cNvPicPr>
                        </pic:nvPicPr>
                        <pic:blipFill>
                          <a:blip r:embed="rId16"/>
                          <a:srcRect l="1199"/>
                          <a:stretch>
                            <a:fillRect/>
                          </a:stretch>
                        </pic:blipFill>
                        <pic:spPr>
                          <a:xfrm>
                            <a:off x="0" y="0"/>
                            <a:ext cx="4401820" cy="915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color w:val="auto"/>
                <w:sz w:val="24"/>
                <w:szCs w:val="24"/>
                <w:highlight w:val="none"/>
                <w:u w:val="none" w:color="auto"/>
              </w:rPr>
            </w:pPr>
            <w:r>
              <w:rPr>
                <w:rFonts w:ascii="Times New Roman" w:hAnsi="Times New Roman" w:eastAsia="宋体" w:cs="Times New Roman"/>
                <w:b/>
                <w:color w:val="auto"/>
                <w:sz w:val="24"/>
                <w:szCs w:val="24"/>
                <w:highlight w:val="none"/>
                <w:u w:val="none" w:color="auto"/>
              </w:rPr>
              <w:t>图</w:t>
            </w:r>
            <w:r>
              <w:rPr>
                <w:rFonts w:hint="eastAsia" w:ascii="Times New Roman" w:hAnsi="Times New Roman" w:eastAsia="宋体" w:cs="Times New Roman"/>
                <w:b/>
                <w:color w:val="auto"/>
                <w:sz w:val="24"/>
                <w:szCs w:val="24"/>
                <w:highlight w:val="none"/>
                <w:u w:val="none" w:color="auto"/>
                <w:lang w:val="en-US" w:eastAsia="zh-CN"/>
              </w:rPr>
              <w:t>2.</w:t>
            </w:r>
            <w:r>
              <w:rPr>
                <w:rFonts w:hint="eastAsia" w:ascii="Times New Roman" w:hAnsi="Times New Roman" w:cs="Times New Roman"/>
                <w:b/>
                <w:color w:val="auto"/>
                <w:sz w:val="24"/>
                <w:szCs w:val="24"/>
                <w:highlight w:val="none"/>
                <w:u w:val="none" w:color="auto"/>
                <w:lang w:val="en-US" w:eastAsia="zh-CN"/>
              </w:rPr>
              <w:t>9</w:t>
            </w:r>
            <w:r>
              <w:rPr>
                <w:rFonts w:hint="eastAsia" w:ascii="Times New Roman" w:hAnsi="Times New Roman" w:eastAsia="宋体" w:cs="Times New Roman"/>
                <w:b/>
                <w:color w:val="auto"/>
                <w:sz w:val="24"/>
                <w:szCs w:val="24"/>
                <w:highlight w:val="none"/>
                <w:u w:val="none" w:color="auto"/>
                <w:lang w:val="en-US" w:eastAsia="zh-CN"/>
              </w:rPr>
              <w:t>-1</w:t>
            </w:r>
            <w:r>
              <w:rPr>
                <w:rFonts w:ascii="Times New Roman" w:hAnsi="Times New Roman" w:eastAsia="宋体" w:cs="Times New Roman"/>
                <w:b/>
                <w:color w:val="auto"/>
                <w:sz w:val="24"/>
                <w:szCs w:val="24"/>
                <w:highlight w:val="none"/>
                <w:u w:val="none" w:color="auto"/>
              </w:rPr>
              <w:t>施工期工艺流程及产污环节</w:t>
            </w:r>
          </w:p>
          <w:p>
            <w:pPr>
              <w:pStyle w:val="62"/>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2.9.1运营期工艺</w:t>
            </w:r>
          </w:p>
          <w:p>
            <w:pPr>
              <w:pStyle w:val="62"/>
              <w:bidi w:val="0"/>
              <w:rPr>
                <w:rFonts w:hint="eastAsia"/>
                <w:b/>
                <w:bCs/>
                <w:color w:val="auto"/>
                <w:sz w:val="24"/>
                <w:szCs w:val="24"/>
                <w:highlight w:val="none"/>
                <w:u w:val="none"/>
                <w:vertAlign w:val="baseline"/>
                <w:lang w:val="en-US" w:eastAsia="zh-CN"/>
              </w:rPr>
            </w:pPr>
            <w:r>
              <w:rPr>
                <w:rFonts w:hint="eastAsia"/>
                <w:b/>
                <w:bCs/>
                <w:color w:val="auto"/>
                <w:sz w:val="24"/>
                <w:szCs w:val="24"/>
                <w:highlight w:val="none"/>
                <w:u w:val="none"/>
                <w:vertAlign w:val="baseline"/>
                <w:lang w:val="en-US" w:eastAsia="zh-CN"/>
              </w:rPr>
              <w:t>2.9.1.1不锈钢焊丝生产工艺流程</w:t>
            </w:r>
          </w:p>
          <w:p>
            <w:pPr>
              <w:pStyle w:val="62"/>
              <w:bidi w:val="0"/>
              <w:rPr>
                <w:rFonts w:hint="eastAsia" w:hAnsi="宋体" w:eastAsia="宋体"/>
                <w:b w:val="0"/>
                <w:bCs w:val="0"/>
                <w:color w:val="auto"/>
                <w:sz w:val="24"/>
                <w:szCs w:val="24"/>
                <w:u w:val="single"/>
                <w:lang w:val="en-US" w:eastAsia="zh-CN"/>
              </w:rPr>
            </w:pPr>
            <w:r>
              <w:rPr>
                <w:rFonts w:hint="eastAsia" w:hAnsi="宋体"/>
                <w:b w:val="0"/>
                <w:bCs w:val="0"/>
                <w:color w:val="auto"/>
                <w:sz w:val="24"/>
                <w:szCs w:val="24"/>
                <w:u w:val="single"/>
                <w:lang w:eastAsia="zh-CN"/>
              </w:rPr>
              <w:t>本次不锈钢焊丝新增了一道酸电解工序和</w:t>
            </w:r>
            <w:r>
              <w:rPr>
                <w:rFonts w:hint="eastAsia" w:ascii="Times New Roman" w:hAnsi="Times New Roman" w:eastAsia="宋体" w:cs="Times New Roman"/>
                <w:b w:val="0"/>
                <w:bCs w:val="0"/>
                <w:color w:val="auto"/>
                <w:sz w:val="24"/>
                <w:szCs w:val="24"/>
                <w:highlight w:val="none"/>
                <w:u w:val="single"/>
                <w:lang w:val="en-US" w:eastAsia="zh-CN" w:bidi="ar"/>
              </w:rPr>
              <w:t>氨分解充氢退火工序，改建</w:t>
            </w:r>
            <w:r>
              <w:rPr>
                <w:rFonts w:hint="eastAsia" w:hAnsi="宋体"/>
                <w:b w:val="0"/>
                <w:bCs w:val="0"/>
                <w:color w:val="auto"/>
                <w:sz w:val="24"/>
                <w:szCs w:val="24"/>
                <w:u w:val="single"/>
                <w:lang w:eastAsia="zh-CN"/>
              </w:rPr>
              <w:t>后的不锈钢焊丝较原不锈钢焊丝相比，有较好的</w:t>
            </w:r>
            <w:r>
              <w:rPr>
                <w:rFonts w:hint="eastAsia" w:hAnsi="宋体"/>
                <w:b w:val="0"/>
                <w:bCs w:val="0"/>
                <w:color w:val="auto"/>
                <w:sz w:val="24"/>
                <w:szCs w:val="24"/>
                <w:u w:val="single"/>
              </w:rPr>
              <w:t>塑性和韧性</w:t>
            </w:r>
            <w:r>
              <w:rPr>
                <w:rFonts w:hint="eastAsia" w:hAnsi="宋体"/>
                <w:b w:val="0"/>
                <w:bCs w:val="0"/>
                <w:color w:val="auto"/>
                <w:sz w:val="24"/>
                <w:szCs w:val="24"/>
                <w:u w:val="single"/>
                <w:lang w:eastAsia="zh-CN"/>
              </w:rPr>
              <w:t>，提高了导电性</w:t>
            </w:r>
            <w:r>
              <w:rPr>
                <w:rFonts w:hint="eastAsia" w:ascii="Times New Roman" w:hAnsi="Times New Roman" w:eastAsia="宋体" w:cs="Times New Roman"/>
                <w:b w:val="0"/>
                <w:bCs w:val="0"/>
                <w:color w:val="auto"/>
                <w:sz w:val="24"/>
                <w:szCs w:val="24"/>
                <w:highlight w:val="none"/>
                <w:u w:val="single"/>
                <w:lang w:val="en-US" w:eastAsia="zh-CN" w:bidi="ar"/>
              </w:rPr>
              <w:t>。增加了精拔工序，</w:t>
            </w:r>
            <w:r>
              <w:rPr>
                <w:rFonts w:hint="eastAsia" w:cs="Times New Roman"/>
                <w:b w:val="0"/>
                <w:bCs w:val="0"/>
                <w:color w:val="auto"/>
                <w:sz w:val="24"/>
                <w:szCs w:val="24"/>
                <w:highlight w:val="none"/>
                <w:u w:val="single"/>
                <w:lang w:val="en-US" w:eastAsia="zh-CN" w:bidi="ar"/>
              </w:rPr>
              <w:t>细化了</w:t>
            </w:r>
            <w:r>
              <w:rPr>
                <w:rFonts w:hint="eastAsia" w:ascii="Times New Roman" w:hAnsi="Times New Roman" w:eastAsia="宋体" w:cs="Times New Roman"/>
                <w:b w:val="0"/>
                <w:bCs w:val="0"/>
                <w:color w:val="auto"/>
                <w:sz w:val="24"/>
                <w:szCs w:val="24"/>
                <w:highlight w:val="none"/>
                <w:u w:val="single"/>
                <w:lang w:val="en-US" w:eastAsia="zh-CN" w:bidi="ar"/>
              </w:rPr>
              <w:t>不锈钢焊丝</w:t>
            </w:r>
            <w:r>
              <w:rPr>
                <w:rFonts w:hint="eastAsia" w:cs="Times New Roman"/>
                <w:b w:val="0"/>
                <w:bCs w:val="0"/>
                <w:color w:val="auto"/>
                <w:sz w:val="24"/>
                <w:szCs w:val="24"/>
                <w:highlight w:val="none"/>
                <w:u w:val="single"/>
                <w:lang w:val="en-US" w:eastAsia="zh-CN" w:bidi="ar"/>
              </w:rPr>
              <w:t>产品</w:t>
            </w:r>
            <w:r>
              <w:rPr>
                <w:rFonts w:hint="eastAsia" w:ascii="Times New Roman" w:hAnsi="Times New Roman" w:eastAsia="宋体" w:cs="Times New Roman"/>
                <w:b w:val="0"/>
                <w:bCs w:val="0"/>
                <w:color w:val="auto"/>
                <w:sz w:val="24"/>
                <w:szCs w:val="24"/>
                <w:highlight w:val="none"/>
                <w:u w:val="single"/>
                <w:lang w:val="en-US" w:eastAsia="zh-CN" w:bidi="ar"/>
              </w:rPr>
              <w:t>种类。</w:t>
            </w:r>
          </w:p>
          <w:p>
            <w:pPr>
              <w:pStyle w:val="62"/>
              <w:bidi w:val="0"/>
              <w:rPr>
                <w:rFonts w:hint="eastAsia" w:hAnsi="宋体" w:eastAsia="宋体"/>
                <w:color w:val="auto"/>
                <w:sz w:val="24"/>
                <w:szCs w:val="24"/>
                <w:lang w:eastAsia="zh-CN"/>
              </w:rPr>
            </w:pPr>
            <w:r>
              <w:rPr>
                <w:rFonts w:hint="eastAsia" w:hAnsi="宋体"/>
                <w:b/>
                <w:bCs/>
                <w:color w:val="auto"/>
                <w:sz w:val="24"/>
                <w:szCs w:val="24"/>
                <w:lang w:eastAsia="zh-CN"/>
              </w:rPr>
              <w:t>（</w:t>
            </w:r>
            <w:r>
              <w:rPr>
                <w:rFonts w:hint="eastAsia" w:hAnsi="宋体"/>
                <w:b/>
                <w:bCs/>
                <w:color w:val="auto"/>
                <w:sz w:val="24"/>
                <w:szCs w:val="24"/>
                <w:lang w:val="en-US" w:eastAsia="zh-CN"/>
              </w:rPr>
              <w:t>1</w:t>
            </w:r>
            <w:r>
              <w:rPr>
                <w:rFonts w:hint="eastAsia" w:hAnsi="宋体"/>
                <w:b/>
                <w:bCs/>
                <w:color w:val="auto"/>
                <w:sz w:val="24"/>
                <w:szCs w:val="24"/>
                <w:lang w:eastAsia="zh-CN"/>
              </w:rPr>
              <w:t>）</w:t>
            </w:r>
            <w:r>
              <w:rPr>
                <w:rFonts w:hint="eastAsia" w:hAnsi="宋体"/>
                <w:b/>
                <w:bCs/>
                <w:color w:val="auto"/>
                <w:sz w:val="24"/>
                <w:szCs w:val="24"/>
              </w:rPr>
              <w:t>涂膜</w:t>
            </w:r>
            <w:r>
              <w:rPr>
                <w:rFonts w:hint="eastAsia" w:hAnsi="宋体"/>
                <w:color w:val="auto"/>
                <w:sz w:val="24"/>
                <w:szCs w:val="24"/>
                <w:lang w:eastAsia="zh-CN"/>
              </w:rPr>
              <w:t>：</w:t>
            </w:r>
            <w:r>
              <w:rPr>
                <w:rFonts w:hint="eastAsia" w:hAnsi="宋体"/>
                <w:color w:val="auto"/>
                <w:sz w:val="24"/>
                <w:szCs w:val="24"/>
              </w:rPr>
              <w:t>不锈钢焊丝主要采用不锈钢丝为原料，生产时先对钢丝进行涂膜处理，使钢丝表面形成一层致密、牢固的润滑载体，便于进行拉丝工序。钢丝在加有涂膜剂（主要成分是硬脂酸钠，浓度为100g/L），钢丝表面会涂上一层具有润滑性质的涂膜剂。</w:t>
            </w:r>
          </w:p>
          <w:p>
            <w:pPr>
              <w:pStyle w:val="62"/>
              <w:bidi w:val="0"/>
              <w:rPr>
                <w:rFonts w:hint="eastAsia" w:hAnsi="宋体"/>
                <w:color w:val="auto"/>
                <w:sz w:val="24"/>
                <w:szCs w:val="24"/>
                <w:lang w:eastAsia="zh-CN"/>
              </w:rPr>
            </w:pPr>
            <w:r>
              <w:rPr>
                <w:rFonts w:hint="eastAsia" w:hAnsi="宋体"/>
                <w:b/>
                <w:bCs/>
                <w:color w:val="auto"/>
                <w:sz w:val="24"/>
                <w:szCs w:val="24"/>
                <w:lang w:eastAsia="zh-CN"/>
              </w:rPr>
              <w:t>（</w:t>
            </w:r>
            <w:r>
              <w:rPr>
                <w:rFonts w:hint="eastAsia" w:hAnsi="宋体"/>
                <w:b/>
                <w:bCs/>
                <w:color w:val="auto"/>
                <w:sz w:val="24"/>
                <w:szCs w:val="24"/>
                <w:lang w:val="en-US" w:eastAsia="zh-CN"/>
              </w:rPr>
              <w:t>2</w:t>
            </w:r>
            <w:r>
              <w:rPr>
                <w:rFonts w:hint="eastAsia" w:hAnsi="宋体"/>
                <w:b/>
                <w:bCs/>
                <w:color w:val="auto"/>
                <w:sz w:val="24"/>
                <w:szCs w:val="24"/>
                <w:lang w:eastAsia="zh-CN"/>
              </w:rPr>
              <w:t>）烘干</w:t>
            </w:r>
            <w:r>
              <w:rPr>
                <w:rFonts w:hint="eastAsia" w:hAnsi="宋体"/>
                <w:color w:val="auto"/>
                <w:sz w:val="24"/>
                <w:szCs w:val="24"/>
                <w:lang w:eastAsia="zh-CN"/>
              </w:rPr>
              <w:t>：</w:t>
            </w:r>
            <w:r>
              <w:rPr>
                <w:rFonts w:hint="eastAsia" w:hAnsi="宋体"/>
                <w:color w:val="auto"/>
                <w:sz w:val="24"/>
                <w:szCs w:val="24"/>
                <w:lang w:val="en-US" w:eastAsia="zh-CN"/>
              </w:rPr>
              <w:t>采用电烘干方式用约100℃的热空气烘干焊丝表面物料。</w:t>
            </w:r>
          </w:p>
          <w:p>
            <w:pPr>
              <w:pStyle w:val="62"/>
              <w:bidi w:val="0"/>
              <w:rPr>
                <w:rFonts w:hint="eastAsia" w:hAnsi="宋体" w:eastAsia="宋体"/>
                <w:color w:val="auto"/>
                <w:sz w:val="24"/>
                <w:szCs w:val="24"/>
                <w:lang w:eastAsia="zh-CN"/>
              </w:rPr>
            </w:pPr>
            <w:r>
              <w:rPr>
                <w:rFonts w:hint="eastAsia" w:hAnsi="宋体"/>
                <w:b/>
                <w:bCs/>
                <w:color w:val="auto"/>
                <w:sz w:val="24"/>
                <w:szCs w:val="24"/>
                <w:lang w:eastAsia="zh-CN"/>
              </w:rPr>
              <w:t>（</w:t>
            </w:r>
            <w:r>
              <w:rPr>
                <w:rFonts w:hint="eastAsia" w:hAnsi="宋体"/>
                <w:b/>
                <w:bCs/>
                <w:color w:val="auto"/>
                <w:sz w:val="24"/>
                <w:szCs w:val="24"/>
                <w:lang w:val="en-US" w:eastAsia="zh-CN"/>
              </w:rPr>
              <w:t>3</w:t>
            </w:r>
            <w:r>
              <w:rPr>
                <w:rFonts w:hint="eastAsia" w:hAnsi="宋体"/>
                <w:b/>
                <w:bCs/>
                <w:color w:val="auto"/>
                <w:sz w:val="24"/>
                <w:szCs w:val="24"/>
                <w:lang w:eastAsia="zh-CN"/>
              </w:rPr>
              <w:t>）拉丝</w:t>
            </w:r>
            <w:r>
              <w:rPr>
                <w:rFonts w:hint="eastAsia" w:hAnsi="宋体"/>
                <w:color w:val="auto"/>
                <w:sz w:val="24"/>
                <w:szCs w:val="24"/>
                <w:lang w:eastAsia="zh-CN"/>
              </w:rPr>
              <w:t>：使用</w:t>
            </w:r>
            <w:r>
              <w:rPr>
                <w:rFonts w:hint="eastAsia" w:hAnsi="宋体"/>
                <w:color w:val="auto"/>
                <w:sz w:val="24"/>
                <w:szCs w:val="24"/>
              </w:rPr>
              <w:t>滑石粉起润滑作用</w:t>
            </w:r>
            <w:r>
              <w:rPr>
                <w:rFonts w:hint="eastAsia" w:hAnsi="宋体"/>
                <w:color w:val="auto"/>
                <w:sz w:val="24"/>
                <w:szCs w:val="24"/>
                <w:lang w:eastAsia="zh-CN"/>
              </w:rPr>
              <w:t>，在机械力的作用下，经过变形，将盘条初步从直径拉拔到规定直径。</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hAnsi="宋体"/>
                <w:color w:val="auto"/>
                <w:sz w:val="24"/>
                <w:szCs w:val="24"/>
                <w:u w:val="single"/>
              </w:rPr>
            </w:pPr>
            <w:r>
              <w:rPr>
                <w:rFonts w:hint="eastAsia" w:hAnsi="宋体"/>
                <w:b/>
                <w:bCs/>
                <w:color w:val="auto"/>
                <w:sz w:val="24"/>
                <w:szCs w:val="24"/>
                <w:u w:val="none"/>
                <w:lang w:eastAsia="zh-CN"/>
              </w:rPr>
              <w:t>（</w:t>
            </w:r>
            <w:r>
              <w:rPr>
                <w:rFonts w:hint="eastAsia" w:hAnsi="宋体"/>
                <w:b/>
                <w:bCs/>
                <w:color w:val="auto"/>
                <w:sz w:val="24"/>
                <w:szCs w:val="24"/>
                <w:u w:val="none"/>
                <w:lang w:val="en-US" w:eastAsia="zh-CN"/>
              </w:rPr>
              <w:t>4</w:t>
            </w:r>
            <w:r>
              <w:rPr>
                <w:rFonts w:hint="eastAsia" w:hAnsi="宋体"/>
                <w:b/>
                <w:bCs/>
                <w:color w:val="auto"/>
                <w:sz w:val="24"/>
                <w:szCs w:val="24"/>
                <w:u w:val="none"/>
                <w:lang w:eastAsia="zh-CN"/>
              </w:rPr>
              <w:t>）酸电解</w:t>
            </w:r>
            <w:r>
              <w:rPr>
                <w:rFonts w:hint="eastAsia" w:hAnsi="宋体"/>
                <w:color w:val="auto"/>
                <w:sz w:val="24"/>
                <w:szCs w:val="24"/>
                <w:u w:val="none"/>
                <w:lang w:eastAsia="zh-CN"/>
              </w:rPr>
              <w:t>：</w:t>
            </w:r>
            <w:r>
              <w:rPr>
                <w:rFonts w:hint="eastAsia" w:hAnsi="宋体"/>
                <w:color w:val="auto"/>
                <w:sz w:val="24"/>
                <w:szCs w:val="24"/>
                <w:u w:val="none"/>
              </w:rPr>
              <w:t>酸洗槽中进行电解酸洗，</w:t>
            </w:r>
            <w:r>
              <w:rPr>
                <w:rFonts w:hint="eastAsia" w:hAnsi="宋体"/>
                <w:color w:val="auto"/>
                <w:sz w:val="24"/>
                <w:szCs w:val="24"/>
                <w:u w:val="single"/>
              </w:rPr>
              <w:t>使用浓度为300g/L稀硫酸，</w:t>
            </w:r>
            <w:r>
              <w:rPr>
                <w:rFonts w:hAnsi="宋体"/>
                <w:color w:val="auto"/>
                <w:sz w:val="24"/>
                <w:szCs w:val="24"/>
                <w:highlight w:val="none"/>
                <w:u w:val="single"/>
              </w:rPr>
              <w:t>酸电解使用到稀硫酸，</w:t>
            </w:r>
            <w:r>
              <w:rPr>
                <w:rFonts w:hint="eastAsia" w:hAnsi="宋体"/>
                <w:color w:val="auto"/>
                <w:sz w:val="24"/>
                <w:szCs w:val="24"/>
                <w:highlight w:val="none"/>
                <w:u w:val="single"/>
              </w:rPr>
              <w:t>采用</w:t>
            </w:r>
            <w:r>
              <w:rPr>
                <w:rFonts w:hint="eastAsia" w:hAnsi="宋体"/>
                <w:color w:val="auto"/>
                <w:sz w:val="24"/>
                <w:szCs w:val="24"/>
                <w:highlight w:val="none"/>
                <w:u w:val="single"/>
                <w:lang w:eastAsia="zh-CN"/>
              </w:rPr>
              <w:t>高位罐</w:t>
            </w:r>
            <w:r>
              <w:rPr>
                <w:rFonts w:hint="eastAsia" w:hAnsi="宋体"/>
                <w:color w:val="auto"/>
                <w:sz w:val="24"/>
                <w:szCs w:val="24"/>
                <w:highlight w:val="none"/>
                <w:u w:val="single"/>
              </w:rPr>
              <w:t>计量投加，</w:t>
            </w:r>
            <w:r>
              <w:rPr>
                <w:rFonts w:hint="eastAsia" w:hAnsi="宋体"/>
                <w:color w:val="auto"/>
                <w:sz w:val="24"/>
                <w:szCs w:val="24"/>
                <w:highlight w:val="none"/>
                <w:u w:val="single"/>
                <w:lang w:eastAsia="zh-CN"/>
              </w:rPr>
              <w:t>高位罐</w:t>
            </w:r>
            <w:r>
              <w:rPr>
                <w:rFonts w:hint="eastAsia" w:hAnsi="宋体"/>
                <w:color w:val="auto"/>
                <w:sz w:val="24"/>
                <w:szCs w:val="24"/>
                <w:highlight w:val="none"/>
                <w:u w:val="single"/>
              </w:rPr>
              <w:t>为密封槽，</w:t>
            </w:r>
            <w:r>
              <w:rPr>
                <w:rFonts w:hint="eastAsia" w:hAnsi="宋体"/>
                <w:color w:val="auto"/>
                <w:sz w:val="24"/>
                <w:szCs w:val="24"/>
                <w:highlight w:val="none"/>
                <w:u w:val="single"/>
                <w:lang w:val="en-US" w:eastAsia="zh-CN"/>
              </w:rPr>
              <w:t>96%浓硫酸</w:t>
            </w:r>
            <w:r>
              <w:rPr>
                <w:rFonts w:hint="eastAsia" w:hAnsi="宋体"/>
                <w:color w:val="auto"/>
                <w:sz w:val="24"/>
                <w:szCs w:val="24"/>
                <w:highlight w:val="none"/>
                <w:u w:val="single"/>
                <w:lang w:eastAsia="zh-CN"/>
              </w:rPr>
              <w:t>通过密闭管道输送至酸电解槽底，与水混合配制成稀硫酸，该过程</w:t>
            </w:r>
            <w:r>
              <w:rPr>
                <w:rFonts w:hAnsi="宋体"/>
                <w:color w:val="auto"/>
                <w:sz w:val="24"/>
                <w:szCs w:val="24"/>
                <w:highlight w:val="none"/>
                <w:u w:val="single"/>
              </w:rPr>
              <w:t>会有少量硫酸雾产生</w:t>
            </w:r>
            <w:r>
              <w:rPr>
                <w:rFonts w:hint="eastAsia" w:hAnsi="宋体"/>
                <w:color w:val="auto"/>
                <w:sz w:val="24"/>
                <w:szCs w:val="24"/>
                <w:highlight w:val="none"/>
                <w:u w:val="single"/>
                <w:lang w:eastAsia="zh-CN"/>
              </w:rPr>
              <w:t>（</w:t>
            </w:r>
            <w:r>
              <w:rPr>
                <w:rFonts w:hint="eastAsia" w:hAnsi="宋体"/>
                <w:color w:val="auto"/>
                <w:sz w:val="24"/>
                <w:szCs w:val="24"/>
                <w:highlight w:val="none"/>
                <w:u w:val="single"/>
                <w:lang w:val="en-US" w:eastAsia="zh-CN"/>
              </w:rPr>
              <w:t>G1</w:t>
            </w:r>
            <w:r>
              <w:rPr>
                <w:rFonts w:hint="eastAsia" w:hAnsi="宋体"/>
                <w:color w:val="auto"/>
                <w:sz w:val="24"/>
                <w:szCs w:val="24"/>
                <w:highlight w:val="none"/>
                <w:u w:val="single"/>
                <w:lang w:eastAsia="zh-CN"/>
              </w:rPr>
              <w:t>），</w:t>
            </w:r>
            <w:r>
              <w:rPr>
                <w:rFonts w:hint="eastAsia" w:hAnsi="宋体"/>
                <w:color w:val="auto"/>
                <w:sz w:val="24"/>
                <w:szCs w:val="24"/>
                <w:u w:val="single"/>
              </w:rPr>
              <w:t>在酸溶液中通以直流电，通过</w:t>
            </w:r>
            <w:r>
              <w:rPr>
                <w:color w:val="auto"/>
                <w:sz w:val="24"/>
                <w:szCs w:val="24"/>
                <w:u w:val="single"/>
              </w:rPr>
              <w:t>H</w:t>
            </w:r>
            <w:r>
              <w:rPr>
                <w:color w:val="auto"/>
                <w:sz w:val="24"/>
                <w:szCs w:val="24"/>
                <w:u w:val="single"/>
                <w:vertAlign w:val="superscript"/>
              </w:rPr>
              <w:t>+</w:t>
            </w:r>
            <w:r>
              <w:rPr>
                <w:rFonts w:hint="eastAsia" w:hAnsi="宋体"/>
                <w:color w:val="auto"/>
                <w:sz w:val="24"/>
                <w:szCs w:val="24"/>
                <w:u w:val="single"/>
              </w:rPr>
              <w:t>和水电解产生的氢气和氧气将钢丝表面的氧化皮、毛刺等物质清洁干净</w:t>
            </w:r>
            <w:r>
              <w:rPr>
                <w:rFonts w:hAnsi="宋体"/>
                <w:color w:val="auto"/>
                <w:sz w:val="24"/>
                <w:szCs w:val="24"/>
                <w:u w:val="single"/>
              </w:rPr>
              <w:t>。</w:t>
            </w:r>
            <w:r>
              <w:rPr>
                <w:rFonts w:hint="eastAsia" w:hAnsi="宋体"/>
                <w:color w:val="auto"/>
                <w:sz w:val="24"/>
                <w:szCs w:val="24"/>
                <w:u w:val="single"/>
              </w:rPr>
              <w:t>酸洗后</w:t>
            </w:r>
            <w:r>
              <w:rPr>
                <w:rFonts w:hint="eastAsia" w:hAnsi="宋体"/>
                <w:color w:val="auto"/>
                <w:sz w:val="24"/>
                <w:szCs w:val="24"/>
                <w:u w:val="single"/>
                <w:lang w:eastAsia="zh-CN"/>
              </w:rPr>
              <w:t>钢丝</w:t>
            </w:r>
            <w:r>
              <w:rPr>
                <w:rFonts w:hint="eastAsia" w:hAnsi="宋体"/>
                <w:color w:val="auto"/>
                <w:sz w:val="24"/>
                <w:szCs w:val="24"/>
                <w:u w:val="single"/>
              </w:rPr>
              <w:t>进行水洗，再进</w:t>
            </w:r>
            <w:r>
              <w:rPr>
                <w:rFonts w:hint="eastAsia" w:hAnsi="宋体"/>
                <w:color w:val="auto"/>
                <w:sz w:val="24"/>
                <w:szCs w:val="24"/>
                <w:u w:val="single"/>
                <w:lang w:eastAsia="zh-CN"/>
              </w:rPr>
              <w:t>电</w:t>
            </w:r>
            <w:r>
              <w:rPr>
                <w:rFonts w:hint="eastAsia" w:hAnsi="宋体"/>
                <w:color w:val="auto"/>
                <w:sz w:val="24"/>
                <w:szCs w:val="24"/>
                <w:u w:val="single"/>
              </w:rPr>
              <w:t>烘干机进行烘干</w:t>
            </w:r>
            <w:r>
              <w:rPr>
                <w:rFonts w:hint="eastAsia" w:hAnsi="宋体"/>
                <w:color w:val="auto"/>
                <w:sz w:val="24"/>
                <w:szCs w:val="24"/>
                <w:u w:val="single"/>
                <w:lang w:eastAsia="zh-CN"/>
              </w:rPr>
              <w:t>表面水分</w:t>
            </w:r>
            <w:r>
              <w:rPr>
                <w:rFonts w:hint="eastAsia" w:hAnsi="宋体"/>
                <w:color w:val="auto"/>
                <w:sz w:val="24"/>
                <w:szCs w:val="24"/>
                <w:u w:val="single"/>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auto"/>
                <w:sz w:val="24"/>
                <w:szCs w:val="24"/>
                <w:u w:val="none"/>
              </w:rPr>
            </w:pPr>
            <w:r>
              <w:rPr>
                <w:rFonts w:hint="eastAsia" w:hAnsi="宋体"/>
                <w:color w:val="auto"/>
                <w:sz w:val="24"/>
                <w:szCs w:val="24"/>
                <w:u w:val="none"/>
                <w:lang w:eastAsia="zh-CN"/>
              </w:rPr>
              <w:t>酸电解</w:t>
            </w:r>
            <w:r>
              <w:rPr>
                <w:rFonts w:hAnsi="宋体"/>
                <w:color w:val="auto"/>
                <w:sz w:val="24"/>
                <w:szCs w:val="24"/>
                <w:u w:val="none"/>
              </w:rPr>
              <w:t>主要反应方程式为：</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color w:val="auto"/>
                <w:sz w:val="24"/>
                <w:szCs w:val="24"/>
                <w:u w:val="none"/>
              </w:rPr>
            </w:pPr>
            <w:r>
              <w:rPr>
                <w:color w:val="auto"/>
                <w:sz w:val="24"/>
                <w:szCs w:val="24"/>
                <w:u w:val="none"/>
              </w:rPr>
              <w:t>6H</w:t>
            </w:r>
            <w:r>
              <w:rPr>
                <w:color w:val="auto"/>
                <w:sz w:val="24"/>
                <w:szCs w:val="24"/>
                <w:u w:val="none"/>
                <w:vertAlign w:val="superscript"/>
              </w:rPr>
              <w:t>+</w:t>
            </w:r>
            <w:r>
              <w:rPr>
                <w:color w:val="auto"/>
                <w:sz w:val="24"/>
                <w:szCs w:val="24"/>
                <w:u w:val="none"/>
              </w:rPr>
              <w:t>+Fe</w:t>
            </w:r>
            <w:r>
              <w:rPr>
                <w:color w:val="auto"/>
                <w:sz w:val="24"/>
                <w:szCs w:val="24"/>
                <w:u w:val="none"/>
                <w:vertAlign w:val="subscript"/>
              </w:rPr>
              <w:t>2</w:t>
            </w:r>
            <w:r>
              <w:rPr>
                <w:color w:val="auto"/>
                <w:sz w:val="24"/>
                <w:szCs w:val="24"/>
                <w:u w:val="none"/>
              </w:rPr>
              <w:t>O</w:t>
            </w:r>
            <w:r>
              <w:rPr>
                <w:color w:val="auto"/>
                <w:sz w:val="24"/>
                <w:szCs w:val="24"/>
                <w:u w:val="none"/>
                <w:vertAlign w:val="subscript"/>
              </w:rPr>
              <w:t>3</w:t>
            </w:r>
            <w:r>
              <w:rPr>
                <w:color w:val="auto"/>
                <w:sz w:val="24"/>
                <w:szCs w:val="24"/>
                <w:u w:val="none"/>
              </w:rPr>
              <w:t>=2Fe</w:t>
            </w:r>
            <w:r>
              <w:rPr>
                <w:color w:val="auto"/>
                <w:sz w:val="24"/>
                <w:szCs w:val="24"/>
                <w:u w:val="none"/>
                <w:vertAlign w:val="superscript"/>
              </w:rPr>
              <w:t>3+</w:t>
            </w:r>
            <w:r>
              <w:rPr>
                <w:color w:val="auto"/>
                <w:sz w:val="24"/>
                <w:szCs w:val="24"/>
                <w:u w:val="none"/>
              </w:rPr>
              <w:t>+3H</w:t>
            </w:r>
            <w:r>
              <w:rPr>
                <w:color w:val="auto"/>
                <w:sz w:val="24"/>
                <w:szCs w:val="24"/>
                <w:u w:val="none"/>
                <w:vertAlign w:val="subscript"/>
              </w:rPr>
              <w:t>2</w:t>
            </w:r>
            <w:r>
              <w:rPr>
                <w:color w:val="auto"/>
                <w:sz w:val="24"/>
                <w:szCs w:val="24"/>
                <w:u w:val="none"/>
              </w:rPr>
              <w:t>O</w:t>
            </w:r>
          </w:p>
          <w:p>
            <w:pPr>
              <w:pStyle w:val="102"/>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color w:val="auto"/>
                <w:szCs w:val="24"/>
                <w:u w:val="none"/>
              </w:rPr>
            </w:pPr>
            <w:r>
              <w:rPr>
                <w:color w:val="auto"/>
                <w:szCs w:val="24"/>
                <w:u w:val="none"/>
              </w:rPr>
              <w:t>2H</w:t>
            </w:r>
            <w:r>
              <w:rPr>
                <w:color w:val="auto"/>
                <w:szCs w:val="24"/>
                <w:u w:val="none"/>
                <w:vertAlign w:val="superscript"/>
              </w:rPr>
              <w:t>+</w:t>
            </w:r>
            <w:r>
              <w:rPr>
                <w:color w:val="auto"/>
                <w:szCs w:val="24"/>
                <w:u w:val="none"/>
              </w:rPr>
              <w:t>+2e=H</w:t>
            </w:r>
            <w:r>
              <w:rPr>
                <w:color w:val="auto"/>
                <w:szCs w:val="24"/>
                <w:u w:val="none"/>
                <w:vertAlign w:val="subscript"/>
              </w:rPr>
              <w:t>2</w:t>
            </w:r>
            <w:r>
              <w:rPr>
                <w:color w:val="auto"/>
                <w:szCs w:val="24"/>
                <w:u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color w:val="auto"/>
                <w:sz w:val="24"/>
                <w:szCs w:val="24"/>
                <w:u w:val="none"/>
              </w:rPr>
            </w:pPr>
            <w:r>
              <w:rPr>
                <w:color w:val="auto"/>
                <w:sz w:val="24"/>
                <w:szCs w:val="24"/>
                <w:u w:val="none"/>
              </w:rPr>
              <w:t>4OH</w:t>
            </w:r>
            <w:r>
              <w:rPr>
                <w:color w:val="auto"/>
                <w:sz w:val="24"/>
                <w:szCs w:val="24"/>
                <w:u w:val="none"/>
                <w:vertAlign w:val="superscript"/>
              </w:rPr>
              <w:t>-</w:t>
            </w:r>
            <w:r>
              <w:rPr>
                <w:color w:val="auto"/>
                <w:sz w:val="24"/>
                <w:szCs w:val="24"/>
                <w:u w:val="none"/>
              </w:rPr>
              <w:t>-4e=2H</w:t>
            </w:r>
            <w:r>
              <w:rPr>
                <w:color w:val="auto"/>
                <w:sz w:val="24"/>
                <w:szCs w:val="24"/>
                <w:u w:val="none"/>
                <w:vertAlign w:val="subscript"/>
              </w:rPr>
              <w:t>2</w:t>
            </w:r>
            <w:r>
              <w:rPr>
                <w:color w:val="auto"/>
                <w:sz w:val="24"/>
                <w:szCs w:val="24"/>
                <w:u w:val="none"/>
              </w:rPr>
              <w:t>O+O</w:t>
            </w:r>
            <w:r>
              <w:rPr>
                <w:color w:val="auto"/>
                <w:sz w:val="24"/>
                <w:szCs w:val="24"/>
                <w:u w:val="none"/>
                <w:vertAlign w:val="subscript"/>
              </w:rPr>
              <w:t>2</w:t>
            </w:r>
            <w:r>
              <w:rPr>
                <w:color w:val="auto"/>
                <w:sz w:val="24"/>
                <w:szCs w:val="24"/>
                <w:u w:val="none"/>
              </w:rPr>
              <w:t>↑</w:t>
            </w:r>
          </w:p>
          <w:p>
            <w:pPr>
              <w:pStyle w:val="62"/>
              <w:bidi w:val="0"/>
              <w:rPr>
                <w:rFonts w:hint="eastAsia" w:hAnsi="宋体" w:eastAsia="宋体"/>
                <w:color w:val="auto"/>
                <w:sz w:val="24"/>
                <w:szCs w:val="24"/>
                <w:lang w:eastAsia="zh-CN"/>
              </w:rPr>
            </w:pPr>
            <w:r>
              <w:rPr>
                <w:rFonts w:hAnsi="宋体"/>
                <w:color w:val="auto"/>
                <w:sz w:val="24"/>
                <w:szCs w:val="24"/>
                <w:u w:val="none"/>
              </w:rPr>
              <w:t>其工艺是：将若干个正负交替的电极呈直线非接触状态排列在电解酸洗溶液中，并保持钢丝与电极的非接触状态，通过电解液进行间接导电。电解槽采用电加热，采用恒温控制器控制反应槽温度为</w:t>
            </w:r>
            <w:r>
              <w:rPr>
                <w:rFonts w:hint="default" w:ascii="Times New Roman" w:hAnsi="Times New Roman" w:eastAsia="宋体" w:cs="Times New Roman"/>
                <w:b w:val="0"/>
                <w:bCs w:val="0"/>
                <w:color w:val="auto"/>
                <w:kern w:val="2"/>
                <w:sz w:val="24"/>
                <w:szCs w:val="24"/>
                <w:highlight w:val="none"/>
                <w:lang w:val="en-US" w:eastAsia="zh-CN" w:bidi="ar-SA"/>
              </w:rPr>
              <w:t>20℃~35℃</w:t>
            </w:r>
            <w:r>
              <w:rPr>
                <w:rFonts w:hAnsi="宋体"/>
                <w:color w:val="auto"/>
                <w:sz w:val="24"/>
                <w:szCs w:val="24"/>
                <w:u w:val="none"/>
              </w:rPr>
              <w:t>。当钢丝作为阳极时，钢丝毛刺以及凸起部位的电阻较小，而在凹下的部位电阻较大，因此在钢丝凸起毛刺的部位电流密度就比凹下部位的电流密度高，这样，钢丝表面凸起、毛刺就加速自身溶解，故电解酸洗过的钢丝表面光滑、平整。当钢丝作为阴极时，钢丝表面只以化学脱脂为主。</w:t>
            </w:r>
          </w:p>
          <w:p>
            <w:pPr>
              <w:pStyle w:val="62"/>
              <w:numPr>
                <w:ilvl w:val="0"/>
                <w:numId w:val="20"/>
              </w:numPr>
              <w:bidi w:val="0"/>
              <w:rPr>
                <w:rFonts w:hint="eastAsia"/>
                <w:b/>
                <w:bCs/>
                <w:color w:val="auto"/>
                <w:sz w:val="24"/>
                <w:szCs w:val="24"/>
                <w:highlight w:val="none"/>
                <w:u w:val="none"/>
                <w:vertAlign w:val="baseline"/>
                <w:lang w:val="en-US" w:eastAsia="zh-CN"/>
              </w:rPr>
            </w:pPr>
            <w:r>
              <w:rPr>
                <w:rFonts w:hint="eastAsia"/>
                <w:b/>
                <w:bCs/>
                <w:color w:val="auto"/>
                <w:sz w:val="24"/>
                <w:szCs w:val="24"/>
                <w:highlight w:val="none"/>
                <w:u w:val="none"/>
                <w:vertAlign w:val="baseline"/>
                <w:lang w:val="en-US" w:eastAsia="zh-CN"/>
              </w:rPr>
              <w:t>氨分解氢退火：</w:t>
            </w:r>
            <w:r>
              <w:rPr>
                <w:rFonts w:hint="eastAsia" w:hAnsi="宋体"/>
                <w:color w:val="auto"/>
                <w:sz w:val="24"/>
                <w:szCs w:val="24"/>
              </w:rPr>
              <w:t>利用发热管对炉内温度（1000~1080℃）进行调节，控制钢丝退火质量，保持足够时间，采用间接循环冷却水进行冷却，从而使线材的硬度降低，塑性和韧性改善，得到预期的物理性能。</w:t>
            </w:r>
          </w:p>
          <w:p>
            <w:pPr>
              <w:pStyle w:val="62"/>
              <w:numPr>
                <w:ilvl w:val="0"/>
                <w:numId w:val="0"/>
              </w:numPr>
              <w:bidi w:val="0"/>
              <w:ind w:firstLine="480" w:firstLineChars="200"/>
              <w:rPr>
                <w:rFonts w:hint="eastAsia"/>
                <w:b w:val="0"/>
                <w:bCs w:val="0"/>
                <w:color w:val="auto"/>
                <w:sz w:val="24"/>
                <w:szCs w:val="24"/>
                <w:highlight w:val="none"/>
                <w:u w:val="none"/>
                <w:vertAlign w:val="baseline"/>
                <w:lang w:val="en-US" w:eastAsia="zh-CN"/>
              </w:rPr>
            </w:pPr>
            <w:r>
              <w:rPr>
                <w:rFonts w:hint="eastAsia"/>
                <w:b w:val="0"/>
                <w:bCs w:val="0"/>
                <w:color w:val="auto"/>
                <w:sz w:val="24"/>
                <w:szCs w:val="24"/>
                <w:highlight w:val="none"/>
                <w:u w:val="none"/>
                <w:vertAlign w:val="baseline"/>
                <w:lang w:val="en-US" w:eastAsia="zh-CN"/>
              </w:rPr>
              <w:t>项目氢气退火炉采用电加热，保护气采用液氨经氨蒸发器汽化、氨分解装置分解后得到的氢气和氮气的混合气体。将氮气和氢气的混合气体作为保护气体通入退火炉内罩，氮气起到保护作用，氢气起到还原作用，可以防止在退火过程中丝材表面氧化，保证丝材具备一定的光亮度，最终氢气在出口点燃。按退火工艺曲线进行加热，对不锈钢线材进行退火，并利用适应发热管对炉内的温度进行调节，控制合金退火质量。</w:t>
            </w:r>
          </w:p>
          <w:p>
            <w:pPr>
              <w:pStyle w:val="62"/>
              <w:bidi w:val="0"/>
              <w:rPr>
                <w:rFonts w:hint="eastAsia"/>
                <w:b w:val="0"/>
                <w:bCs w:val="0"/>
                <w:color w:val="auto"/>
                <w:sz w:val="24"/>
                <w:szCs w:val="24"/>
                <w:highlight w:val="none"/>
                <w:u w:val="none"/>
                <w:vertAlign w:val="baseline"/>
                <w:lang w:val="en-US" w:eastAsia="zh-CN"/>
              </w:rPr>
            </w:pPr>
            <w:r>
              <w:rPr>
                <w:rFonts w:hint="eastAsia"/>
                <w:b w:val="0"/>
                <w:bCs w:val="0"/>
                <w:color w:val="auto"/>
                <w:sz w:val="24"/>
                <w:szCs w:val="24"/>
                <w:highlight w:val="none"/>
                <w:u w:val="single"/>
                <w:vertAlign w:val="baseline"/>
                <w:lang w:val="en-US" w:eastAsia="zh-CN"/>
              </w:rPr>
              <w:t>氢气和氮气以液氨为原料通过分解炉分解生成，分解在800~850℃(电加热)、0.6MPa压力及镍基催化剂条件下进行，裂解方程式为：2NH</w:t>
            </w:r>
            <w:r>
              <w:rPr>
                <w:rFonts w:hint="eastAsia"/>
                <w:b w:val="0"/>
                <w:bCs w:val="0"/>
                <w:color w:val="auto"/>
                <w:sz w:val="24"/>
                <w:szCs w:val="24"/>
                <w:highlight w:val="none"/>
                <w:u w:val="single"/>
                <w:vertAlign w:val="subscript"/>
                <w:lang w:val="en-US" w:eastAsia="zh-CN"/>
              </w:rPr>
              <w:t>3=</w:t>
            </w:r>
            <w:r>
              <w:rPr>
                <w:rFonts w:hint="eastAsia"/>
                <w:b w:val="0"/>
                <w:bCs w:val="0"/>
                <w:color w:val="auto"/>
                <w:sz w:val="24"/>
                <w:szCs w:val="24"/>
                <w:highlight w:val="none"/>
                <w:u w:val="single"/>
                <w:vertAlign w:val="baseline"/>
                <w:lang w:val="en-US" w:eastAsia="zh-CN"/>
              </w:rPr>
              <w:t>3H</w:t>
            </w:r>
            <w:r>
              <w:rPr>
                <w:rFonts w:hint="eastAsia"/>
                <w:b w:val="0"/>
                <w:bCs w:val="0"/>
                <w:color w:val="auto"/>
                <w:sz w:val="24"/>
                <w:szCs w:val="24"/>
                <w:highlight w:val="none"/>
                <w:u w:val="single"/>
                <w:vertAlign w:val="subscript"/>
                <w:lang w:val="en-US" w:eastAsia="zh-CN"/>
              </w:rPr>
              <w:t>2</w:t>
            </w:r>
            <w:r>
              <w:rPr>
                <w:rFonts w:hint="eastAsia"/>
                <w:b w:val="0"/>
                <w:bCs w:val="0"/>
                <w:color w:val="auto"/>
                <w:sz w:val="24"/>
                <w:szCs w:val="24"/>
                <w:highlight w:val="none"/>
                <w:u w:val="single"/>
                <w:vertAlign w:val="baseline"/>
                <w:lang w:val="en-US" w:eastAsia="zh-CN"/>
              </w:rPr>
              <w:t>+N</w:t>
            </w:r>
            <w:r>
              <w:rPr>
                <w:rFonts w:hint="eastAsia"/>
                <w:b w:val="0"/>
                <w:bCs w:val="0"/>
                <w:color w:val="auto"/>
                <w:sz w:val="24"/>
                <w:szCs w:val="24"/>
                <w:highlight w:val="none"/>
                <w:u w:val="single"/>
                <w:vertAlign w:val="subscript"/>
                <w:lang w:val="en-US" w:eastAsia="zh-CN"/>
              </w:rPr>
              <w:t>2</w:t>
            </w:r>
            <w:r>
              <w:rPr>
                <w:rFonts w:hint="eastAsia"/>
                <w:b w:val="0"/>
                <w:bCs w:val="0"/>
                <w:color w:val="auto"/>
                <w:sz w:val="24"/>
                <w:szCs w:val="24"/>
                <w:highlight w:val="none"/>
                <w:u w:val="single"/>
                <w:vertAlign w:val="baseline"/>
                <w:lang w:val="en-US" w:eastAsia="zh-CN"/>
              </w:rPr>
              <w:t>。</w:t>
            </w:r>
            <w:r>
              <w:rPr>
                <w:rFonts w:hint="eastAsia"/>
                <w:b w:val="0"/>
                <w:bCs w:val="0"/>
                <w:color w:val="auto"/>
                <w:sz w:val="24"/>
                <w:szCs w:val="24"/>
                <w:highlight w:val="none"/>
                <w:u w:val="none"/>
                <w:vertAlign w:val="baseline"/>
                <w:lang w:val="en-US" w:eastAsia="zh-CN"/>
              </w:rPr>
              <w:t>生成的氢气和氮气中会残余少量未分解的氨气，分解率达99%，需进分子装置将残余的氨气吸附，吸附效率为95%，吸附提纯后的氮、氢混合气则通过管道直接输入到退火装置。</w:t>
            </w:r>
          </w:p>
          <w:p>
            <w:pPr>
              <w:pStyle w:val="62"/>
              <w:bidi w:val="0"/>
              <w:rPr>
                <w:rFonts w:hint="eastAsia" w:hAnsi="宋体"/>
                <w:color w:val="auto"/>
                <w:sz w:val="24"/>
                <w:szCs w:val="24"/>
              </w:rPr>
            </w:pPr>
            <w:r>
              <w:rPr>
                <w:rFonts w:hint="eastAsia"/>
                <w:b w:val="0"/>
                <w:bCs w:val="0"/>
                <w:color w:val="auto"/>
                <w:sz w:val="24"/>
                <w:szCs w:val="24"/>
                <w:highlight w:val="none"/>
                <w:u w:val="none"/>
                <w:vertAlign w:val="baseline"/>
                <w:lang w:val="en-US" w:eastAsia="zh-CN"/>
              </w:rPr>
              <w:t>本项目采用双分子筛装置(一个分子筛吸附的同时另一个分子筛进行解析)，分子筛吸附结束后将氨气解析出来回到分解炉继续分解，分子主要利用分子筛的大比</w:t>
            </w:r>
            <w:r>
              <w:rPr>
                <w:rFonts w:hint="eastAsia"/>
                <w:color w:val="auto"/>
                <w:sz w:val="24"/>
                <w:szCs w:val="24"/>
                <w:highlight w:val="none"/>
                <w:u w:val="none"/>
              </w:rPr>
              <w:t>表面积和极性吸附达到对残余氨的深度吸附</w:t>
            </w:r>
            <w:r>
              <w:rPr>
                <w:rFonts w:hint="eastAsia"/>
                <w:color w:val="auto"/>
                <w:sz w:val="24"/>
                <w:szCs w:val="24"/>
                <w:highlight w:val="none"/>
                <w:u w:val="none"/>
                <w:lang w:eastAsia="zh-CN"/>
              </w:rPr>
              <w:t>；</w:t>
            </w:r>
            <w:r>
              <w:rPr>
                <w:rFonts w:hint="eastAsia"/>
                <w:color w:val="auto"/>
                <w:sz w:val="24"/>
                <w:szCs w:val="24"/>
                <w:highlight w:val="none"/>
                <w:u w:val="none"/>
              </w:rPr>
              <w:t>解析在电加热状态下(300~350℃)能够解析出吸附的残余氨。本项目氨分解炉密封性优良，车间设有有毒有害气体泄漏监控预警系统，当空气中的氨气体积浓度达到25ppm时就会报警。</w:t>
            </w:r>
            <w:r>
              <w:rPr>
                <w:rFonts w:hint="eastAsia"/>
                <w:color w:val="auto"/>
                <w:sz w:val="24"/>
                <w:szCs w:val="24"/>
                <w:highlight w:val="none"/>
                <w:u w:val="none"/>
                <w:lang w:eastAsia="zh-CN"/>
              </w:rPr>
              <w:t>由供应商运输液氨罐，厂区无卸料逸散氨气，</w:t>
            </w:r>
            <w:r>
              <w:rPr>
                <w:rFonts w:hint="eastAsia" w:ascii="Times New Roman" w:hAnsi="Times New Roman" w:eastAsia="宋体" w:cs="Times New Roman"/>
                <w:color w:val="auto"/>
                <w:kern w:val="0"/>
                <w:sz w:val="24"/>
                <w:szCs w:val="24"/>
                <w:u w:val="none" w:color="auto"/>
                <w:lang w:val="en-US" w:eastAsia="zh-CN" w:bidi="ar"/>
              </w:rPr>
              <w:t>液氨在输送过程采用密闭管道，且使用高压贮罐，故不考虑输送过程液氨的挥发。</w:t>
            </w:r>
          </w:p>
          <w:p>
            <w:pPr>
              <w:pStyle w:val="62"/>
              <w:bidi w:val="0"/>
              <w:rPr>
                <w:rFonts w:hint="default"/>
                <w:color w:val="auto"/>
                <w:sz w:val="24"/>
                <w:szCs w:val="24"/>
                <w:highlight w:val="none"/>
                <w:u w:val="none"/>
                <w:vertAlign w:val="baseline"/>
                <w:lang w:val="en-US" w:eastAsia="zh-CN"/>
              </w:rPr>
            </w:pPr>
            <w:r>
              <w:rPr>
                <w:rFonts w:hint="eastAsia" w:hAnsi="宋体"/>
                <w:b/>
                <w:bCs/>
                <w:color w:val="auto"/>
                <w:sz w:val="24"/>
                <w:szCs w:val="24"/>
                <w:lang w:eastAsia="zh-CN"/>
              </w:rPr>
              <w:t>（</w:t>
            </w:r>
            <w:r>
              <w:rPr>
                <w:rFonts w:hint="eastAsia" w:hAnsi="宋体"/>
                <w:b/>
                <w:bCs/>
                <w:color w:val="auto"/>
                <w:sz w:val="24"/>
                <w:szCs w:val="24"/>
                <w:lang w:val="en-US" w:eastAsia="zh-CN"/>
              </w:rPr>
              <w:t>6</w:t>
            </w:r>
            <w:r>
              <w:rPr>
                <w:rFonts w:hint="eastAsia" w:hAnsi="宋体"/>
                <w:b/>
                <w:bCs/>
                <w:color w:val="auto"/>
                <w:sz w:val="24"/>
                <w:szCs w:val="24"/>
                <w:lang w:eastAsia="zh-CN"/>
              </w:rPr>
              <w:t>）精拔</w:t>
            </w:r>
            <w:r>
              <w:rPr>
                <w:rFonts w:hint="eastAsia" w:hAnsi="宋体"/>
                <w:color w:val="auto"/>
                <w:sz w:val="24"/>
                <w:szCs w:val="24"/>
                <w:lang w:eastAsia="zh-CN"/>
              </w:rPr>
              <w:t>：</w:t>
            </w:r>
            <w:r>
              <w:rPr>
                <w:rFonts w:hint="eastAsia" w:hAnsi="宋体"/>
                <w:color w:val="auto"/>
                <w:sz w:val="24"/>
                <w:szCs w:val="24"/>
              </w:rPr>
              <w:t>经退火后的1.6~5mm的不锈钢焊丝再根据产品用途分别经精拉、单头拉、倒立拉的工序拉成不同类型的不锈钢焊丝。</w:t>
            </w:r>
          </w:p>
          <w:p>
            <w:pPr>
              <w:pStyle w:val="62"/>
              <w:bidi w:val="0"/>
              <w:rPr>
                <w:rFonts w:hint="eastAsia"/>
                <w:color w:val="auto"/>
                <w:sz w:val="24"/>
                <w:szCs w:val="24"/>
                <w:highlight w:val="none"/>
                <w:u w:val="none"/>
                <w:vertAlign w:val="baseline"/>
                <w:lang w:val="en-US" w:eastAsia="zh-CN"/>
              </w:rPr>
            </w:pPr>
            <w:r>
              <w:rPr>
                <w:rFonts w:hint="eastAsia"/>
                <w:color w:val="auto"/>
                <w:sz w:val="24"/>
                <w:szCs w:val="24"/>
                <w:highlight w:val="none"/>
                <w:u w:val="none"/>
                <w:vertAlign w:val="baseline"/>
                <w:lang w:val="en-US" w:eastAsia="zh-CN"/>
              </w:rPr>
              <w:t>一是通过精拉工序拉拔到相应尺寸后，进行后处理工序，然后通过层绕机将焊丝缠绕到焊丝盘上，生产出盘装不锈钢焊丝；</w:t>
            </w:r>
          </w:p>
          <w:p>
            <w:pPr>
              <w:pStyle w:val="62"/>
              <w:bidi w:val="0"/>
              <w:rPr>
                <w:rFonts w:hint="eastAsia"/>
                <w:color w:val="auto"/>
                <w:sz w:val="24"/>
                <w:szCs w:val="24"/>
                <w:highlight w:val="none"/>
                <w:u w:val="none"/>
                <w:vertAlign w:val="baseline"/>
                <w:lang w:val="en-US" w:eastAsia="zh-CN"/>
              </w:rPr>
            </w:pPr>
            <w:r>
              <w:rPr>
                <w:rFonts w:hint="eastAsia"/>
                <w:color w:val="auto"/>
                <w:sz w:val="24"/>
                <w:szCs w:val="24"/>
                <w:highlight w:val="none"/>
                <w:u w:val="none"/>
                <w:vertAlign w:val="baseline"/>
                <w:lang w:val="en-US" w:eastAsia="zh-CN"/>
              </w:rPr>
              <w:t>二是通过单头拉工序拉拔到相应尺寸后，再通过切丝工序，送入清洗机对</w:t>
            </w:r>
            <w:r>
              <w:rPr>
                <w:rFonts w:hint="eastAsia"/>
                <w:color w:val="auto"/>
                <w:sz w:val="24"/>
                <w:szCs w:val="24"/>
                <w:lang w:val="en-US" w:eastAsia="zh-CN"/>
              </w:rPr>
              <w:t>焊丝</w:t>
            </w:r>
            <w:r>
              <w:rPr>
                <w:rFonts w:hint="eastAsia"/>
                <w:color w:val="auto"/>
                <w:sz w:val="24"/>
                <w:szCs w:val="24"/>
                <w:highlight w:val="none"/>
                <w:u w:val="none"/>
                <w:vertAlign w:val="baseline"/>
                <w:lang w:val="en-US" w:eastAsia="zh-CN"/>
              </w:rPr>
              <w:t>表面进行清洗，去除钢带表面的油污，生产出直条不锈钢焊丝；</w:t>
            </w:r>
          </w:p>
          <w:p>
            <w:pPr>
              <w:pStyle w:val="62"/>
              <w:bidi w:val="0"/>
              <w:rPr>
                <w:rFonts w:hint="eastAsia"/>
                <w:color w:val="auto"/>
                <w:sz w:val="24"/>
                <w:szCs w:val="24"/>
                <w:highlight w:val="none"/>
                <w:u w:val="none"/>
                <w:vertAlign w:val="baseline"/>
                <w:lang w:val="en-US" w:eastAsia="zh-CN"/>
              </w:rPr>
            </w:pPr>
            <w:r>
              <w:rPr>
                <w:rFonts w:hint="eastAsia"/>
                <w:color w:val="auto"/>
                <w:sz w:val="24"/>
                <w:szCs w:val="24"/>
                <w:highlight w:val="none"/>
                <w:u w:val="none"/>
                <w:vertAlign w:val="baseline"/>
                <w:lang w:val="en-US" w:eastAsia="zh-CN"/>
              </w:rPr>
              <w:t>三是通过倒立拉丝工序拉拔到相应尺寸后，再通过收卷生产出卷装不锈钢焊丝。</w:t>
            </w:r>
          </w:p>
          <w:p>
            <w:pPr>
              <w:pStyle w:val="62"/>
              <w:bidi w:val="0"/>
              <w:rPr>
                <w:rFonts w:hint="eastAsia"/>
                <w:color w:val="auto"/>
                <w:sz w:val="24"/>
                <w:szCs w:val="24"/>
                <w:highlight w:val="none"/>
                <w:u w:val="none"/>
                <w:vertAlign w:val="baseline"/>
                <w:lang w:val="en-US" w:eastAsia="zh-CN"/>
              </w:rPr>
            </w:pPr>
            <w:r>
              <w:rPr>
                <w:rFonts w:hint="eastAsia"/>
                <w:color w:val="auto"/>
                <w:sz w:val="24"/>
                <w:szCs w:val="24"/>
                <w:highlight w:val="none"/>
                <w:u w:val="none"/>
                <w:vertAlign w:val="baseline"/>
                <w:lang w:val="en-US" w:eastAsia="zh-CN"/>
              </w:rPr>
              <w:t>最后，对上述三种形式生产的焊丝包装入库。</w:t>
            </w:r>
          </w:p>
          <w:p>
            <w:pPr>
              <w:pStyle w:val="62"/>
              <w:bidi w:val="0"/>
              <w:rPr>
                <w:rFonts w:hint="eastAsia"/>
                <w:color w:val="auto"/>
                <w:sz w:val="24"/>
                <w:szCs w:val="24"/>
                <w:highlight w:val="none"/>
                <w:u w:val="none"/>
              </w:rPr>
            </w:pPr>
            <w:r>
              <w:rPr>
                <w:rFonts w:hint="eastAsia"/>
                <w:b w:val="0"/>
                <w:bCs w:val="0"/>
                <w:color w:val="auto"/>
                <w:sz w:val="24"/>
                <w:szCs w:val="24"/>
                <w:highlight w:val="none"/>
                <w:u w:val="single"/>
                <w:vertAlign w:val="baseline"/>
                <w:lang w:val="en-US" w:eastAsia="zh-CN"/>
              </w:rPr>
              <w:t>（7）</w:t>
            </w:r>
            <w:r>
              <w:rPr>
                <w:rFonts w:hint="eastAsia"/>
                <w:b/>
                <w:bCs/>
                <w:color w:val="auto"/>
                <w:sz w:val="24"/>
                <w:szCs w:val="24"/>
                <w:highlight w:val="none"/>
                <w:u w:val="single"/>
                <w:vertAlign w:val="baseline"/>
                <w:lang w:val="en-US" w:eastAsia="zh-CN"/>
              </w:rPr>
              <w:t>后处理</w:t>
            </w:r>
            <w:r>
              <w:rPr>
                <w:rFonts w:hint="eastAsia"/>
                <w:b w:val="0"/>
                <w:bCs w:val="0"/>
                <w:color w:val="auto"/>
                <w:sz w:val="24"/>
                <w:szCs w:val="24"/>
                <w:highlight w:val="none"/>
                <w:u w:val="single"/>
                <w:vertAlign w:val="baseline"/>
                <w:lang w:val="en-US" w:eastAsia="zh-CN"/>
              </w:rPr>
              <w:t>：采用电解酸洗工艺彻底清除线材表面残余的氧化皮等，并经水洗、烘干，以确保线材进入涂膜工艺前表面清洁，涂膜槽采用皮膜剂，皮膜剂保护不锈钢表面涂层，能有效防止不锈钢表面发生氧化反应，延长不锈钢的使用寿命。</w:t>
            </w:r>
          </w:p>
          <w:p>
            <w:pPr>
              <w:pStyle w:val="60"/>
              <w:bidi w:val="0"/>
              <w:rPr>
                <w:rFonts w:hint="default"/>
                <w:color w:val="auto"/>
                <w:u w:val="none"/>
                <w:lang w:val="en-US" w:eastAsia="zh-CN"/>
              </w:rPr>
            </w:pPr>
            <w:r>
              <w:rPr>
                <w:rFonts w:hint="default"/>
                <w:color w:val="auto"/>
                <w:u w:val="none"/>
                <w:lang w:val="en-US" w:eastAsia="zh-CN"/>
              </w:rPr>
              <w:object>
                <v:shape id="_x0000_i1027" o:spt="75" type="#_x0000_t75" style="height:663.75pt;width:405.1pt;" o:ole="t" filled="f" o:preferrelative="t" stroked="f" coordsize="21600,21600">
                  <v:path/>
                  <v:fill on="f" focussize="0,0"/>
                  <v:stroke on="f"/>
                  <v:imagedata r:id="rId18" croptop="2509f" cropbottom="1295f" o:title=""/>
                  <o:lock v:ext="edit" aspectratio="f"/>
                  <w10:wrap type="none"/>
                  <w10:anchorlock/>
                </v:shape>
                <o:OLEObject Type="Embed" ProgID="Visio.Drawing.15" ShapeID="_x0000_i1027" DrawAspect="Content" ObjectID="_1468075727" r:id="rId17">
                  <o:LockedField>false</o:LockedField>
                </o:OLEObject>
              </w:object>
            </w:r>
          </w:p>
          <w:p>
            <w:pPr>
              <w:pStyle w:val="60"/>
              <w:bidi w:val="0"/>
              <w:rPr>
                <w:rFonts w:hint="default"/>
                <w:color w:val="auto"/>
                <w:u w:val="single"/>
                <w:lang w:val="en-US" w:eastAsia="zh-CN"/>
              </w:rPr>
            </w:pPr>
            <w:r>
              <w:rPr>
                <w:rFonts w:hint="eastAsia"/>
                <w:color w:val="auto"/>
                <w:sz w:val="24"/>
                <w:szCs w:val="24"/>
                <w:u w:val="single"/>
                <w:lang w:val="en-US" w:eastAsia="zh-CN"/>
              </w:rPr>
              <w:t>图2.9-2不锈钢焊丝生产工艺流程图</w:t>
            </w:r>
          </w:p>
          <w:p>
            <w:pPr>
              <w:pStyle w:val="25"/>
              <w:widowControl w:val="0"/>
              <w:autoSpaceDE w:val="0"/>
              <w:autoSpaceDN w:val="0"/>
              <w:adjustRightInd w:val="0"/>
              <w:spacing w:before="0" w:beforeAutospacing="0" w:after="0" w:afterAutospacing="0" w:line="360" w:lineRule="auto"/>
              <w:rPr>
                <w:rFonts w:hint="eastAsia" w:ascii="Times New Roman" w:hAnsi="Times New Roman" w:cs="Times New Roman"/>
                <w:b/>
                <w:bCs/>
                <w:color w:val="auto"/>
                <w:sz w:val="24"/>
                <w:szCs w:val="24"/>
                <w:highlight w:val="none"/>
                <w:u w:val="none"/>
                <w:lang w:val="en-US" w:eastAsia="zh-CN" w:bidi="ar"/>
              </w:rPr>
            </w:pPr>
            <w:r>
              <w:rPr>
                <w:rFonts w:hint="eastAsia" w:ascii="Times New Roman" w:hAnsi="Times New Roman" w:cs="Times New Roman"/>
                <w:b/>
                <w:bCs/>
                <w:color w:val="auto"/>
                <w:sz w:val="24"/>
                <w:szCs w:val="24"/>
                <w:highlight w:val="none"/>
                <w:u w:val="none"/>
                <w:lang w:val="en-US" w:eastAsia="zh-CN" w:bidi="ar"/>
              </w:rPr>
              <w:t>（2）药芯焊丝生产工艺流程</w:t>
            </w:r>
          </w:p>
          <w:p>
            <w:pPr>
              <w:pStyle w:val="25"/>
              <w:widowControl w:val="0"/>
              <w:autoSpaceDE w:val="0"/>
              <w:autoSpaceDN w:val="0"/>
              <w:adjustRightInd w:val="0"/>
              <w:spacing w:before="0" w:beforeAutospacing="0" w:after="0" w:afterAutospacing="0" w:line="360" w:lineRule="auto"/>
              <w:jc w:val="center"/>
              <w:rPr>
                <w:rFonts w:hint="default"/>
                <w:color w:val="auto"/>
                <w:highlight w:val="none"/>
                <w:u w:val="none"/>
                <w:lang w:val="en-US" w:eastAsia="zh-CN"/>
              </w:rPr>
            </w:pPr>
            <w:r>
              <w:rPr>
                <w:rFonts w:hint="default"/>
                <w:color w:val="auto"/>
                <w:highlight w:val="none"/>
                <w:u w:val="none"/>
                <w:lang w:val="en-US" w:eastAsia="zh-CN"/>
              </w:rPr>
              <w:object>
                <v:shape id="_x0000_i1028" o:spt="75" type="#_x0000_t75" style="height:278.1pt;width:360.75pt;" o:ole="t" filled="f" o:preferrelative="t" stroked="f" coordsize="21600,21600">
                  <v:path/>
                  <v:fill on="f" focussize="0,0"/>
                  <v:stroke on="f"/>
                  <v:imagedata r:id="rId20" croptop="4175f" cropbottom="3112f" o:title=""/>
                  <o:lock v:ext="edit" aspectratio="f"/>
                  <w10:wrap type="none"/>
                  <w10:anchorlock/>
                </v:shape>
                <o:OLEObject Type="Embed" ProgID="Visio.Drawing.15" ShapeID="_x0000_i1028" DrawAspect="Content" ObjectID="_1468075728" r:id="rId19">
                  <o:LockedField>false</o:LockedField>
                </o:OLEObject>
              </w:object>
            </w:r>
          </w:p>
          <w:p>
            <w:pPr>
              <w:pStyle w:val="25"/>
              <w:widowControl w:val="0"/>
              <w:autoSpaceDE w:val="0"/>
              <w:autoSpaceDN w:val="0"/>
              <w:adjustRightInd w:val="0"/>
              <w:spacing w:before="0" w:beforeAutospacing="0" w:after="0" w:afterAutospacing="0" w:line="360" w:lineRule="auto"/>
              <w:jc w:val="center"/>
              <w:rPr>
                <w:rFonts w:hint="default" w:ascii="Times New Roman" w:hAnsi="Times New Roman" w:cs="Times New Roman"/>
                <w:b/>
                <w:bCs/>
                <w:color w:val="auto"/>
                <w:sz w:val="24"/>
                <w:szCs w:val="24"/>
                <w:highlight w:val="none"/>
                <w:u w:val="single"/>
                <w:lang w:val="en-US" w:eastAsia="zh-CN"/>
              </w:rPr>
            </w:pPr>
            <w:r>
              <w:rPr>
                <w:rFonts w:hint="default" w:ascii="Times New Roman" w:hAnsi="Times New Roman" w:cs="Times New Roman"/>
                <w:b/>
                <w:bCs/>
                <w:color w:val="auto"/>
                <w:sz w:val="24"/>
                <w:szCs w:val="24"/>
                <w:highlight w:val="none"/>
                <w:u w:val="single"/>
                <w:lang w:val="en-US" w:eastAsia="zh-CN"/>
              </w:rPr>
              <w:t>图2.</w:t>
            </w:r>
            <w:r>
              <w:rPr>
                <w:rFonts w:hint="eastAsia" w:ascii="Times New Roman" w:hAnsi="Times New Roman" w:cs="Times New Roman"/>
                <w:b/>
                <w:bCs/>
                <w:color w:val="auto"/>
                <w:sz w:val="24"/>
                <w:szCs w:val="24"/>
                <w:highlight w:val="none"/>
                <w:u w:val="single"/>
                <w:lang w:val="en-US" w:eastAsia="zh-CN"/>
              </w:rPr>
              <w:t>9</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highlight w:val="none"/>
                <w:u w:val="single"/>
                <w:lang w:val="en-US" w:eastAsia="zh-CN"/>
              </w:rPr>
              <w:t>3</w:t>
            </w:r>
            <w:r>
              <w:rPr>
                <w:rFonts w:hint="default" w:ascii="Times New Roman" w:hAnsi="Times New Roman" w:cs="Times New Roman"/>
                <w:b/>
                <w:bCs/>
                <w:color w:val="auto"/>
                <w:sz w:val="24"/>
                <w:szCs w:val="24"/>
                <w:highlight w:val="none"/>
                <w:u w:val="single"/>
                <w:lang w:val="en-US" w:eastAsia="zh-CN"/>
              </w:rPr>
              <w:t>药芯焊丝生产工艺流程图</w:t>
            </w:r>
          </w:p>
          <w:p>
            <w:pPr>
              <w:pStyle w:val="25"/>
              <w:widowControl w:val="0"/>
              <w:autoSpaceDE w:val="0"/>
              <w:autoSpaceDN w:val="0"/>
              <w:adjustRightInd w:val="0"/>
              <w:spacing w:before="0" w:beforeAutospacing="0" w:after="0" w:afterAutospacing="0" w:line="360" w:lineRule="auto"/>
              <w:ind w:firstLine="480" w:firstLineChars="200"/>
              <w:rPr>
                <w:rFonts w:hint="eastAsia" w:ascii="Times New Roman" w:hAnsi="Times New Roman" w:eastAsia="宋体" w:cs="Times New Roman"/>
                <w:color w:val="auto"/>
                <w:szCs w:val="24"/>
                <w:highlight w:val="none"/>
                <w:u w:val="single"/>
                <w:lang w:eastAsia="zh-CN"/>
              </w:rPr>
            </w:pPr>
            <w:r>
              <w:rPr>
                <w:rFonts w:hint="default" w:ascii="Times New Roman" w:hAnsi="Times New Roman" w:cs="Times New Roman"/>
                <w:color w:val="auto"/>
                <w:szCs w:val="24"/>
                <w:highlight w:val="none"/>
                <w:u w:val="single"/>
              </w:rPr>
              <w:t>生产药芯焊丝主要是采用冷轧钢带和矿粉为原料</w:t>
            </w:r>
            <w:r>
              <w:rPr>
                <w:rFonts w:hint="eastAsia" w:ascii="Times New Roman" w:hAnsi="Times New Roman" w:cs="Times New Roman"/>
                <w:color w:val="auto"/>
                <w:szCs w:val="24"/>
                <w:highlight w:val="none"/>
                <w:u w:val="single"/>
                <w:lang w:eastAsia="zh-CN"/>
              </w:rPr>
              <w:t>。</w:t>
            </w:r>
          </w:p>
          <w:p>
            <w:pPr>
              <w:pStyle w:val="25"/>
              <w:widowControl w:val="0"/>
              <w:autoSpaceDE w:val="0"/>
              <w:autoSpaceDN w:val="0"/>
              <w:adjustRightInd w:val="0"/>
              <w:spacing w:before="0" w:beforeAutospacing="0" w:after="0" w:afterAutospacing="0" w:line="360" w:lineRule="auto"/>
              <w:ind w:firstLine="480" w:firstLineChars="200"/>
              <w:rPr>
                <w:rFonts w:hint="eastAsia" w:ascii="Times New Roman" w:hAnsi="Times New Roman" w:eastAsia="宋体" w:cs="Times New Roman"/>
                <w:color w:val="auto"/>
                <w:szCs w:val="24"/>
                <w:highlight w:val="none"/>
                <w:u w:val="none"/>
                <w:lang w:eastAsia="zh-CN"/>
              </w:rPr>
            </w:pPr>
            <w:r>
              <w:rPr>
                <w:rFonts w:hint="eastAsia" w:ascii="Times New Roman" w:hAnsi="Times New Roman" w:cs="Times New Roman"/>
                <w:color w:val="auto"/>
                <w:szCs w:val="24"/>
                <w:highlight w:val="none"/>
                <w:u w:val="none"/>
                <w:lang w:eastAsia="zh-CN"/>
              </w:rPr>
              <w:t>（</w:t>
            </w:r>
            <w:r>
              <w:rPr>
                <w:rFonts w:hint="eastAsia" w:ascii="Times New Roman" w:hAnsi="Times New Roman" w:cs="Times New Roman"/>
                <w:color w:val="auto"/>
                <w:szCs w:val="24"/>
                <w:highlight w:val="none"/>
                <w:u w:val="none"/>
                <w:lang w:val="en-US" w:eastAsia="zh-CN"/>
              </w:rPr>
              <w:t>1</w:t>
            </w:r>
            <w:r>
              <w:rPr>
                <w:rFonts w:hint="eastAsia" w:ascii="Times New Roman" w:hAnsi="Times New Roman" w:cs="Times New Roman"/>
                <w:color w:val="auto"/>
                <w:szCs w:val="24"/>
                <w:highlight w:val="none"/>
                <w:u w:val="none"/>
                <w:lang w:eastAsia="zh-CN"/>
              </w:rPr>
              <w:t>）拌粉：根据不同用处的焊丝对药粉的不同要求，根据药粉配方对不同矿石粉（</w:t>
            </w:r>
            <w:r>
              <w:rPr>
                <w:rFonts w:hint="default" w:ascii="Times New Roman" w:hAnsi="Times New Roman" w:cs="Times New Roman"/>
                <w:color w:val="auto"/>
                <w:szCs w:val="24"/>
                <w:highlight w:val="none"/>
                <w:u w:val="none"/>
              </w:rPr>
              <w:t>金红石</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金属锰</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低碳铬铁</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云母</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方解石</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藻酸钠</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钾长石</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磁铁矿</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钛白粉</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萤石</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钛酸钾</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中碳锰铁</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钛白粉</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水玻璃</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大理石</w:t>
            </w:r>
            <w:r>
              <w:rPr>
                <w:rFonts w:hint="eastAsia" w:ascii="Times New Roman" w:hAnsi="Times New Roman" w:cs="Times New Roman"/>
                <w:color w:val="auto"/>
                <w:szCs w:val="24"/>
                <w:highlight w:val="none"/>
                <w:u w:val="none"/>
                <w:lang w:eastAsia="zh-CN"/>
              </w:rPr>
              <w:t>）称重后，将药粉转移至混料机内，在混料机内经过2小时的搅拌混合后，再置入药粉烘干料斗。配粉称重、混料机上料及出料过程颗粒物（G</w:t>
            </w:r>
            <w:r>
              <w:rPr>
                <w:rFonts w:hint="eastAsia" w:ascii="Times New Roman" w:hAnsi="Times New Roman" w:cs="Times New Roman"/>
                <w:color w:val="auto"/>
                <w:szCs w:val="24"/>
                <w:highlight w:val="none"/>
                <w:u w:val="none"/>
                <w:lang w:val="en-US" w:eastAsia="zh-CN"/>
              </w:rPr>
              <w:t>3</w:t>
            </w:r>
            <w:r>
              <w:rPr>
                <w:rFonts w:hint="eastAsia" w:ascii="Times New Roman" w:hAnsi="Times New Roman" w:cs="Times New Roman"/>
                <w:color w:val="auto"/>
                <w:szCs w:val="24"/>
                <w:highlight w:val="none"/>
                <w:u w:val="none"/>
                <w:lang w:eastAsia="zh-CN"/>
              </w:rPr>
              <w:t>）。</w:t>
            </w:r>
          </w:p>
          <w:p>
            <w:pPr>
              <w:pStyle w:val="25"/>
              <w:widowControl w:val="0"/>
              <w:autoSpaceDE w:val="0"/>
              <w:autoSpaceDN w:val="0"/>
              <w:adjustRightInd w:val="0"/>
              <w:spacing w:before="0" w:beforeAutospacing="0" w:after="0" w:afterAutospacing="0" w:line="360" w:lineRule="auto"/>
              <w:ind w:firstLine="480" w:firstLineChars="200"/>
              <w:rPr>
                <w:rFonts w:hint="default" w:ascii="Times New Roman" w:hAnsi="Times New Roman" w:cs="Times New Roman"/>
                <w:color w:val="auto"/>
                <w:szCs w:val="24"/>
                <w:highlight w:val="none"/>
                <w:u w:val="none"/>
              </w:rPr>
            </w:pPr>
            <w:r>
              <w:rPr>
                <w:rFonts w:hint="default" w:ascii="Times New Roman" w:hAnsi="Times New Roman" w:cs="Times New Roman"/>
                <w:color w:val="auto"/>
                <w:szCs w:val="24"/>
                <w:highlight w:val="none"/>
                <w:u w:val="none"/>
              </w:rPr>
              <w:t>（2）烘干</w:t>
            </w:r>
            <w:r>
              <w:rPr>
                <w:rFonts w:hint="eastAsia"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rPr>
              <w:t>由于矿石粉中含有一定量的结晶水，在药粉充分混合后，将装有已混合均匀的药粉的烘干料斗放入高温烘干箱中，在350℃下烘干（电烘干）3小时，以去除矿石粉中的结晶水。</w:t>
            </w:r>
          </w:p>
          <w:p>
            <w:pPr>
              <w:pStyle w:val="25"/>
              <w:widowControl w:val="0"/>
              <w:autoSpaceDE w:val="0"/>
              <w:autoSpaceDN w:val="0"/>
              <w:adjustRightInd w:val="0"/>
              <w:spacing w:before="0" w:beforeAutospacing="0" w:after="0" w:afterAutospacing="0"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w:t>
            </w:r>
            <w:r>
              <w:rPr>
                <w:rFonts w:hint="eastAsia" w:ascii="Times New Roman" w:hAnsi="Times New Roman" w:cs="Times New Roman"/>
                <w:color w:val="auto"/>
                <w:szCs w:val="24"/>
                <w:highlight w:val="none"/>
                <w:lang w:eastAsia="zh-CN"/>
              </w:rPr>
              <w:t>分条</w:t>
            </w:r>
            <w:r>
              <w:rPr>
                <w:rFonts w:hint="default" w:ascii="Times New Roman" w:hAnsi="Times New Roman" w:cs="Times New Roman"/>
                <w:color w:val="auto"/>
                <w:szCs w:val="24"/>
                <w:highlight w:val="none"/>
              </w:rPr>
              <w:t>/复绕</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利用钢带纵剪机将原料带钢裁成生产需要的规格尺寸，或用复绕机将加工好的刚带条缠到工字轮上，该过程主要产生</w:t>
            </w:r>
            <w:r>
              <w:rPr>
                <w:rFonts w:hint="eastAsia" w:ascii="Times New Roman" w:hAnsi="Times New Roman" w:cs="Times New Roman"/>
                <w:color w:val="auto"/>
                <w:szCs w:val="24"/>
                <w:highlight w:val="none"/>
                <w:lang w:eastAsia="zh-CN"/>
              </w:rPr>
              <w:t>废金属</w:t>
            </w:r>
            <w:r>
              <w:rPr>
                <w:rFonts w:hint="default" w:ascii="Times New Roman" w:hAnsi="Times New Roman" w:cs="Times New Roman"/>
                <w:color w:val="auto"/>
                <w:szCs w:val="24"/>
                <w:highlight w:val="none"/>
              </w:rPr>
              <w:t>（S1）和设备噪声（N）</w:t>
            </w:r>
          </w:p>
          <w:p>
            <w:pPr>
              <w:pStyle w:val="25"/>
              <w:widowControl w:val="0"/>
              <w:autoSpaceDE w:val="0"/>
              <w:autoSpaceDN w:val="0"/>
              <w:adjustRightInd w:val="0"/>
              <w:spacing w:before="0" w:beforeAutospacing="0" w:after="0" w:afterAutospacing="0" w:line="360" w:lineRule="auto"/>
              <w:ind w:firstLine="480" w:firstLineChars="200"/>
              <w:rPr>
                <w:rFonts w:hint="eastAsia" w:ascii="Times New Roman" w:hAnsi="Times New Roman" w:eastAsia="宋体" w:cs="Times New Roman"/>
                <w:color w:val="auto"/>
                <w:szCs w:val="24"/>
                <w:highlight w:val="none"/>
                <w:u w:val="single"/>
                <w:lang w:eastAsia="zh-CN"/>
              </w:rPr>
            </w:pPr>
            <w:r>
              <w:rPr>
                <w:rFonts w:hint="eastAsia" w:ascii="Times New Roman" w:hAnsi="Times New Roman" w:cs="Times New Roman"/>
                <w:color w:val="auto"/>
                <w:szCs w:val="24"/>
                <w:highlight w:val="none"/>
                <w:u w:val="single"/>
                <w:lang w:eastAsia="zh-CN"/>
              </w:rPr>
              <w:t>（</w:t>
            </w:r>
            <w:r>
              <w:rPr>
                <w:rFonts w:hint="eastAsia" w:ascii="Times New Roman" w:hAnsi="Times New Roman" w:cs="Times New Roman"/>
                <w:color w:val="auto"/>
                <w:szCs w:val="24"/>
                <w:highlight w:val="none"/>
                <w:u w:val="single"/>
                <w:lang w:val="en-US" w:eastAsia="zh-CN"/>
              </w:rPr>
              <w:t>4</w:t>
            </w:r>
            <w:r>
              <w:rPr>
                <w:rFonts w:hint="eastAsia" w:ascii="Times New Roman" w:hAnsi="Times New Roman" w:cs="Times New Roman"/>
                <w:color w:val="auto"/>
                <w:szCs w:val="24"/>
                <w:highlight w:val="none"/>
                <w:u w:val="single"/>
                <w:lang w:eastAsia="zh-CN"/>
              </w:rPr>
              <w:t>）成型</w:t>
            </w:r>
            <w:r>
              <w:rPr>
                <w:rFonts w:hint="eastAsia" w:ascii="Times New Roman" w:hAnsi="Times New Roman" w:cs="Times New Roman"/>
                <w:color w:val="auto"/>
                <w:szCs w:val="24"/>
                <w:highlight w:val="none"/>
                <w:u w:val="single"/>
                <w:lang w:val="en-US" w:eastAsia="zh-CN"/>
              </w:rPr>
              <w:t>/拉拔：成型、拉拔为连续生产线，在轧机和拉拔机的作用下进行，</w:t>
            </w:r>
            <w:r>
              <w:rPr>
                <w:rFonts w:hint="default" w:ascii="Times New Roman" w:hAnsi="Times New Roman" w:cs="Times New Roman"/>
                <w:color w:val="auto"/>
                <w:szCs w:val="24"/>
                <w:highlight w:val="none"/>
                <w:u w:val="single"/>
              </w:rPr>
              <w:t>药粉一起在轧丝机上成形（“O”形）</w:t>
            </w:r>
            <w:r>
              <w:rPr>
                <w:rFonts w:hint="eastAsia" w:ascii="Times New Roman" w:hAnsi="Times New Roman" w:cs="Times New Roman"/>
                <w:color w:val="auto"/>
                <w:szCs w:val="24"/>
                <w:highlight w:val="none"/>
                <w:u w:val="single"/>
                <w:lang w:eastAsia="zh-CN"/>
              </w:rPr>
              <w:t>，轧机架连接处设有送粉工位，将送粉器固定在送粉工位处，送粉器下方具有直径约2cm的下料口，通过下料口将混合药粉送入</w:t>
            </w:r>
            <w:r>
              <w:rPr>
                <w:rFonts w:hint="default" w:ascii="Times New Roman" w:hAnsi="Times New Roman" w:cs="Times New Roman"/>
                <w:color w:val="auto"/>
                <w:szCs w:val="24"/>
                <w:highlight w:val="none"/>
                <w:u w:val="single"/>
              </w:rPr>
              <w:t>O</w:t>
            </w:r>
            <w:r>
              <w:rPr>
                <w:rFonts w:hint="eastAsia" w:ascii="Times New Roman" w:hAnsi="Times New Roman" w:cs="Times New Roman"/>
                <w:color w:val="auto"/>
                <w:szCs w:val="24"/>
                <w:highlight w:val="none"/>
                <w:u w:val="single"/>
                <w:lang w:eastAsia="zh-CN"/>
              </w:rPr>
              <w:t>形槽内。含有药粉的</w:t>
            </w:r>
            <w:r>
              <w:rPr>
                <w:rFonts w:hint="eastAsia" w:ascii="Times New Roman" w:hAnsi="Times New Roman" w:cs="Times New Roman"/>
                <w:color w:val="auto"/>
                <w:szCs w:val="24"/>
                <w:highlight w:val="none"/>
                <w:u w:val="single"/>
                <w:lang w:val="en-US" w:eastAsia="zh-CN"/>
              </w:rPr>
              <w:t>O</w:t>
            </w:r>
            <w:r>
              <w:rPr>
                <w:rFonts w:hint="eastAsia" w:ascii="Times New Roman" w:hAnsi="Times New Roman" w:cs="Times New Roman"/>
                <w:color w:val="auto"/>
                <w:szCs w:val="24"/>
                <w:highlight w:val="none"/>
                <w:u w:val="single"/>
                <w:lang w:eastAsia="zh-CN"/>
              </w:rPr>
              <w:t>型槽带钢进入轧机的成型轧机架，将包有药粉的带钢轧制成型。卷制成型后的带钢进入轧机的拉丝机，将包有药粉的带钢进行粗拔。</w:t>
            </w:r>
          </w:p>
          <w:p>
            <w:pPr>
              <w:pStyle w:val="25"/>
              <w:widowControl w:val="0"/>
              <w:autoSpaceDE w:val="0"/>
              <w:autoSpaceDN w:val="0"/>
              <w:adjustRightInd w:val="0"/>
              <w:spacing w:before="0" w:beforeAutospacing="0" w:after="0" w:afterAutospacing="0" w:line="360" w:lineRule="auto"/>
              <w:ind w:firstLine="480" w:firstLineChars="200"/>
              <w:rPr>
                <w:rFonts w:hint="eastAsia" w:ascii="Times New Roman" w:hAnsi="Times New Roman" w:cs="Times New Roman"/>
                <w:b/>
                <w:bCs/>
                <w:color w:val="auto"/>
                <w:sz w:val="24"/>
                <w:szCs w:val="24"/>
                <w:highlight w:val="none"/>
                <w:u w:val="none"/>
                <w:lang w:val="en-US" w:eastAsia="zh-CN" w:bidi="ar"/>
              </w:rPr>
            </w:pP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5</w:t>
            </w:r>
            <w:r>
              <w:rPr>
                <w:rFonts w:hint="eastAsia" w:ascii="Times New Roman" w:hAnsi="Times New Roman" w:cs="Times New Roman"/>
                <w:color w:val="auto"/>
                <w:szCs w:val="24"/>
                <w:highlight w:val="none"/>
                <w:lang w:eastAsia="zh-CN"/>
              </w:rPr>
              <w:t>）层绕：</w:t>
            </w:r>
            <w:r>
              <w:rPr>
                <w:rFonts w:hint="default" w:ascii="Times New Roman" w:hAnsi="Times New Roman" w:cs="Times New Roman"/>
                <w:color w:val="auto"/>
                <w:szCs w:val="24"/>
                <w:highlight w:val="none"/>
              </w:rPr>
              <w:t>成型后的焊丝经层绕机缠绕在焊丝盘上，绕制时首先采用粗绕，粗绕后进行外观检验，再进行精绕，最后经检验合格后包装入库。</w:t>
            </w:r>
          </w:p>
          <w:p>
            <w:pPr>
              <w:pStyle w:val="25"/>
              <w:widowControl w:val="0"/>
              <w:autoSpaceDE w:val="0"/>
              <w:autoSpaceDN w:val="0"/>
              <w:adjustRightInd w:val="0"/>
              <w:spacing w:before="0" w:beforeAutospacing="0" w:after="0" w:afterAutospacing="0" w:line="360" w:lineRule="auto"/>
              <w:rPr>
                <w:rFonts w:hint="eastAsia" w:ascii="Times New Roman" w:hAnsi="Times New Roman" w:cs="Times New Roman"/>
                <w:b/>
                <w:bCs/>
                <w:color w:val="auto"/>
                <w:sz w:val="24"/>
                <w:szCs w:val="24"/>
                <w:highlight w:val="none"/>
                <w:u w:val="none"/>
                <w:lang w:val="en-US" w:eastAsia="zh-CN" w:bidi="ar"/>
              </w:rPr>
            </w:pPr>
            <w:r>
              <w:rPr>
                <w:rFonts w:hint="eastAsia" w:ascii="Times New Roman" w:hAnsi="Times New Roman" w:cs="Times New Roman"/>
                <w:b/>
                <w:bCs/>
                <w:color w:val="auto"/>
                <w:sz w:val="24"/>
                <w:szCs w:val="24"/>
                <w:highlight w:val="none"/>
                <w:u w:val="none"/>
                <w:lang w:val="en-US" w:eastAsia="zh-CN" w:bidi="ar"/>
              </w:rPr>
              <w:t>（3）特种电焊条生产工艺流程</w:t>
            </w:r>
          </w:p>
          <w:p>
            <w:pPr>
              <w:pStyle w:val="25"/>
              <w:widowControl w:val="0"/>
              <w:autoSpaceDE w:val="0"/>
              <w:autoSpaceDN w:val="0"/>
              <w:adjustRightInd w:val="0"/>
              <w:spacing w:before="0" w:beforeAutospacing="0" w:after="0" w:afterAutospacing="0" w:line="360" w:lineRule="auto"/>
              <w:jc w:val="center"/>
              <w:rPr>
                <w:rFonts w:hint="default"/>
                <w:color w:val="auto"/>
                <w:u w:val="none"/>
                <w:lang w:val="en-US" w:eastAsia="zh-CN"/>
              </w:rPr>
            </w:pPr>
            <w:r>
              <w:rPr>
                <w:rFonts w:hint="default"/>
                <w:color w:val="auto"/>
                <w:u w:val="none"/>
                <w:lang w:val="en-US" w:eastAsia="zh-CN"/>
              </w:rPr>
              <w:object>
                <v:shape id="_x0000_i1029" o:spt="75" type="#_x0000_t75" style="height:357.45pt;width:430.45pt;" o:ole="t" filled="f" o:preferrelative="t" stroked="f" coordsize="21600,21600">
                  <v:path/>
                  <v:fill on="f" focussize="0,0"/>
                  <v:stroke on="f"/>
                  <v:imagedata r:id="rId22" croptop="4175f" cropbottom="3112f" o:title=""/>
                  <o:lock v:ext="edit" aspectratio="f"/>
                  <w10:wrap type="none"/>
                  <w10:anchorlock/>
                </v:shape>
                <o:OLEObject Type="Embed" ProgID="Visio.Drawing.15" ShapeID="_x0000_i1029" DrawAspect="Content" ObjectID="_1468075729" r:id="rId21">
                  <o:LockedField>false</o:LockedField>
                </o:OLEObject>
              </w:object>
            </w:r>
          </w:p>
          <w:p>
            <w:pPr>
              <w:pStyle w:val="25"/>
              <w:widowControl w:val="0"/>
              <w:autoSpaceDE w:val="0"/>
              <w:autoSpaceDN w:val="0"/>
              <w:adjustRightInd w:val="0"/>
              <w:spacing w:before="0" w:beforeAutospacing="0" w:after="0" w:afterAutospacing="0"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4</w:t>
            </w:r>
            <w:r>
              <w:rPr>
                <w:rFonts w:hint="eastAsia" w:ascii="Times New Roman" w:hAnsi="Times New Roman" w:cs="Times New Roman"/>
                <w:b/>
                <w:bCs/>
                <w:color w:val="auto"/>
                <w:sz w:val="24"/>
                <w:szCs w:val="24"/>
                <w:highlight w:val="none"/>
                <w:u w:val="none"/>
                <w:lang w:val="en-US" w:eastAsia="zh-CN" w:bidi="ar"/>
              </w:rPr>
              <w:t>特种电焊条</w:t>
            </w:r>
            <w:r>
              <w:rPr>
                <w:rFonts w:hint="default" w:ascii="Times New Roman" w:hAnsi="Times New Roman" w:cs="Times New Roman"/>
                <w:b/>
                <w:bCs/>
                <w:color w:val="auto"/>
                <w:sz w:val="24"/>
                <w:szCs w:val="24"/>
                <w:lang w:val="en-US" w:eastAsia="zh-CN"/>
              </w:rPr>
              <w:t>生产工艺流程图</w:t>
            </w:r>
          </w:p>
          <w:p>
            <w:pPr>
              <w:pStyle w:val="25"/>
              <w:widowControl w:val="0"/>
              <w:autoSpaceDE w:val="0"/>
              <w:autoSpaceDN w:val="0"/>
              <w:adjustRightInd w:val="0"/>
              <w:spacing w:before="0" w:beforeAutospacing="0" w:after="0" w:afterAutospacing="0" w:line="360" w:lineRule="auto"/>
              <w:ind w:firstLine="480" w:firstLineChars="200"/>
              <w:rPr>
                <w:rFonts w:hint="default" w:ascii="Times New Roman" w:hAnsi="Times New Roman" w:cs="Times New Roman"/>
                <w:color w:val="auto"/>
                <w:szCs w:val="24"/>
                <w:highlight w:val="none"/>
                <w:u w:val="none"/>
                <w:lang w:val="en-US" w:eastAsia="zh-CN"/>
              </w:rPr>
            </w:pPr>
            <w:r>
              <w:rPr>
                <w:rFonts w:hint="default" w:ascii="Times New Roman" w:hAnsi="Times New Roman" w:cs="Times New Roman"/>
                <w:color w:val="auto"/>
                <w:szCs w:val="24"/>
                <w:highlight w:val="none"/>
                <w:u w:val="none"/>
                <w:lang w:eastAsia="zh-CN"/>
              </w:rPr>
              <w:t>（</w:t>
            </w:r>
            <w:r>
              <w:rPr>
                <w:rFonts w:hint="default" w:ascii="Times New Roman" w:hAnsi="Times New Roman" w:cs="Times New Roman"/>
                <w:color w:val="auto"/>
                <w:szCs w:val="24"/>
                <w:highlight w:val="none"/>
                <w:u w:val="none"/>
                <w:lang w:val="en-US" w:eastAsia="zh-CN"/>
              </w:rPr>
              <w:t>1</w:t>
            </w:r>
            <w:r>
              <w:rPr>
                <w:rFonts w:hint="default" w:ascii="Times New Roman" w:hAnsi="Times New Roman" w:cs="Times New Roman"/>
                <w:color w:val="auto"/>
                <w:szCs w:val="24"/>
                <w:highlight w:val="none"/>
                <w:u w:val="none"/>
                <w:lang w:eastAsia="zh-CN"/>
              </w:rPr>
              <w:t>）拉拔</w:t>
            </w:r>
            <w:r>
              <w:rPr>
                <w:rFonts w:hint="default" w:ascii="Times New Roman" w:hAnsi="Times New Roman" w:cs="Times New Roman"/>
                <w:color w:val="auto"/>
                <w:szCs w:val="24"/>
                <w:highlight w:val="none"/>
                <w:u w:val="none"/>
                <w:lang w:val="en-US" w:eastAsia="zh-CN"/>
              </w:rPr>
              <w:t>/切丝：</w:t>
            </w:r>
            <w:r>
              <w:rPr>
                <w:rFonts w:hint="default" w:ascii="Times New Roman" w:hAnsi="Times New Roman" w:cs="Times New Roman"/>
                <w:color w:val="auto"/>
                <w:szCs w:val="24"/>
              </w:rPr>
              <w:t>把钢丝送拉丝机中拉拔到规定的直径，拉拔过程中需要加入滑石粉，然后把拉拔合格的线材用切丝机切成规定长度的线段（一般为350mm）。</w:t>
            </w:r>
          </w:p>
          <w:p>
            <w:pPr>
              <w:pStyle w:val="25"/>
              <w:widowControl w:val="0"/>
              <w:autoSpaceDE w:val="0"/>
              <w:autoSpaceDN w:val="0"/>
              <w:adjustRightInd w:val="0"/>
              <w:spacing w:before="0" w:beforeAutospacing="0" w:after="0" w:afterAutospacing="0" w:line="360" w:lineRule="auto"/>
              <w:ind w:firstLine="480" w:firstLineChars="200"/>
              <w:rPr>
                <w:rFonts w:hint="eastAsia" w:ascii="Times New Roman" w:hAnsi="Times New Roman" w:eastAsia="宋体" w:cs="Times New Roman"/>
                <w:color w:val="auto"/>
                <w:szCs w:val="24"/>
                <w:highlight w:val="none"/>
                <w:u w:val="none"/>
                <w:lang w:eastAsia="zh-CN"/>
              </w:rPr>
            </w:pPr>
            <w:r>
              <w:rPr>
                <w:rFonts w:hint="eastAsia" w:ascii="Times New Roman" w:hAnsi="Times New Roman" w:cs="Times New Roman"/>
                <w:color w:val="auto"/>
                <w:szCs w:val="24"/>
                <w:highlight w:val="none"/>
                <w:u w:val="none"/>
                <w:lang w:eastAsia="zh-CN"/>
              </w:rPr>
              <w:t>（</w:t>
            </w:r>
            <w:r>
              <w:rPr>
                <w:rFonts w:hint="eastAsia" w:ascii="Times New Roman" w:hAnsi="Times New Roman" w:cs="Times New Roman"/>
                <w:color w:val="auto"/>
                <w:szCs w:val="24"/>
                <w:highlight w:val="none"/>
                <w:u w:val="none"/>
                <w:lang w:val="en-US" w:eastAsia="zh-CN"/>
              </w:rPr>
              <w:t>2</w:t>
            </w:r>
            <w:r>
              <w:rPr>
                <w:rFonts w:hint="eastAsia" w:ascii="Times New Roman" w:hAnsi="Times New Roman" w:cs="Times New Roman"/>
                <w:color w:val="auto"/>
                <w:szCs w:val="24"/>
                <w:highlight w:val="none"/>
                <w:u w:val="none"/>
                <w:lang w:eastAsia="zh-CN"/>
              </w:rPr>
              <w:t>）干混</w:t>
            </w:r>
            <w:r>
              <w:rPr>
                <w:rFonts w:hint="eastAsia" w:ascii="Times New Roman" w:hAnsi="Times New Roman" w:cs="Times New Roman"/>
                <w:color w:val="auto"/>
                <w:szCs w:val="24"/>
                <w:highlight w:val="none"/>
                <w:u w:val="none"/>
                <w:lang w:val="en-US" w:eastAsia="zh-CN"/>
              </w:rPr>
              <w:t>/湿混</w:t>
            </w:r>
            <w:r>
              <w:rPr>
                <w:rFonts w:hint="eastAsia" w:ascii="Times New Roman" w:hAnsi="Times New Roman" w:cs="Times New Roman"/>
                <w:color w:val="auto"/>
                <w:szCs w:val="24"/>
                <w:highlight w:val="none"/>
                <w:u w:val="none"/>
                <w:lang w:eastAsia="zh-CN"/>
              </w:rPr>
              <w:t>：根据不同用处的焊丝对药粉的不同要求，根据药粉配方对不同矿石粉（</w:t>
            </w:r>
            <w:r>
              <w:rPr>
                <w:rFonts w:hint="eastAsia" w:hAnsi="宋体"/>
                <w:color w:val="auto"/>
                <w:szCs w:val="24"/>
                <w:highlight w:val="none"/>
              </w:rPr>
              <w:t>金红石</w:t>
            </w:r>
            <w:r>
              <w:rPr>
                <w:rFonts w:hint="eastAsia" w:hAnsi="宋体"/>
                <w:color w:val="auto"/>
                <w:szCs w:val="24"/>
                <w:highlight w:val="none"/>
                <w:lang w:eastAsia="zh-CN"/>
              </w:rPr>
              <w:t>、</w:t>
            </w:r>
            <w:r>
              <w:rPr>
                <w:rFonts w:hint="eastAsia"/>
                <w:color w:val="auto"/>
                <w:szCs w:val="21"/>
                <w:highlight w:val="none"/>
                <w:u w:val="none"/>
                <w:lang w:val="en-US" w:eastAsia="zh-CN"/>
              </w:rPr>
              <w:t>硅锰合金</w:t>
            </w:r>
            <w:r>
              <w:rPr>
                <w:rFonts w:hint="eastAsia" w:hAnsi="宋体"/>
                <w:color w:val="auto"/>
                <w:szCs w:val="24"/>
                <w:highlight w:val="none"/>
                <w:lang w:eastAsia="zh-CN"/>
              </w:rPr>
              <w:t>、</w:t>
            </w:r>
            <w:r>
              <w:rPr>
                <w:rFonts w:hint="eastAsia" w:hAnsi="宋体"/>
                <w:color w:val="auto"/>
                <w:szCs w:val="24"/>
                <w:highlight w:val="none"/>
              </w:rPr>
              <w:t>低碳铬铁</w:t>
            </w:r>
            <w:r>
              <w:rPr>
                <w:rFonts w:hint="eastAsia" w:hAnsi="宋体"/>
                <w:color w:val="auto"/>
                <w:szCs w:val="24"/>
                <w:highlight w:val="none"/>
                <w:lang w:eastAsia="zh-CN"/>
              </w:rPr>
              <w:t>、</w:t>
            </w:r>
            <w:r>
              <w:rPr>
                <w:rFonts w:hint="eastAsia" w:hAnsi="宋体"/>
                <w:color w:val="auto"/>
                <w:szCs w:val="24"/>
                <w:highlight w:val="none"/>
              </w:rPr>
              <w:t>云母</w:t>
            </w:r>
            <w:r>
              <w:rPr>
                <w:rFonts w:hint="eastAsia" w:hAnsi="宋体"/>
                <w:color w:val="auto"/>
                <w:szCs w:val="24"/>
                <w:highlight w:val="none"/>
                <w:lang w:eastAsia="zh-CN"/>
              </w:rPr>
              <w:t>、</w:t>
            </w:r>
            <w:r>
              <w:rPr>
                <w:rFonts w:hint="eastAsia"/>
                <w:color w:val="auto"/>
                <w:szCs w:val="21"/>
                <w:u w:val="none"/>
                <w:lang w:val="en-US" w:eastAsia="zh-CN"/>
              </w:rPr>
              <w:t>石英粉</w:t>
            </w:r>
            <w:r>
              <w:rPr>
                <w:rFonts w:hint="eastAsia" w:hAnsi="宋体"/>
                <w:color w:val="auto"/>
                <w:szCs w:val="24"/>
                <w:highlight w:val="none"/>
                <w:lang w:eastAsia="zh-CN"/>
              </w:rPr>
              <w:t>、</w:t>
            </w:r>
            <w:r>
              <w:rPr>
                <w:rFonts w:hint="eastAsia" w:hAnsi="宋体"/>
                <w:color w:val="auto"/>
                <w:szCs w:val="24"/>
                <w:highlight w:val="none"/>
              </w:rPr>
              <w:t>藻酸钠</w:t>
            </w:r>
            <w:r>
              <w:rPr>
                <w:rFonts w:hint="eastAsia" w:hAnsi="宋体"/>
                <w:color w:val="auto"/>
                <w:szCs w:val="24"/>
                <w:highlight w:val="none"/>
                <w:lang w:eastAsia="zh-CN"/>
              </w:rPr>
              <w:t>、</w:t>
            </w:r>
            <w:r>
              <w:rPr>
                <w:rFonts w:hint="eastAsia" w:hAnsi="宋体"/>
                <w:color w:val="auto"/>
                <w:szCs w:val="24"/>
                <w:highlight w:val="none"/>
              </w:rPr>
              <w:t>钾长石</w:t>
            </w:r>
            <w:r>
              <w:rPr>
                <w:rFonts w:hint="eastAsia" w:hAnsi="宋体"/>
                <w:color w:val="auto"/>
                <w:szCs w:val="24"/>
                <w:highlight w:val="none"/>
                <w:lang w:eastAsia="zh-CN"/>
              </w:rPr>
              <w:t>、</w:t>
            </w:r>
            <w:r>
              <w:rPr>
                <w:rFonts w:hint="eastAsia" w:hAnsi="宋体"/>
                <w:color w:val="auto"/>
                <w:szCs w:val="24"/>
                <w:highlight w:val="none"/>
              </w:rPr>
              <w:t>磁铁矿</w:t>
            </w:r>
            <w:r>
              <w:rPr>
                <w:rFonts w:hint="eastAsia" w:hAnsi="宋体"/>
                <w:color w:val="auto"/>
                <w:szCs w:val="24"/>
                <w:highlight w:val="none"/>
                <w:lang w:eastAsia="zh-CN"/>
              </w:rPr>
              <w:t>、</w:t>
            </w:r>
            <w:r>
              <w:rPr>
                <w:rFonts w:hint="eastAsia" w:hAnsi="宋体"/>
                <w:color w:val="auto"/>
                <w:szCs w:val="24"/>
                <w:highlight w:val="none"/>
              </w:rPr>
              <w:t>钛白粉</w:t>
            </w:r>
            <w:r>
              <w:rPr>
                <w:rFonts w:hint="eastAsia" w:hAnsi="宋体"/>
                <w:color w:val="auto"/>
                <w:szCs w:val="24"/>
                <w:highlight w:val="none"/>
                <w:lang w:eastAsia="zh-CN"/>
              </w:rPr>
              <w:t>、</w:t>
            </w:r>
            <w:r>
              <w:rPr>
                <w:rFonts w:hint="eastAsia" w:hAnsi="宋体"/>
                <w:color w:val="auto"/>
                <w:szCs w:val="24"/>
                <w:highlight w:val="none"/>
              </w:rPr>
              <w:t>萤石</w:t>
            </w:r>
            <w:r>
              <w:rPr>
                <w:rFonts w:hint="eastAsia" w:hAnsi="宋体"/>
                <w:color w:val="auto"/>
                <w:szCs w:val="24"/>
                <w:highlight w:val="none"/>
                <w:lang w:eastAsia="zh-CN"/>
              </w:rPr>
              <w:t>、</w:t>
            </w:r>
            <w:r>
              <w:rPr>
                <w:rFonts w:hint="eastAsia" w:hAnsi="宋体"/>
                <w:color w:val="auto"/>
                <w:szCs w:val="24"/>
                <w:highlight w:val="none"/>
              </w:rPr>
              <w:t>钛酸钾</w:t>
            </w:r>
            <w:r>
              <w:rPr>
                <w:rFonts w:hint="eastAsia" w:hAnsi="宋体"/>
                <w:color w:val="auto"/>
                <w:szCs w:val="24"/>
                <w:highlight w:val="none"/>
                <w:lang w:eastAsia="zh-CN"/>
              </w:rPr>
              <w:t>、</w:t>
            </w:r>
            <w:r>
              <w:rPr>
                <w:rFonts w:hint="eastAsia" w:hAnsi="宋体"/>
                <w:color w:val="auto"/>
                <w:szCs w:val="24"/>
                <w:highlight w:val="none"/>
              </w:rPr>
              <w:t>中碳硅铁</w:t>
            </w:r>
            <w:r>
              <w:rPr>
                <w:rFonts w:hint="eastAsia" w:hAnsi="宋体"/>
                <w:color w:val="auto"/>
                <w:szCs w:val="24"/>
                <w:highlight w:val="none"/>
                <w:lang w:eastAsia="zh-CN"/>
              </w:rPr>
              <w:t>、</w:t>
            </w:r>
            <w:r>
              <w:rPr>
                <w:rFonts w:hint="eastAsia" w:hAnsi="宋体"/>
                <w:color w:val="auto"/>
                <w:szCs w:val="24"/>
                <w:highlight w:val="none"/>
              </w:rPr>
              <w:t>大理石</w:t>
            </w:r>
            <w:r>
              <w:rPr>
                <w:rFonts w:hint="eastAsia" w:ascii="Times New Roman" w:hAnsi="Times New Roman" w:cs="Times New Roman"/>
                <w:color w:val="auto"/>
                <w:szCs w:val="24"/>
                <w:highlight w:val="none"/>
                <w:u w:val="none"/>
                <w:lang w:eastAsia="zh-CN"/>
              </w:rPr>
              <w:t>）称重后，将配好的药粉和水玻璃转移至混料机内，混料</w:t>
            </w:r>
            <w:r>
              <w:rPr>
                <w:rFonts w:hAnsi="宋体"/>
                <w:color w:val="auto"/>
                <w:szCs w:val="24"/>
              </w:rPr>
              <w:t>过程中不需要用水</w:t>
            </w:r>
            <w:r>
              <w:rPr>
                <w:rFonts w:hint="eastAsia" w:hAnsi="宋体"/>
                <w:color w:val="auto"/>
                <w:szCs w:val="24"/>
                <w:lang w:eastAsia="zh-CN"/>
              </w:rPr>
              <w:t>，</w:t>
            </w:r>
            <w:r>
              <w:rPr>
                <w:rFonts w:hint="eastAsia" w:ascii="Times New Roman" w:hAnsi="Times New Roman" w:cs="Times New Roman"/>
                <w:color w:val="auto"/>
                <w:szCs w:val="24"/>
                <w:highlight w:val="none"/>
                <w:u w:val="none"/>
                <w:lang w:eastAsia="zh-CN"/>
              </w:rPr>
              <w:t>在混料机内经过2小时的搅拌混合后，再置入药粉烘干料斗。配粉称重、混料机上料及出料过程颗粒物（G</w:t>
            </w:r>
            <w:r>
              <w:rPr>
                <w:rFonts w:hint="eastAsia" w:ascii="Times New Roman" w:hAnsi="Times New Roman" w:cs="Times New Roman"/>
                <w:color w:val="auto"/>
                <w:szCs w:val="24"/>
                <w:highlight w:val="none"/>
                <w:u w:val="none"/>
                <w:lang w:val="en-US" w:eastAsia="zh-CN"/>
              </w:rPr>
              <w:t>3</w:t>
            </w:r>
            <w:r>
              <w:rPr>
                <w:rFonts w:hint="eastAsia" w:ascii="Times New Roman" w:hAnsi="Times New Roman" w:cs="Times New Roman"/>
                <w:color w:val="auto"/>
                <w:szCs w:val="24"/>
                <w:highlight w:val="none"/>
                <w:u w:val="none"/>
                <w:lang w:eastAsia="zh-CN"/>
              </w:rPr>
              <w:t>）。</w:t>
            </w:r>
          </w:p>
          <w:p>
            <w:pPr>
              <w:pStyle w:val="102"/>
              <w:ind w:firstLine="480" w:firstLineChars="200"/>
              <w:rPr>
                <w:rFonts w:hint="eastAsia" w:hAnsi="宋体" w:eastAsia="宋体"/>
                <w:color w:val="auto"/>
                <w:szCs w:val="24"/>
                <w:u w:val="single"/>
                <w:lang w:eastAsia="zh-CN"/>
              </w:rPr>
            </w:pPr>
            <w:r>
              <w:rPr>
                <w:rFonts w:hint="default" w:ascii="Times New Roman" w:hAnsi="Times New Roman" w:cs="Times New Roman"/>
                <w:color w:val="auto"/>
                <w:szCs w:val="24"/>
                <w:highlight w:val="none"/>
                <w:u w:val="single"/>
              </w:rPr>
              <w:t>（</w:t>
            </w:r>
            <w:r>
              <w:rPr>
                <w:rFonts w:hint="eastAsia" w:ascii="Times New Roman" w:hAnsi="Times New Roman" w:cs="Times New Roman"/>
                <w:color w:val="auto"/>
                <w:szCs w:val="24"/>
                <w:highlight w:val="none"/>
                <w:u w:val="single"/>
                <w:lang w:val="en-US" w:eastAsia="zh-CN"/>
              </w:rPr>
              <w:t>3</w:t>
            </w:r>
            <w:r>
              <w:rPr>
                <w:rFonts w:hint="default" w:ascii="Times New Roman" w:hAnsi="Times New Roman" w:cs="Times New Roman"/>
                <w:color w:val="auto"/>
                <w:szCs w:val="24"/>
                <w:highlight w:val="none"/>
                <w:u w:val="single"/>
              </w:rPr>
              <w:t>）</w:t>
            </w:r>
            <w:r>
              <w:rPr>
                <w:rFonts w:hint="eastAsia" w:ascii="Times New Roman" w:hAnsi="Times New Roman" w:cs="Times New Roman"/>
                <w:color w:val="auto"/>
                <w:szCs w:val="24"/>
                <w:highlight w:val="none"/>
                <w:u w:val="single"/>
                <w:lang w:eastAsia="zh-CN"/>
              </w:rPr>
              <w:t>压涂：焊条的压涂是在焊条涂粉机上完成的，</w:t>
            </w:r>
            <w:r>
              <w:rPr>
                <w:rFonts w:hint="default" w:ascii="Times New Roman" w:hAnsi="Times New Roman" w:cs="Times New Roman"/>
                <w:color w:val="auto"/>
                <w:szCs w:val="24"/>
                <w:highlight w:val="none"/>
                <w:u w:val="single"/>
              </w:rPr>
              <w:t>将焊条</w:t>
            </w:r>
            <w:r>
              <w:rPr>
                <w:rFonts w:hint="eastAsia" w:ascii="Times New Roman" w:hAnsi="Times New Roman" w:cs="Times New Roman"/>
                <w:color w:val="auto"/>
                <w:szCs w:val="24"/>
                <w:highlight w:val="none"/>
                <w:u w:val="single"/>
                <w:lang w:eastAsia="zh-CN"/>
              </w:rPr>
              <w:t>物料</w:t>
            </w:r>
            <w:r>
              <w:rPr>
                <w:rFonts w:hint="default" w:ascii="Times New Roman" w:hAnsi="Times New Roman" w:cs="Times New Roman"/>
                <w:color w:val="auto"/>
                <w:szCs w:val="24"/>
                <w:highlight w:val="none"/>
                <w:u w:val="single"/>
              </w:rPr>
              <w:t>装入</w:t>
            </w:r>
            <w:r>
              <w:rPr>
                <w:rFonts w:hint="eastAsia" w:ascii="Times New Roman" w:hAnsi="Times New Roman" w:cs="Times New Roman"/>
                <w:color w:val="auto"/>
                <w:szCs w:val="24"/>
                <w:highlight w:val="none"/>
                <w:u w:val="single"/>
                <w:lang w:eastAsia="zh-CN"/>
              </w:rPr>
              <w:t>涂料</w:t>
            </w:r>
            <w:r>
              <w:rPr>
                <w:rFonts w:hint="default" w:ascii="Times New Roman" w:hAnsi="Times New Roman" w:cs="Times New Roman"/>
                <w:color w:val="auto"/>
                <w:szCs w:val="24"/>
                <w:highlight w:val="none"/>
                <w:u w:val="single"/>
              </w:rPr>
              <w:t>缸，再通过液压系统所产生的高压力使活塞将</w:t>
            </w:r>
            <w:r>
              <w:rPr>
                <w:rFonts w:hint="eastAsia" w:ascii="Times New Roman" w:hAnsi="Times New Roman" w:cs="Times New Roman"/>
                <w:color w:val="auto"/>
                <w:szCs w:val="24"/>
                <w:highlight w:val="none"/>
                <w:u w:val="single"/>
                <w:lang w:eastAsia="zh-CN"/>
              </w:rPr>
              <w:t>物料</w:t>
            </w:r>
            <w:r>
              <w:rPr>
                <w:rFonts w:hint="default" w:ascii="Times New Roman" w:hAnsi="Times New Roman" w:cs="Times New Roman"/>
                <w:color w:val="auto"/>
                <w:szCs w:val="24"/>
                <w:highlight w:val="none"/>
                <w:u w:val="single"/>
              </w:rPr>
              <w:t>推</w:t>
            </w:r>
            <w:r>
              <w:rPr>
                <w:rFonts w:hint="eastAsia" w:ascii="Times New Roman" w:hAnsi="Times New Roman" w:cs="Times New Roman"/>
                <w:color w:val="auto"/>
                <w:szCs w:val="24"/>
                <w:highlight w:val="none"/>
                <w:u w:val="single"/>
                <w:lang w:eastAsia="zh-CN"/>
              </w:rPr>
              <w:t>出</w:t>
            </w:r>
            <w:r>
              <w:rPr>
                <w:rFonts w:hint="default" w:ascii="Times New Roman" w:hAnsi="Times New Roman" w:cs="Times New Roman"/>
                <w:color w:val="auto"/>
                <w:szCs w:val="24"/>
                <w:highlight w:val="none"/>
                <w:u w:val="single"/>
              </w:rPr>
              <w:t>，使</w:t>
            </w:r>
            <w:r>
              <w:rPr>
                <w:rFonts w:hint="eastAsia" w:ascii="Times New Roman" w:hAnsi="Times New Roman" w:cs="Times New Roman"/>
                <w:color w:val="auto"/>
                <w:szCs w:val="24"/>
                <w:highlight w:val="none"/>
                <w:u w:val="single"/>
                <w:lang w:eastAsia="zh-CN"/>
              </w:rPr>
              <w:t>涂料</w:t>
            </w:r>
            <w:r>
              <w:rPr>
                <w:rFonts w:hint="default" w:ascii="Times New Roman" w:hAnsi="Times New Roman" w:cs="Times New Roman"/>
                <w:color w:val="auto"/>
                <w:szCs w:val="24"/>
                <w:highlight w:val="none"/>
                <w:u w:val="single"/>
              </w:rPr>
              <w:t>在涂料头处与由送丝机送来的焊芯相汇合，并从涂料头的定经模孔中挤出焊条</w:t>
            </w:r>
            <w:r>
              <w:rPr>
                <w:rFonts w:hint="eastAsia" w:ascii="Times New Roman" w:hAnsi="Times New Roman" w:cs="Times New Roman"/>
                <w:color w:val="auto"/>
                <w:szCs w:val="24"/>
                <w:highlight w:val="none"/>
                <w:u w:val="single"/>
                <w:lang w:eastAsia="zh-CN"/>
              </w:rPr>
              <w:t>，压涂成型的焊条，其药皮均匀致密的涂覆在焊芯周围。</w:t>
            </w:r>
          </w:p>
          <w:p>
            <w:pPr>
              <w:pStyle w:val="102"/>
              <w:ind w:firstLine="480" w:firstLineChars="200"/>
              <w:rPr>
                <w:rFonts w:hAnsi="宋体"/>
                <w:color w:val="auto"/>
                <w:szCs w:val="24"/>
                <w:u w:val="single"/>
              </w:rPr>
            </w:pPr>
            <w:r>
              <w:rPr>
                <w:rFonts w:hint="eastAsia" w:hAnsi="宋体"/>
                <w:color w:val="auto"/>
                <w:szCs w:val="24"/>
                <w:u w:val="single"/>
                <w:lang w:eastAsia="zh-CN"/>
              </w:rPr>
              <w:t>（</w:t>
            </w:r>
            <w:r>
              <w:rPr>
                <w:rFonts w:hint="eastAsia" w:hAnsi="宋体"/>
                <w:color w:val="auto"/>
                <w:szCs w:val="24"/>
                <w:u w:val="single"/>
                <w:lang w:val="en-US" w:eastAsia="zh-CN"/>
              </w:rPr>
              <w:t>4</w:t>
            </w:r>
            <w:r>
              <w:rPr>
                <w:rFonts w:hint="eastAsia" w:hAnsi="宋体"/>
                <w:color w:val="auto"/>
                <w:szCs w:val="24"/>
                <w:u w:val="single"/>
                <w:lang w:eastAsia="zh-CN"/>
              </w:rPr>
              <w:t>）</w:t>
            </w:r>
            <w:r>
              <w:rPr>
                <w:rFonts w:hAnsi="宋体"/>
                <w:color w:val="auto"/>
                <w:szCs w:val="24"/>
                <w:u w:val="single"/>
              </w:rPr>
              <w:t>磨头磨尾</w:t>
            </w:r>
            <w:r>
              <w:rPr>
                <w:rFonts w:hint="eastAsia" w:hAnsi="宋体"/>
                <w:color w:val="auto"/>
                <w:szCs w:val="24"/>
                <w:u w:val="single"/>
                <w:lang w:val="en-US" w:eastAsia="zh-CN"/>
              </w:rPr>
              <w:t>：磨头是</w:t>
            </w:r>
            <w:r>
              <w:rPr>
                <w:rFonts w:hint="eastAsia" w:hAnsi="宋体"/>
                <w:color w:val="auto"/>
                <w:szCs w:val="24"/>
                <w:u w:val="single"/>
              </w:rPr>
              <w:t>把焊条引弧端的药皮倒角或磨成弧形，露出焊芯端头</w:t>
            </w:r>
            <w:r>
              <w:rPr>
                <w:rFonts w:hint="eastAsia" w:hAnsi="宋体"/>
                <w:color w:val="auto"/>
                <w:szCs w:val="24"/>
                <w:u w:val="single"/>
                <w:lang w:eastAsia="zh-CN"/>
              </w:rPr>
              <w:t>（</w:t>
            </w:r>
            <w:r>
              <w:rPr>
                <w:rFonts w:hint="eastAsia" w:hAnsi="宋体"/>
                <w:color w:val="auto"/>
                <w:szCs w:val="24"/>
                <w:u w:val="single"/>
              </w:rPr>
              <w:t>长约0.5mm</w:t>
            </w:r>
            <w:r>
              <w:rPr>
                <w:rFonts w:hint="eastAsia" w:hAnsi="宋体"/>
                <w:color w:val="auto"/>
                <w:szCs w:val="24"/>
                <w:u w:val="single"/>
                <w:lang w:eastAsia="zh-CN"/>
              </w:rPr>
              <w:t>），</w:t>
            </w:r>
            <w:r>
              <w:rPr>
                <w:rFonts w:hint="eastAsia" w:hAnsi="宋体"/>
                <w:color w:val="auto"/>
                <w:szCs w:val="24"/>
                <w:u w:val="single"/>
              </w:rPr>
              <w:t>便于引弧。磨尾是去掉焊条的夹持端的药皮</w:t>
            </w:r>
            <w:r>
              <w:rPr>
                <w:rFonts w:hint="eastAsia" w:hAnsi="宋体"/>
                <w:color w:val="auto"/>
                <w:szCs w:val="24"/>
                <w:u w:val="single"/>
                <w:lang w:eastAsia="zh-CN"/>
              </w:rPr>
              <w:t>（</w:t>
            </w:r>
            <w:r>
              <w:rPr>
                <w:rFonts w:hint="eastAsia" w:hAnsi="宋体"/>
                <w:color w:val="auto"/>
                <w:szCs w:val="24"/>
                <w:u w:val="single"/>
              </w:rPr>
              <w:t>长度约15~30mm</w:t>
            </w:r>
            <w:r>
              <w:rPr>
                <w:rFonts w:hint="eastAsia" w:hAnsi="宋体"/>
                <w:color w:val="auto"/>
                <w:szCs w:val="24"/>
                <w:u w:val="single"/>
                <w:lang w:eastAsia="zh-CN"/>
              </w:rPr>
              <w:t>），</w:t>
            </w:r>
            <w:r>
              <w:rPr>
                <w:rFonts w:hint="eastAsia" w:hAnsi="宋体"/>
                <w:color w:val="auto"/>
                <w:szCs w:val="24"/>
                <w:u w:val="single"/>
              </w:rPr>
              <w:t>便于夹持和导电</w:t>
            </w:r>
            <w:r>
              <w:rPr>
                <w:rFonts w:hAnsi="宋体"/>
                <w:color w:val="auto"/>
                <w:szCs w:val="24"/>
                <w:u w:val="single"/>
              </w:rPr>
              <w:t>。</w:t>
            </w:r>
          </w:p>
          <w:p>
            <w:pPr>
              <w:pStyle w:val="102"/>
              <w:ind w:firstLine="480" w:firstLineChars="200"/>
              <w:rPr>
                <w:rFonts w:hAnsi="宋体"/>
                <w:color w:val="auto"/>
                <w:szCs w:val="24"/>
                <w:u w:val="single"/>
              </w:rPr>
            </w:pPr>
            <w:r>
              <w:rPr>
                <w:rFonts w:hint="eastAsia" w:hAnsi="宋体"/>
                <w:color w:val="auto"/>
                <w:szCs w:val="24"/>
                <w:u w:val="single"/>
                <w:lang w:eastAsia="zh-CN"/>
              </w:rPr>
              <w:t>（</w:t>
            </w:r>
            <w:r>
              <w:rPr>
                <w:rFonts w:hint="eastAsia" w:hAnsi="宋体"/>
                <w:color w:val="auto"/>
                <w:szCs w:val="24"/>
                <w:u w:val="single"/>
                <w:lang w:val="en-US" w:eastAsia="zh-CN"/>
              </w:rPr>
              <w:t>5</w:t>
            </w:r>
            <w:r>
              <w:rPr>
                <w:rFonts w:hint="eastAsia" w:hAnsi="宋体"/>
                <w:color w:val="auto"/>
                <w:szCs w:val="24"/>
                <w:u w:val="single"/>
                <w:lang w:eastAsia="zh-CN"/>
              </w:rPr>
              <w:t>）</w:t>
            </w:r>
            <w:r>
              <w:rPr>
                <w:rFonts w:hint="eastAsia" w:hAnsi="宋体"/>
                <w:color w:val="auto"/>
                <w:szCs w:val="24"/>
                <w:u w:val="single"/>
                <w:lang w:val="en-US" w:eastAsia="zh-CN"/>
              </w:rPr>
              <w:t>印字：</w:t>
            </w:r>
            <w:r>
              <w:rPr>
                <w:rFonts w:hint="eastAsia" w:hAnsi="宋体"/>
                <w:color w:val="auto"/>
                <w:szCs w:val="24"/>
                <w:u w:val="single"/>
              </w:rPr>
              <w:t>为区别焊条品种、型号、便于鉴别焊条和使用，常在焊条药皮表面上进行印字，或在焊条夹持端涂色来加以区别。印字液通过印液滚轮、中间滚轮，传递到印字滚轮上，然后印在焊条上。调节螺钉，可以控制印液的传递量，避免印液过多而使字迹不清晰，或污染焊条药皮。调换印字滚轮或印字滚轮上的橡皮印字带，即可印刷不同的字迹。</w:t>
            </w:r>
          </w:p>
          <w:p>
            <w:pPr>
              <w:pStyle w:val="102"/>
              <w:ind w:firstLine="480" w:firstLineChars="200"/>
              <w:rPr>
                <w:color w:val="auto"/>
                <w:szCs w:val="24"/>
                <w:u w:val="single"/>
              </w:rPr>
            </w:pPr>
            <w:r>
              <w:rPr>
                <w:rFonts w:hint="eastAsia" w:ascii="Times New Roman" w:hAnsi="Times New Roman" w:cs="Times New Roman"/>
                <w:color w:val="auto"/>
                <w:szCs w:val="24"/>
                <w:highlight w:val="none"/>
                <w:u w:val="single"/>
                <w:lang w:eastAsia="zh-CN"/>
              </w:rPr>
              <w:t>（</w:t>
            </w:r>
            <w:r>
              <w:rPr>
                <w:rFonts w:hint="eastAsia" w:ascii="Times New Roman" w:hAnsi="Times New Roman" w:cs="Times New Roman"/>
                <w:color w:val="auto"/>
                <w:szCs w:val="24"/>
                <w:highlight w:val="none"/>
                <w:u w:val="single"/>
                <w:lang w:val="en-US" w:eastAsia="zh-CN"/>
              </w:rPr>
              <w:t>5</w:t>
            </w:r>
            <w:r>
              <w:rPr>
                <w:rFonts w:hint="eastAsia" w:ascii="Times New Roman" w:hAnsi="Times New Roman" w:cs="Times New Roman"/>
                <w:color w:val="auto"/>
                <w:szCs w:val="24"/>
                <w:highlight w:val="none"/>
                <w:u w:val="single"/>
                <w:lang w:eastAsia="zh-CN"/>
              </w:rPr>
              <w:t>）烘干：印字后的焊条</w:t>
            </w:r>
            <w:r>
              <w:rPr>
                <w:rFonts w:hint="default" w:ascii="Times New Roman" w:hAnsi="Times New Roman" w:cs="Times New Roman"/>
                <w:color w:val="auto"/>
                <w:szCs w:val="24"/>
                <w:highlight w:val="none"/>
                <w:u w:val="single"/>
              </w:rPr>
              <w:t>放入</w:t>
            </w:r>
            <w:r>
              <w:rPr>
                <w:rFonts w:hint="eastAsia" w:ascii="Times New Roman" w:hAnsi="Times New Roman" w:cs="Times New Roman"/>
                <w:color w:val="auto"/>
                <w:szCs w:val="24"/>
                <w:highlight w:val="none"/>
                <w:u w:val="single"/>
                <w:lang w:eastAsia="zh-CN"/>
              </w:rPr>
              <w:t>电烘干箱</w:t>
            </w:r>
            <w:r>
              <w:rPr>
                <w:rFonts w:hint="default" w:ascii="Times New Roman" w:hAnsi="Times New Roman" w:cs="Times New Roman"/>
                <w:color w:val="auto"/>
                <w:szCs w:val="24"/>
                <w:highlight w:val="none"/>
                <w:u w:val="single"/>
              </w:rPr>
              <w:t>中，</w:t>
            </w:r>
            <w:r>
              <w:rPr>
                <w:rFonts w:hint="eastAsia" w:ascii="Times New Roman" w:hAnsi="Times New Roman" w:cs="Times New Roman"/>
                <w:color w:val="auto"/>
                <w:szCs w:val="24"/>
                <w:highlight w:val="none"/>
                <w:u w:val="single"/>
                <w:lang w:eastAsia="zh-CN"/>
              </w:rPr>
              <w:t>通过加热，使药皮中的水分排除，使药皮干固在焊芯上，保持焊条的成形性</w:t>
            </w:r>
            <w:r>
              <w:rPr>
                <w:rFonts w:hint="default" w:ascii="Times New Roman" w:hAnsi="Times New Roman" w:cs="Times New Roman"/>
                <w:color w:val="auto"/>
                <w:szCs w:val="24"/>
                <w:highlight w:val="none"/>
                <w:u w:val="single"/>
              </w:rPr>
              <w:t>。</w:t>
            </w:r>
            <w:r>
              <w:rPr>
                <w:rFonts w:hAnsi="宋体"/>
                <w:color w:val="auto"/>
                <w:szCs w:val="24"/>
                <w:u w:val="single"/>
              </w:rPr>
              <w:t>烘干后经检验（主要是称重）合格后包装入库。</w:t>
            </w:r>
          </w:p>
          <w:p>
            <w:pPr>
              <w:pStyle w:val="25"/>
              <w:widowControl w:val="0"/>
              <w:autoSpaceDE w:val="0"/>
              <w:autoSpaceDN w:val="0"/>
              <w:adjustRightInd w:val="0"/>
              <w:spacing w:before="0" w:beforeAutospacing="0" w:after="0" w:afterAutospacing="0" w:line="360" w:lineRule="auto"/>
              <w:rPr>
                <w:rFonts w:hint="eastAsia" w:ascii="Times New Roman" w:hAnsi="Times New Roman" w:cs="Times New Roman"/>
                <w:b/>
                <w:bCs/>
                <w:color w:val="auto"/>
                <w:sz w:val="24"/>
                <w:szCs w:val="24"/>
                <w:highlight w:val="none"/>
                <w:u w:val="none"/>
                <w:lang w:val="en-US" w:eastAsia="zh-CN" w:bidi="ar"/>
              </w:rPr>
            </w:pPr>
            <w:r>
              <w:rPr>
                <w:rFonts w:hint="eastAsia" w:ascii="Times New Roman" w:hAnsi="Times New Roman" w:cs="Times New Roman"/>
                <w:b/>
                <w:bCs/>
                <w:color w:val="auto"/>
                <w:sz w:val="24"/>
                <w:szCs w:val="24"/>
                <w:highlight w:val="none"/>
                <w:u w:val="none"/>
                <w:lang w:val="en-US" w:eastAsia="zh-CN" w:bidi="ar"/>
              </w:rPr>
              <w:t>（4）塑料盘生产工艺流程</w:t>
            </w:r>
          </w:p>
          <w:p>
            <w:pPr>
              <w:pStyle w:val="25"/>
              <w:widowControl w:val="0"/>
              <w:autoSpaceDE w:val="0"/>
              <w:autoSpaceDN w:val="0"/>
              <w:adjustRightInd w:val="0"/>
              <w:spacing w:before="0" w:beforeAutospacing="0" w:after="0" w:afterAutospacing="0" w:line="360" w:lineRule="auto"/>
              <w:jc w:val="center"/>
              <w:rPr>
                <w:rFonts w:hint="eastAsia" w:ascii="Times New Roman" w:hAnsi="Times New Roman" w:cs="Times New Roman"/>
                <w:b/>
                <w:bCs/>
                <w:color w:val="auto"/>
                <w:sz w:val="24"/>
                <w:szCs w:val="24"/>
                <w:highlight w:val="none"/>
                <w:u w:val="none"/>
                <w:lang w:val="en-US" w:eastAsia="zh-CN" w:bidi="ar"/>
              </w:rPr>
            </w:pPr>
            <w:r>
              <w:rPr>
                <w:rFonts w:hint="default"/>
                <w:color w:val="auto"/>
                <w:u w:val="none"/>
                <w:lang w:val="en-US" w:eastAsia="zh-CN"/>
              </w:rPr>
              <w:object>
                <v:shape id="_x0000_i1030" o:spt="75" type="#_x0000_t75" style="height:91.65pt;width:438pt;" o:ole="t" filled="f" o:preferrelative="t" stroked="f" coordsize="21600,21600">
                  <v:path/>
                  <v:fill on="f" focussize="0,0"/>
                  <v:stroke on="f"/>
                  <v:imagedata r:id="rId24" croptop="5499f" cropbottom="6459f" o:title=""/>
                  <o:lock v:ext="edit" aspectratio="f"/>
                  <w10:wrap type="none"/>
                  <w10:anchorlock/>
                </v:shape>
                <o:OLEObject Type="Embed" ProgID="Visio.Drawing.15" ShapeID="_x0000_i1030" DrawAspect="Content" ObjectID="_1468075730" r:id="rId23">
                  <o:LockedField>false</o:LockedField>
                </o:OLEObject>
              </w:object>
            </w:r>
          </w:p>
          <w:p>
            <w:pPr>
              <w:pStyle w:val="25"/>
              <w:widowControl w:val="0"/>
              <w:autoSpaceDE w:val="0"/>
              <w:autoSpaceDN w:val="0"/>
              <w:adjustRightInd w:val="0"/>
              <w:spacing w:before="0" w:beforeAutospacing="0" w:after="0" w:afterAutospacing="0" w:line="360" w:lineRule="auto"/>
              <w:jc w:val="center"/>
              <w:rPr>
                <w:rFonts w:hint="eastAsia" w:ascii="Times New Roman" w:hAnsi="Times New Roman" w:cs="Times New Roman"/>
                <w:b/>
                <w:bCs/>
                <w:color w:val="auto"/>
                <w:sz w:val="24"/>
                <w:szCs w:val="24"/>
                <w:highlight w:val="none"/>
                <w:u w:val="single"/>
                <w:lang w:val="en-US" w:eastAsia="zh-CN" w:bidi="ar"/>
              </w:rPr>
            </w:pPr>
            <w:r>
              <w:rPr>
                <w:rFonts w:hint="default" w:ascii="Times New Roman" w:hAnsi="Times New Roman" w:cs="Times New Roman"/>
                <w:b/>
                <w:bCs/>
                <w:color w:val="auto"/>
                <w:sz w:val="24"/>
                <w:szCs w:val="24"/>
                <w:u w:val="single"/>
                <w:lang w:val="en-US" w:eastAsia="zh-CN"/>
              </w:rPr>
              <w:t>图2.</w:t>
            </w:r>
            <w:r>
              <w:rPr>
                <w:rFonts w:hint="eastAsia" w:ascii="Times New Roman" w:hAnsi="Times New Roman" w:cs="Times New Roman"/>
                <w:b/>
                <w:bCs/>
                <w:color w:val="auto"/>
                <w:sz w:val="24"/>
                <w:szCs w:val="24"/>
                <w:u w:val="single"/>
                <w:lang w:val="en-US" w:eastAsia="zh-CN"/>
              </w:rPr>
              <w:t>9</w:t>
            </w:r>
            <w:r>
              <w:rPr>
                <w:rFonts w:hint="default" w:ascii="Times New Roman" w:hAnsi="Times New Roman" w:cs="Times New Roman"/>
                <w:b/>
                <w:bCs/>
                <w:color w:val="auto"/>
                <w:sz w:val="24"/>
                <w:szCs w:val="24"/>
                <w:u w:val="single"/>
                <w:lang w:val="en-US" w:eastAsia="zh-CN"/>
              </w:rPr>
              <w:t>-</w:t>
            </w:r>
            <w:r>
              <w:rPr>
                <w:rFonts w:hint="eastAsia" w:ascii="Times New Roman" w:hAnsi="Times New Roman" w:cs="Times New Roman"/>
                <w:b/>
                <w:bCs/>
                <w:color w:val="auto"/>
                <w:sz w:val="24"/>
                <w:szCs w:val="24"/>
                <w:u w:val="single"/>
                <w:lang w:val="en-US" w:eastAsia="zh-CN"/>
              </w:rPr>
              <w:t xml:space="preserve">5 </w:t>
            </w:r>
            <w:r>
              <w:rPr>
                <w:rFonts w:hint="eastAsia" w:ascii="Times New Roman" w:hAnsi="Times New Roman" w:cs="Times New Roman"/>
                <w:b/>
                <w:bCs/>
                <w:color w:val="auto"/>
                <w:sz w:val="24"/>
                <w:szCs w:val="24"/>
                <w:highlight w:val="none"/>
                <w:u w:val="single"/>
                <w:lang w:val="en-US" w:eastAsia="zh-CN" w:bidi="ar"/>
              </w:rPr>
              <w:t>塑料盘</w:t>
            </w:r>
            <w:r>
              <w:rPr>
                <w:rFonts w:hint="default" w:ascii="Times New Roman" w:hAnsi="Times New Roman" w:cs="Times New Roman"/>
                <w:b/>
                <w:bCs/>
                <w:color w:val="auto"/>
                <w:sz w:val="24"/>
                <w:szCs w:val="24"/>
                <w:u w:val="single"/>
                <w:lang w:val="en-US" w:eastAsia="zh-CN"/>
              </w:rPr>
              <w:t>生产工艺流程图</w:t>
            </w:r>
          </w:p>
          <w:p>
            <w:pPr>
              <w:pStyle w:val="62"/>
              <w:bidi w:val="0"/>
              <w:rPr>
                <w:rFonts w:hint="eastAsia"/>
                <w:color w:val="auto"/>
                <w:sz w:val="24"/>
                <w:szCs w:val="24"/>
                <w:highlight w:val="none"/>
                <w:u w:val="single"/>
              </w:rPr>
            </w:pPr>
            <w:r>
              <w:rPr>
                <w:rFonts w:hint="eastAsia"/>
                <w:color w:val="auto"/>
                <w:sz w:val="24"/>
                <w:szCs w:val="24"/>
                <w:highlight w:val="none"/>
                <w:u w:val="single"/>
                <w:lang w:eastAsia="zh-CN"/>
              </w:rPr>
              <w:t>外购</w:t>
            </w:r>
            <w:r>
              <w:rPr>
                <w:rFonts w:hint="eastAsia"/>
                <w:color w:val="auto"/>
                <w:sz w:val="24"/>
                <w:szCs w:val="24"/>
                <w:highlight w:val="none"/>
                <w:u w:val="single"/>
                <w:lang w:val="en-US" w:eastAsia="zh-CN"/>
              </w:rPr>
              <w:t>PS塑料粒子经管道吸入注塑机料仓。塑料颗粒粒径较大，投料过程无粉尘产生。</w:t>
            </w:r>
            <w:r>
              <w:rPr>
                <w:rFonts w:hint="eastAsia"/>
                <w:color w:val="auto"/>
                <w:sz w:val="24"/>
                <w:szCs w:val="24"/>
                <w:highlight w:val="none"/>
                <w:u w:val="single"/>
              </w:rPr>
              <w:t>注塑包括加热和挤出两个工段。注塑机采用电加热</w:t>
            </w:r>
            <w:r>
              <w:rPr>
                <w:rFonts w:hint="eastAsia"/>
                <w:color w:val="auto"/>
                <w:sz w:val="24"/>
                <w:szCs w:val="24"/>
                <w:highlight w:val="none"/>
                <w:u w:val="single"/>
                <w:lang w:eastAsia="zh-CN"/>
              </w:rPr>
              <w:t>，</w:t>
            </w:r>
            <w:r>
              <w:rPr>
                <w:rFonts w:hint="eastAsia"/>
                <w:color w:val="auto"/>
                <w:sz w:val="24"/>
                <w:szCs w:val="24"/>
                <w:highlight w:val="none"/>
                <w:u w:val="single"/>
              </w:rPr>
              <w:t>加热温度</w:t>
            </w:r>
            <w:r>
              <w:rPr>
                <w:rFonts w:hint="eastAsia"/>
                <w:color w:val="auto"/>
                <w:sz w:val="24"/>
                <w:szCs w:val="24"/>
                <w:highlight w:val="none"/>
                <w:u w:val="single"/>
                <w:lang w:val="en-US" w:eastAsia="zh-CN"/>
              </w:rPr>
              <w:t>200-220</w:t>
            </w:r>
            <w:r>
              <w:rPr>
                <w:rFonts w:hint="eastAsia"/>
                <w:color w:val="auto"/>
                <w:sz w:val="24"/>
                <w:szCs w:val="24"/>
                <w:highlight w:val="none"/>
                <w:u w:val="single"/>
              </w:rPr>
              <w:t>℃左右，使颗粒状塑料粒子成熔融状态，然后在压力作用下，从喷嘴中射出，被注入模腔。模腔填充95~99%后，注塑机受到压力增大的反馈停止加压，此时压力会保持一段时间，称为“保压”，主要用于补偿模腔内由于塑料冷却收缩而减少的体积。注射压力为8~12MPa、保压压力为6~10MPa。保压同时塑料制品冷却。注塑设备配套间接冷却水系统，冷却水循环使用，不外排。</w:t>
            </w:r>
          </w:p>
          <w:p>
            <w:pPr>
              <w:pStyle w:val="62"/>
              <w:bidi w:val="0"/>
              <w:rPr>
                <w:rFonts w:hint="eastAsia" w:eastAsia="宋体"/>
                <w:color w:val="auto"/>
                <w:sz w:val="24"/>
                <w:szCs w:val="24"/>
                <w:highlight w:val="none"/>
                <w:u w:val="single"/>
                <w:lang w:eastAsia="zh-CN"/>
              </w:rPr>
            </w:pPr>
            <w:r>
              <w:rPr>
                <w:rFonts w:hint="eastAsia"/>
                <w:color w:val="auto"/>
                <w:sz w:val="24"/>
                <w:szCs w:val="24"/>
                <w:highlight w:val="none"/>
                <w:u w:val="single"/>
                <w:lang w:val="en-US" w:eastAsia="zh-CN"/>
              </w:rPr>
              <w:t>PS</w:t>
            </w:r>
            <w:r>
              <w:rPr>
                <w:rFonts w:hint="eastAsia"/>
                <w:color w:val="auto"/>
                <w:sz w:val="24"/>
                <w:szCs w:val="24"/>
                <w:highlight w:val="none"/>
                <w:u w:val="single"/>
              </w:rPr>
              <w:t>类塑料具有良好的热稳定性，本项目加热温度为</w:t>
            </w:r>
            <w:r>
              <w:rPr>
                <w:rFonts w:hint="eastAsia"/>
                <w:color w:val="auto"/>
                <w:sz w:val="24"/>
                <w:szCs w:val="24"/>
                <w:highlight w:val="none"/>
                <w:u w:val="single"/>
                <w:lang w:val="en-US" w:eastAsia="zh-CN"/>
              </w:rPr>
              <w:t>200-220</w:t>
            </w:r>
            <w:r>
              <w:rPr>
                <w:rFonts w:hint="eastAsia"/>
                <w:color w:val="auto"/>
                <w:sz w:val="24"/>
                <w:szCs w:val="24"/>
                <w:highlight w:val="none"/>
                <w:u w:val="single"/>
              </w:rPr>
              <w:t>℃左右，且整个注塑过程中不需使用脱模剂，但生产加工过程中仍会产生少量的有机废气</w:t>
            </w:r>
            <w:r>
              <w:rPr>
                <w:rFonts w:hint="eastAsia"/>
                <w:color w:val="auto"/>
                <w:sz w:val="24"/>
                <w:szCs w:val="24"/>
                <w:highlight w:val="none"/>
                <w:u w:val="single"/>
                <w:lang w:eastAsia="zh-CN"/>
              </w:rPr>
              <w:t>（</w:t>
            </w:r>
            <w:r>
              <w:rPr>
                <w:rFonts w:hint="eastAsia"/>
                <w:color w:val="auto"/>
                <w:sz w:val="24"/>
                <w:szCs w:val="24"/>
                <w:highlight w:val="none"/>
                <w:u w:val="single"/>
                <w:lang w:val="en-US" w:eastAsia="zh-CN"/>
              </w:rPr>
              <w:t>G5</w:t>
            </w:r>
            <w:r>
              <w:rPr>
                <w:rFonts w:hint="eastAsia"/>
                <w:color w:val="auto"/>
                <w:sz w:val="24"/>
                <w:szCs w:val="24"/>
                <w:highlight w:val="none"/>
                <w:u w:val="single"/>
                <w:lang w:eastAsia="zh-CN"/>
              </w:rPr>
              <w:t>）</w:t>
            </w:r>
            <w:r>
              <w:rPr>
                <w:rFonts w:hint="eastAsia"/>
                <w:color w:val="auto"/>
                <w:sz w:val="24"/>
                <w:szCs w:val="24"/>
                <w:highlight w:val="none"/>
                <w:u w:val="single"/>
              </w:rPr>
              <w:t>，本评价以非甲烷总烃计。当注塑设备停机时，设备内会残留少量未完全挤出的塑料，并冷却固化，待下次开机后，重新熔融，取出回用。</w:t>
            </w:r>
            <w:r>
              <w:rPr>
                <w:rFonts w:hint="eastAsia"/>
                <w:color w:val="auto"/>
                <w:sz w:val="24"/>
                <w:szCs w:val="24"/>
                <w:highlight w:val="none"/>
                <w:u w:val="single"/>
                <w:lang w:eastAsia="zh-CN"/>
              </w:rPr>
              <w:t>部分产品存在毛边，人工修边后即为塑料盘，用于焊丝焊材包装。产生的少量塑料边角料（</w:t>
            </w:r>
            <w:r>
              <w:rPr>
                <w:rFonts w:hint="eastAsia"/>
                <w:color w:val="auto"/>
                <w:sz w:val="24"/>
                <w:szCs w:val="24"/>
                <w:highlight w:val="none"/>
                <w:u w:val="single"/>
                <w:lang w:val="en-US" w:eastAsia="zh-CN"/>
              </w:rPr>
              <w:t>S6</w:t>
            </w:r>
            <w:r>
              <w:rPr>
                <w:rFonts w:hint="eastAsia"/>
                <w:color w:val="auto"/>
                <w:sz w:val="24"/>
                <w:szCs w:val="24"/>
                <w:highlight w:val="none"/>
                <w:u w:val="single"/>
                <w:lang w:eastAsia="zh-CN"/>
              </w:rPr>
              <w:t>）回用注塑工序。本项目生产的塑料盘仅用于焊丝包装使用。</w:t>
            </w:r>
          </w:p>
          <w:p>
            <w:pPr>
              <w:pStyle w:val="25"/>
              <w:widowControl w:val="0"/>
              <w:autoSpaceDE w:val="0"/>
              <w:autoSpaceDN w:val="0"/>
              <w:adjustRightInd w:val="0"/>
              <w:spacing w:before="0" w:beforeAutospacing="0" w:after="0" w:afterAutospacing="0" w:line="360" w:lineRule="auto"/>
              <w:rPr>
                <w:rFonts w:hint="eastAsia"/>
                <w:b/>
                <w:bCs/>
                <w:color w:val="auto"/>
                <w:sz w:val="24"/>
                <w:szCs w:val="24"/>
                <w:highlight w:val="none"/>
                <w:u w:val="none"/>
                <w:lang w:val="en-US" w:eastAsia="zh-CN" w:bidi="ar"/>
              </w:rPr>
            </w:pPr>
            <w:r>
              <w:rPr>
                <w:rFonts w:hint="eastAsia" w:ascii="Times New Roman" w:hAnsi="Times New Roman" w:cs="Times New Roman"/>
                <w:b/>
                <w:bCs/>
                <w:color w:val="auto"/>
                <w:sz w:val="24"/>
                <w:szCs w:val="24"/>
                <w:highlight w:val="none"/>
                <w:u w:val="none"/>
                <w:lang w:val="en-US" w:eastAsia="zh-CN" w:bidi="ar"/>
              </w:rPr>
              <w:t>（4）</w:t>
            </w:r>
            <w:r>
              <w:rPr>
                <w:rFonts w:hint="default" w:ascii="Times New Roman" w:hAnsi="Times New Roman" w:cs="Times New Roman"/>
                <w:b/>
                <w:bCs/>
                <w:color w:val="auto"/>
                <w:sz w:val="24"/>
                <w:szCs w:val="24"/>
                <w:highlight w:val="none"/>
                <w:u w:val="none"/>
                <w:lang w:val="en-US" w:eastAsia="zh-CN" w:bidi="ar"/>
              </w:rPr>
              <w:t>产污环节</w:t>
            </w:r>
            <w:r>
              <w:rPr>
                <w:rFonts w:hint="eastAsia"/>
                <w:b/>
                <w:bCs/>
                <w:color w:val="auto"/>
                <w:sz w:val="24"/>
                <w:szCs w:val="24"/>
                <w:highlight w:val="none"/>
                <w:u w:val="none"/>
                <w:lang w:val="en-US" w:eastAsia="zh-CN" w:bidi="ar"/>
              </w:rPr>
              <w:t>：</w:t>
            </w:r>
          </w:p>
          <w:p>
            <w:pPr>
              <w:pStyle w:val="25"/>
              <w:widowControl w:val="0"/>
              <w:autoSpaceDE w:val="0"/>
              <w:autoSpaceDN w:val="0"/>
              <w:adjustRightInd w:val="0"/>
              <w:spacing w:before="0" w:beforeAutospacing="0" w:after="0" w:afterAutospacing="0" w:line="360" w:lineRule="auto"/>
              <w:ind w:firstLine="480" w:firstLineChars="200"/>
              <w:rPr>
                <w:rFonts w:ascii="Times New Roman" w:hAnsi="Times New Roman"/>
                <w:color w:val="auto"/>
                <w:sz w:val="24"/>
                <w:szCs w:val="24"/>
                <w:highlight w:val="none"/>
                <w:u w:val="none"/>
                <w:lang w:val="en-US" w:eastAsia="zh-CN"/>
              </w:rPr>
            </w:pPr>
            <w:r>
              <w:rPr>
                <w:rFonts w:hint="eastAsia"/>
                <w:color w:val="auto"/>
                <w:sz w:val="24"/>
                <w:szCs w:val="24"/>
                <w:highlight w:val="none"/>
                <w:u w:val="none"/>
                <w:lang w:val="en-US" w:eastAsia="zh-CN" w:bidi="ar"/>
              </w:rPr>
              <w:t>本项目各生产工序产污情况见表</w:t>
            </w:r>
            <w:r>
              <w:rPr>
                <w:rFonts w:hint="eastAsia" w:ascii="Times New Roman" w:hAnsi="Times New Roman"/>
                <w:color w:val="auto"/>
                <w:sz w:val="24"/>
                <w:szCs w:val="24"/>
                <w:highlight w:val="none"/>
                <w:u w:val="none"/>
                <w:lang w:val="en-US" w:eastAsia="zh-CN" w:bidi="ar"/>
              </w:rPr>
              <w:t>2.9-1</w:t>
            </w:r>
            <w:r>
              <w:rPr>
                <w:rFonts w:hint="eastAsia"/>
                <w:color w:val="auto"/>
                <w:sz w:val="24"/>
                <w:szCs w:val="24"/>
                <w:highlight w:val="none"/>
                <w:u w:val="none"/>
                <w:lang w:val="en-US" w:eastAsia="zh-CN" w:bidi="ar"/>
              </w:rPr>
              <w:t>。</w:t>
            </w:r>
          </w:p>
          <w:p>
            <w:pPr>
              <w:jc w:val="center"/>
              <w:outlineLvl w:val="0"/>
              <w:rPr>
                <w:color w:val="auto"/>
                <w:sz w:val="24"/>
                <w:szCs w:val="24"/>
                <w:highlight w:val="none"/>
                <w:u w:val="none"/>
              </w:rPr>
            </w:pPr>
            <w:bookmarkStart w:id="59" w:name="_Toc15602"/>
            <w:r>
              <w:rPr>
                <w:rFonts w:hint="eastAsia" w:ascii="宋体" w:hAnsi="宋体" w:cs="宋体"/>
                <w:b/>
                <w:color w:val="auto"/>
                <w:sz w:val="24"/>
                <w:szCs w:val="24"/>
                <w:highlight w:val="none"/>
                <w:u w:val="none"/>
                <w:lang w:bidi="ar"/>
              </w:rPr>
              <w:t>表</w:t>
            </w:r>
            <w:r>
              <w:rPr>
                <w:rFonts w:hint="eastAsia"/>
                <w:b/>
                <w:color w:val="auto"/>
                <w:sz w:val="24"/>
                <w:szCs w:val="24"/>
                <w:highlight w:val="none"/>
                <w:u w:val="none"/>
                <w:lang w:val="en-US" w:eastAsia="zh-CN" w:bidi="ar"/>
              </w:rPr>
              <w:t>2.9-1</w:t>
            </w:r>
            <w:r>
              <w:rPr>
                <w:rFonts w:hint="eastAsia" w:ascii="宋体" w:hAnsi="宋体" w:cs="宋体"/>
                <w:b/>
                <w:color w:val="auto"/>
                <w:sz w:val="24"/>
                <w:szCs w:val="24"/>
                <w:highlight w:val="none"/>
                <w:u w:val="none"/>
                <w:lang w:bidi="ar"/>
              </w:rPr>
              <w:t>生产工艺流程产污情况一览表</w:t>
            </w:r>
            <w:bookmarkEnd w:id="59"/>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29"/>
              <w:gridCol w:w="640"/>
              <w:gridCol w:w="1633"/>
              <w:gridCol w:w="2204"/>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noWrap w:val="0"/>
                  <w:vAlign w:val="center"/>
                </w:tcPr>
                <w:p>
                  <w:pPr>
                    <w:adjustRightInd w:val="0"/>
                    <w:jc w:val="center"/>
                    <w:rPr>
                      <w:b/>
                      <w:color w:val="auto"/>
                      <w:szCs w:val="21"/>
                      <w:highlight w:val="none"/>
                      <w:u w:val="none"/>
                    </w:rPr>
                  </w:pPr>
                  <w:r>
                    <w:rPr>
                      <w:b/>
                      <w:color w:val="auto"/>
                      <w:szCs w:val="21"/>
                      <w:highlight w:val="none"/>
                      <w:u w:val="none"/>
                      <w:lang w:bidi="ar"/>
                    </w:rPr>
                    <w:t>污染类型</w:t>
                  </w:r>
                </w:p>
              </w:tc>
              <w:tc>
                <w:tcPr>
                  <w:tcW w:w="1229" w:type="dxa"/>
                  <w:noWrap w:val="0"/>
                  <w:vAlign w:val="center"/>
                </w:tcPr>
                <w:p>
                  <w:pPr>
                    <w:adjustRightInd w:val="0"/>
                    <w:jc w:val="center"/>
                    <w:rPr>
                      <w:b/>
                      <w:color w:val="auto"/>
                      <w:szCs w:val="21"/>
                      <w:highlight w:val="none"/>
                      <w:u w:val="none"/>
                    </w:rPr>
                  </w:pPr>
                  <w:r>
                    <w:rPr>
                      <w:rFonts w:hint="eastAsia"/>
                      <w:b/>
                      <w:color w:val="auto"/>
                      <w:szCs w:val="21"/>
                      <w:highlight w:val="none"/>
                      <w:u w:val="none"/>
                      <w:lang w:bidi="ar"/>
                    </w:rPr>
                    <w:t>产生工序</w:t>
                  </w:r>
                </w:p>
              </w:tc>
              <w:tc>
                <w:tcPr>
                  <w:tcW w:w="640" w:type="dxa"/>
                  <w:noWrap w:val="0"/>
                  <w:vAlign w:val="center"/>
                </w:tcPr>
                <w:p>
                  <w:pPr>
                    <w:adjustRightInd w:val="0"/>
                    <w:jc w:val="center"/>
                    <w:rPr>
                      <w:rFonts w:hint="eastAsia" w:eastAsia="宋体"/>
                      <w:b/>
                      <w:color w:val="auto"/>
                      <w:szCs w:val="21"/>
                      <w:highlight w:val="none"/>
                      <w:u w:val="none"/>
                      <w:lang w:eastAsia="zh-CN" w:bidi="ar"/>
                    </w:rPr>
                  </w:pPr>
                  <w:r>
                    <w:rPr>
                      <w:rFonts w:hint="eastAsia"/>
                      <w:b/>
                      <w:color w:val="auto"/>
                      <w:szCs w:val="21"/>
                      <w:highlight w:val="none"/>
                      <w:u w:val="none"/>
                      <w:lang w:eastAsia="zh-CN" w:bidi="ar"/>
                    </w:rPr>
                    <w:t>序号</w:t>
                  </w:r>
                </w:p>
              </w:tc>
              <w:tc>
                <w:tcPr>
                  <w:tcW w:w="1633" w:type="dxa"/>
                  <w:noWrap w:val="0"/>
                  <w:vAlign w:val="center"/>
                </w:tcPr>
                <w:p>
                  <w:pPr>
                    <w:adjustRightInd w:val="0"/>
                    <w:jc w:val="center"/>
                    <w:rPr>
                      <w:rFonts w:hint="eastAsia" w:eastAsia="宋体"/>
                      <w:b/>
                      <w:color w:val="auto"/>
                      <w:szCs w:val="21"/>
                      <w:highlight w:val="none"/>
                      <w:u w:val="none"/>
                      <w:lang w:eastAsia="zh-CN"/>
                    </w:rPr>
                  </w:pPr>
                  <w:r>
                    <w:rPr>
                      <w:b/>
                      <w:color w:val="auto"/>
                      <w:szCs w:val="21"/>
                      <w:highlight w:val="none"/>
                      <w:u w:val="none"/>
                      <w:lang w:bidi="ar"/>
                    </w:rPr>
                    <w:t>污染</w:t>
                  </w:r>
                  <w:r>
                    <w:rPr>
                      <w:rFonts w:hint="eastAsia"/>
                      <w:b/>
                      <w:color w:val="auto"/>
                      <w:szCs w:val="21"/>
                      <w:highlight w:val="none"/>
                      <w:u w:val="none"/>
                      <w:lang w:eastAsia="zh-CN" w:bidi="ar"/>
                    </w:rPr>
                    <w:t>源</w:t>
                  </w:r>
                </w:p>
              </w:tc>
              <w:tc>
                <w:tcPr>
                  <w:tcW w:w="2204" w:type="dxa"/>
                  <w:noWrap w:val="0"/>
                  <w:vAlign w:val="center"/>
                </w:tcPr>
                <w:p>
                  <w:pPr>
                    <w:adjustRightInd w:val="0"/>
                    <w:jc w:val="center"/>
                    <w:rPr>
                      <w:rFonts w:hint="eastAsia" w:eastAsia="宋体"/>
                      <w:b/>
                      <w:color w:val="auto"/>
                      <w:szCs w:val="21"/>
                      <w:highlight w:val="none"/>
                      <w:u w:val="none"/>
                      <w:lang w:eastAsia="zh-CN" w:bidi="ar"/>
                    </w:rPr>
                  </w:pPr>
                  <w:r>
                    <w:rPr>
                      <w:rFonts w:hint="eastAsia"/>
                      <w:b/>
                      <w:color w:val="auto"/>
                      <w:szCs w:val="21"/>
                      <w:highlight w:val="none"/>
                      <w:u w:val="none"/>
                      <w:lang w:eastAsia="zh-CN" w:bidi="ar"/>
                    </w:rPr>
                    <w:t>污染因子</w:t>
                  </w:r>
                </w:p>
              </w:tc>
              <w:tc>
                <w:tcPr>
                  <w:tcW w:w="2488" w:type="dxa"/>
                  <w:noWrap w:val="0"/>
                  <w:vAlign w:val="center"/>
                </w:tcPr>
                <w:p>
                  <w:pPr>
                    <w:adjustRightInd w:val="0"/>
                    <w:jc w:val="center"/>
                    <w:rPr>
                      <w:rFonts w:hint="eastAsia"/>
                      <w:b/>
                      <w:color w:val="auto"/>
                      <w:szCs w:val="21"/>
                      <w:highlight w:val="none"/>
                      <w:u w:val="none"/>
                      <w:lang w:eastAsia="zh-CN" w:bidi="ar"/>
                    </w:rPr>
                  </w:pPr>
                  <w:r>
                    <w:rPr>
                      <w:rFonts w:hint="eastAsia"/>
                      <w:b/>
                      <w:color w:val="auto"/>
                      <w:szCs w:val="21"/>
                      <w:highlight w:val="none"/>
                      <w:u w:val="none"/>
                      <w:lang w:eastAsia="zh-CN" w:bidi="ar"/>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restart"/>
                  <w:noWrap w:val="0"/>
                  <w:vAlign w:val="center"/>
                </w:tcPr>
                <w:p>
                  <w:pPr>
                    <w:adjustRightInd w:val="0"/>
                    <w:jc w:val="center"/>
                    <w:rPr>
                      <w:rFonts w:hint="eastAsia" w:eastAsia="宋体"/>
                      <w:color w:val="auto"/>
                      <w:szCs w:val="21"/>
                      <w:highlight w:val="none"/>
                      <w:u w:val="none"/>
                      <w:lang w:eastAsia="zh-CN"/>
                    </w:rPr>
                  </w:pPr>
                  <w:r>
                    <w:rPr>
                      <w:rFonts w:hint="eastAsia"/>
                      <w:color w:val="auto"/>
                      <w:szCs w:val="21"/>
                      <w:highlight w:val="none"/>
                      <w:u w:val="none"/>
                      <w:lang w:eastAsia="zh-CN"/>
                    </w:rPr>
                    <w:t>废水</w:t>
                  </w: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cs="Times New Roman"/>
                      <w:color w:val="auto"/>
                      <w:szCs w:val="21"/>
                      <w:highlight w:val="none"/>
                      <w:u w:val="none"/>
                      <w:lang w:eastAsia="zh-CN" w:bidi="ar"/>
                    </w:rPr>
                    <w:t>酸电解</w:t>
                  </w:r>
                </w:p>
              </w:tc>
              <w:tc>
                <w:tcPr>
                  <w:tcW w:w="640" w:type="dxa"/>
                  <w:noWrap w:val="0"/>
                  <w:vAlign w:val="center"/>
                </w:tcPr>
                <w:p>
                  <w:pPr>
                    <w:adjustRightInd w:val="0"/>
                    <w:jc w:val="center"/>
                    <w:rPr>
                      <w:rFonts w:hint="default" w:eastAsia="宋体"/>
                      <w:color w:val="auto"/>
                      <w:szCs w:val="21"/>
                      <w:highlight w:val="none"/>
                      <w:u w:val="none"/>
                      <w:lang w:val="en-US" w:eastAsia="zh-CN" w:bidi="ar"/>
                    </w:rPr>
                  </w:pPr>
                  <w:r>
                    <w:rPr>
                      <w:rFonts w:hint="eastAsia"/>
                      <w:color w:val="auto"/>
                      <w:szCs w:val="21"/>
                      <w:highlight w:val="none"/>
                      <w:u w:val="none"/>
                      <w:lang w:val="en-US" w:eastAsia="zh-CN" w:bidi="ar"/>
                    </w:rPr>
                    <w:t>W1</w:t>
                  </w:r>
                </w:p>
              </w:tc>
              <w:tc>
                <w:tcPr>
                  <w:tcW w:w="1633" w:type="dxa"/>
                  <w:noWrap w:val="0"/>
                  <w:vAlign w:val="center"/>
                </w:tcPr>
                <w:p>
                  <w:pPr>
                    <w:adjustRightInd w:val="0"/>
                    <w:jc w:val="center"/>
                    <w:rPr>
                      <w:color w:val="auto"/>
                      <w:szCs w:val="21"/>
                      <w:highlight w:val="none"/>
                      <w:u w:val="none"/>
                    </w:rPr>
                  </w:pPr>
                  <w:r>
                    <w:rPr>
                      <w:rFonts w:hint="eastAsia" w:cs="Times New Roman"/>
                      <w:color w:val="auto"/>
                      <w:szCs w:val="21"/>
                      <w:highlight w:val="none"/>
                      <w:u w:val="none"/>
                      <w:lang w:eastAsia="zh-CN" w:bidi="ar"/>
                    </w:rPr>
                    <w:t>酸洗废水</w:t>
                  </w:r>
                </w:p>
              </w:tc>
              <w:tc>
                <w:tcPr>
                  <w:tcW w:w="2204" w:type="dxa"/>
                  <w:vMerge w:val="restart"/>
                  <w:noWrap w:val="0"/>
                  <w:vAlign w:val="center"/>
                </w:tcPr>
                <w:p>
                  <w:pPr>
                    <w:adjustRightInd w:val="0"/>
                    <w:jc w:val="center"/>
                    <w:rPr>
                      <w:rFonts w:hint="eastAsia"/>
                      <w:color w:val="auto"/>
                      <w:szCs w:val="21"/>
                      <w:highlight w:val="none"/>
                      <w:u w:val="none"/>
                      <w:lang w:bidi="ar"/>
                    </w:rPr>
                  </w:pPr>
                  <w:r>
                    <w:rPr>
                      <w:rFonts w:hint="eastAsia" w:ascii="Times New Roman" w:hAnsi="Times New Roman" w:eastAsia="宋体" w:cs="Times New Roman"/>
                      <w:color w:val="auto"/>
                      <w:sz w:val="21"/>
                      <w:szCs w:val="21"/>
                      <w:highlight w:val="none"/>
                      <w:u w:val="none"/>
                      <w:lang w:val="en-US" w:eastAsia="zh-CN"/>
                    </w:rPr>
                    <w:t>pH、SS、COD</w:t>
                  </w:r>
                  <w:r>
                    <w:rPr>
                      <w:rFonts w:hint="eastAsia" w:ascii="Times New Roman" w:hAnsi="Times New Roman" w:eastAsia="宋体" w:cs="Times New Roman"/>
                      <w:color w:val="auto"/>
                      <w:sz w:val="21"/>
                      <w:szCs w:val="21"/>
                      <w:highlight w:val="none"/>
                      <w:u w:val="none"/>
                      <w:vertAlign w:val="subscript"/>
                      <w:lang w:val="en-US" w:eastAsia="zh-CN"/>
                    </w:rPr>
                    <w:t>cr</w:t>
                  </w:r>
                  <w:r>
                    <w:rPr>
                      <w:rFonts w:hint="eastAsia" w:ascii="Times New Roman" w:hAnsi="Times New Roman" w:eastAsia="宋体" w:cs="Times New Roman"/>
                      <w:color w:val="auto"/>
                      <w:sz w:val="21"/>
                      <w:szCs w:val="21"/>
                      <w:highlight w:val="none"/>
                      <w:u w:val="none"/>
                      <w:lang w:val="en-US" w:eastAsia="zh-CN"/>
                    </w:rPr>
                    <w:t>、BOD</w:t>
                  </w:r>
                  <w:r>
                    <w:rPr>
                      <w:rFonts w:hint="eastAsia" w:ascii="Times New Roman" w:hAnsi="Times New Roman" w:eastAsia="宋体" w:cs="Times New Roman"/>
                      <w:color w:val="auto"/>
                      <w:sz w:val="21"/>
                      <w:szCs w:val="21"/>
                      <w:highlight w:val="none"/>
                      <w:u w:val="none"/>
                      <w:vertAlign w:val="subscript"/>
                      <w:lang w:val="en-US" w:eastAsia="zh-CN"/>
                    </w:rPr>
                    <w:t>5</w:t>
                  </w:r>
                  <w:r>
                    <w:rPr>
                      <w:rFonts w:hint="eastAsia" w:ascii="Times New Roman" w:hAnsi="Times New Roman" w:eastAsia="宋体" w:cs="Times New Roman"/>
                      <w:color w:val="auto"/>
                      <w:sz w:val="21"/>
                      <w:szCs w:val="21"/>
                      <w:highlight w:val="none"/>
                      <w:u w:val="none"/>
                      <w:lang w:val="en-US" w:eastAsia="zh-CN"/>
                    </w:rPr>
                    <w:t>、氨氮、总磷、总氮、石油类、总铁</w:t>
                  </w:r>
                </w:p>
              </w:tc>
              <w:tc>
                <w:tcPr>
                  <w:tcW w:w="2488" w:type="dxa"/>
                  <w:vMerge w:val="restart"/>
                  <w:noWrap w:val="0"/>
                  <w:vAlign w:val="center"/>
                </w:tcPr>
                <w:p>
                  <w:pPr>
                    <w:adjustRightInd w:val="0"/>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经废水处理设施处理后，部分回用，部分</w:t>
                  </w:r>
                  <w:r>
                    <w:rPr>
                      <w:rFonts w:hint="eastAsia" w:cs="Times New Roman"/>
                      <w:color w:val="auto"/>
                      <w:sz w:val="21"/>
                      <w:szCs w:val="21"/>
                      <w:highlight w:val="none"/>
                      <w:u w:val="none"/>
                      <w:lang w:val="en-US" w:eastAsia="zh-CN"/>
                    </w:rPr>
                    <w:t>排湘阴县第三污水处理厂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color w:val="auto"/>
                      <w:szCs w:val="21"/>
                      <w:highlight w:val="none"/>
                      <w:u w:val="none"/>
                      <w:lang w:bidi="ar"/>
                    </w:rPr>
                  </w:pP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cs="Times New Roman"/>
                      <w:color w:val="auto"/>
                      <w:szCs w:val="21"/>
                      <w:highlight w:val="none"/>
                      <w:u w:val="none"/>
                      <w:lang w:eastAsia="zh-CN" w:bidi="ar"/>
                    </w:rPr>
                    <w:t>水洗</w:t>
                  </w:r>
                </w:p>
              </w:tc>
              <w:tc>
                <w:tcPr>
                  <w:tcW w:w="640" w:type="dxa"/>
                  <w:noWrap w:val="0"/>
                  <w:vAlign w:val="center"/>
                </w:tcPr>
                <w:p>
                  <w:pPr>
                    <w:adjustRightInd w:val="0"/>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W2</w:t>
                  </w:r>
                </w:p>
              </w:tc>
              <w:tc>
                <w:tcPr>
                  <w:tcW w:w="1633" w:type="dxa"/>
                  <w:noWrap w:val="0"/>
                  <w:vAlign w:val="center"/>
                </w:tcPr>
                <w:p>
                  <w:pPr>
                    <w:adjustRightInd w:val="0"/>
                    <w:jc w:val="center"/>
                    <w:rPr>
                      <w:rFonts w:hint="eastAsia"/>
                      <w:color w:val="auto"/>
                      <w:szCs w:val="21"/>
                      <w:highlight w:val="none"/>
                      <w:u w:val="none"/>
                      <w:lang w:eastAsia="zh-CN" w:bidi="ar"/>
                    </w:rPr>
                  </w:pPr>
                  <w:r>
                    <w:rPr>
                      <w:rFonts w:hint="eastAsia"/>
                      <w:color w:val="auto"/>
                      <w:szCs w:val="21"/>
                      <w:highlight w:val="none"/>
                      <w:u w:val="none"/>
                      <w:lang w:eastAsia="zh-CN" w:bidi="ar"/>
                    </w:rPr>
                    <w:t>水洗废水</w:t>
                  </w:r>
                </w:p>
              </w:tc>
              <w:tc>
                <w:tcPr>
                  <w:tcW w:w="2204" w:type="dxa"/>
                  <w:vMerge w:val="continue"/>
                  <w:noWrap w:val="0"/>
                  <w:vAlign w:val="center"/>
                </w:tcPr>
                <w:p>
                  <w:pPr>
                    <w:adjustRightInd w:val="0"/>
                    <w:jc w:val="center"/>
                    <w:rPr>
                      <w:rFonts w:hint="eastAsia"/>
                      <w:color w:val="auto"/>
                      <w:szCs w:val="21"/>
                      <w:highlight w:val="none"/>
                      <w:u w:val="none"/>
                      <w:lang w:eastAsia="zh-CN" w:bidi="ar"/>
                    </w:rPr>
                  </w:pPr>
                </w:p>
              </w:tc>
              <w:tc>
                <w:tcPr>
                  <w:tcW w:w="2488" w:type="dxa"/>
                  <w:vMerge w:val="continue"/>
                  <w:noWrap w:val="0"/>
                  <w:vAlign w:val="center"/>
                </w:tcPr>
                <w:p>
                  <w:pPr>
                    <w:adjustRightInd w:val="0"/>
                    <w:jc w:val="center"/>
                    <w:rPr>
                      <w:rFonts w:hint="eastAsia"/>
                      <w:color w:val="auto"/>
                      <w:szCs w:val="21"/>
                      <w:highlight w:val="none"/>
                      <w:u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color w:val="auto"/>
                      <w:szCs w:val="21"/>
                      <w:highlight w:val="none"/>
                      <w:u w:val="none"/>
                      <w:lang w:bidi="ar"/>
                    </w:rPr>
                  </w:pPr>
                </w:p>
              </w:tc>
              <w:tc>
                <w:tcPr>
                  <w:tcW w:w="1229" w:type="dxa"/>
                  <w:noWrap w:val="0"/>
                  <w:vAlign w:val="center"/>
                </w:tcPr>
                <w:p>
                  <w:pPr>
                    <w:adjustRightInd w:val="0"/>
                    <w:jc w:val="center"/>
                    <w:rPr>
                      <w:rFonts w:hint="default" w:ascii="Times New Roman" w:hAnsi="Times New Roman" w:eastAsia="宋体"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冷却</w:t>
                  </w:r>
                </w:p>
              </w:tc>
              <w:tc>
                <w:tcPr>
                  <w:tcW w:w="640" w:type="dxa"/>
                  <w:noWrap w:val="0"/>
                  <w:vAlign w:val="center"/>
                </w:tcPr>
                <w:p>
                  <w:pPr>
                    <w:adjustRightInd w:val="0"/>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W3</w:t>
                  </w:r>
                </w:p>
              </w:tc>
              <w:tc>
                <w:tcPr>
                  <w:tcW w:w="1633" w:type="dxa"/>
                  <w:noWrap w:val="0"/>
                  <w:vAlign w:val="center"/>
                </w:tcPr>
                <w:p>
                  <w:pPr>
                    <w:adjustRightInd w:val="0"/>
                    <w:jc w:val="center"/>
                    <w:rPr>
                      <w:rFonts w:hint="eastAsia"/>
                      <w:color w:val="auto"/>
                      <w:szCs w:val="21"/>
                      <w:highlight w:val="none"/>
                      <w:u w:val="none"/>
                      <w:lang w:eastAsia="zh-CN" w:bidi="ar"/>
                    </w:rPr>
                  </w:pPr>
                  <w:r>
                    <w:rPr>
                      <w:rFonts w:hint="eastAsia"/>
                      <w:color w:val="auto"/>
                      <w:szCs w:val="21"/>
                      <w:highlight w:val="none"/>
                      <w:u w:val="none"/>
                      <w:lang w:eastAsia="zh-CN" w:bidi="ar"/>
                    </w:rPr>
                    <w:t>冷却水</w:t>
                  </w:r>
                </w:p>
              </w:tc>
              <w:tc>
                <w:tcPr>
                  <w:tcW w:w="2204" w:type="dxa"/>
                  <w:noWrap w:val="0"/>
                  <w:vAlign w:val="center"/>
                </w:tcPr>
                <w:p>
                  <w:pPr>
                    <w:adjustRightInd w:val="0"/>
                    <w:jc w:val="center"/>
                    <w:rPr>
                      <w:rFonts w:hint="eastAsia"/>
                      <w:color w:val="auto"/>
                      <w:szCs w:val="21"/>
                      <w:highlight w:val="none"/>
                      <w:u w:val="none"/>
                      <w:lang w:eastAsia="zh-CN" w:bidi="ar"/>
                    </w:rPr>
                  </w:pPr>
                  <w:r>
                    <w:rPr>
                      <w:rFonts w:hint="eastAsia" w:ascii="Times New Roman" w:hAnsi="Times New Roman" w:eastAsia="宋体" w:cs="Times New Roman"/>
                      <w:color w:val="auto"/>
                      <w:sz w:val="21"/>
                      <w:szCs w:val="21"/>
                      <w:highlight w:val="none"/>
                      <w:u w:val="none"/>
                      <w:lang w:val="en-US" w:eastAsia="zh-CN"/>
                    </w:rPr>
                    <w:t>pH、SS</w:t>
                  </w:r>
                </w:p>
              </w:tc>
              <w:tc>
                <w:tcPr>
                  <w:tcW w:w="2488" w:type="dxa"/>
                  <w:noWrap w:val="0"/>
                  <w:vAlign w:val="center"/>
                </w:tcPr>
                <w:p>
                  <w:pPr>
                    <w:adjustRightInd w:val="0"/>
                    <w:jc w:val="center"/>
                    <w:rPr>
                      <w:rFonts w:hint="eastAsia"/>
                      <w:color w:val="auto"/>
                      <w:szCs w:val="21"/>
                      <w:highlight w:val="none"/>
                      <w:u w:val="none"/>
                      <w:lang w:eastAsia="zh-CN" w:bidi="ar"/>
                    </w:rPr>
                  </w:pPr>
                  <w:r>
                    <w:rPr>
                      <w:rFonts w:hint="eastAsia"/>
                      <w:color w:val="auto"/>
                      <w:szCs w:val="21"/>
                      <w:highlight w:val="none"/>
                      <w:u w:val="none"/>
                      <w:lang w:eastAsia="zh-CN" w:bidi="ar"/>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Merge w:val="continue"/>
                  <w:noWrap w:val="0"/>
                  <w:vAlign w:val="center"/>
                </w:tcPr>
                <w:p>
                  <w:pPr>
                    <w:adjustRightInd w:val="0"/>
                    <w:jc w:val="center"/>
                    <w:rPr>
                      <w:rFonts w:hint="eastAsia"/>
                      <w:color w:val="auto"/>
                      <w:szCs w:val="21"/>
                      <w:highlight w:val="none"/>
                      <w:u w:val="none"/>
                      <w:lang w:bidi="ar"/>
                    </w:rPr>
                  </w:pP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cs="Times New Roman"/>
                      <w:color w:val="auto"/>
                      <w:szCs w:val="21"/>
                      <w:highlight w:val="none"/>
                      <w:u w:val="none"/>
                      <w:lang w:eastAsia="zh-CN" w:bidi="ar"/>
                    </w:rPr>
                    <w:t>清洗</w:t>
                  </w:r>
                </w:p>
              </w:tc>
              <w:tc>
                <w:tcPr>
                  <w:tcW w:w="640" w:type="dxa"/>
                  <w:noWrap w:val="0"/>
                  <w:vAlign w:val="center"/>
                </w:tcPr>
                <w:p>
                  <w:pPr>
                    <w:adjustRightInd w:val="0"/>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W4</w:t>
                  </w:r>
                </w:p>
              </w:tc>
              <w:tc>
                <w:tcPr>
                  <w:tcW w:w="1633" w:type="dxa"/>
                  <w:noWrap w:val="0"/>
                  <w:vAlign w:val="center"/>
                </w:tcPr>
                <w:p>
                  <w:pPr>
                    <w:adjustRightInd w:val="0"/>
                    <w:jc w:val="center"/>
                    <w:rPr>
                      <w:rFonts w:hint="eastAsia"/>
                      <w:color w:val="auto"/>
                      <w:szCs w:val="21"/>
                      <w:highlight w:val="none"/>
                      <w:u w:val="none"/>
                      <w:lang w:eastAsia="zh-CN" w:bidi="ar"/>
                    </w:rPr>
                  </w:pPr>
                  <w:r>
                    <w:rPr>
                      <w:rFonts w:hint="eastAsia"/>
                      <w:color w:val="auto"/>
                      <w:szCs w:val="21"/>
                      <w:highlight w:val="none"/>
                      <w:u w:val="none"/>
                      <w:lang w:eastAsia="zh-CN" w:bidi="ar"/>
                    </w:rPr>
                    <w:t>清洗废水</w:t>
                  </w:r>
                </w:p>
              </w:tc>
              <w:tc>
                <w:tcPr>
                  <w:tcW w:w="2204" w:type="dxa"/>
                  <w:noWrap w:val="0"/>
                  <w:vAlign w:val="center"/>
                </w:tcPr>
                <w:p>
                  <w:pPr>
                    <w:adjustRightInd w:val="0"/>
                    <w:jc w:val="center"/>
                    <w:rPr>
                      <w:rFonts w:hint="eastAsia"/>
                      <w:color w:val="auto"/>
                      <w:szCs w:val="21"/>
                      <w:highlight w:val="none"/>
                      <w:u w:val="none"/>
                      <w:lang w:eastAsia="zh-CN" w:bidi="ar"/>
                    </w:rPr>
                  </w:pPr>
                  <w:r>
                    <w:rPr>
                      <w:rFonts w:hint="eastAsia" w:ascii="Times New Roman" w:hAnsi="Times New Roman" w:eastAsia="宋体" w:cs="Times New Roman"/>
                      <w:color w:val="auto"/>
                      <w:sz w:val="21"/>
                      <w:szCs w:val="21"/>
                      <w:highlight w:val="none"/>
                      <w:u w:val="none"/>
                      <w:lang w:val="en-US" w:eastAsia="zh-CN"/>
                    </w:rPr>
                    <w:t>pH、SS、CODcr、BOD</w:t>
                  </w:r>
                  <w:r>
                    <w:rPr>
                      <w:rFonts w:hint="eastAsia" w:ascii="Times New Roman" w:hAnsi="Times New Roman" w:eastAsia="宋体" w:cs="Times New Roman"/>
                      <w:color w:val="auto"/>
                      <w:sz w:val="21"/>
                      <w:szCs w:val="21"/>
                      <w:highlight w:val="none"/>
                      <w:u w:val="none"/>
                      <w:vertAlign w:val="subscript"/>
                      <w:lang w:val="en-US" w:eastAsia="zh-CN"/>
                    </w:rPr>
                    <w:t>5</w:t>
                  </w:r>
                  <w:r>
                    <w:rPr>
                      <w:rFonts w:hint="eastAsia" w:ascii="Times New Roman" w:hAnsi="Times New Roman" w:eastAsia="宋体" w:cs="Times New Roman"/>
                      <w:color w:val="auto"/>
                      <w:sz w:val="21"/>
                      <w:szCs w:val="21"/>
                      <w:highlight w:val="none"/>
                      <w:u w:val="none"/>
                      <w:lang w:val="en-US" w:eastAsia="zh-CN"/>
                    </w:rPr>
                    <w:t>、氨氮、总磷、总氮、石油类</w:t>
                  </w:r>
                </w:p>
              </w:tc>
              <w:tc>
                <w:tcPr>
                  <w:tcW w:w="2488" w:type="dxa"/>
                  <w:noWrap w:val="0"/>
                  <w:vAlign w:val="center"/>
                </w:tcPr>
                <w:p>
                  <w:pPr>
                    <w:adjustRightInd w:val="0"/>
                    <w:jc w:val="center"/>
                    <w:rPr>
                      <w:rFonts w:hint="eastAsia"/>
                      <w:color w:val="auto"/>
                      <w:szCs w:val="21"/>
                      <w:highlight w:val="none"/>
                      <w:u w:val="none"/>
                      <w:lang w:eastAsia="zh-CN" w:bidi="ar"/>
                    </w:rPr>
                  </w:pPr>
                  <w:r>
                    <w:rPr>
                      <w:rFonts w:hint="eastAsia" w:ascii="Times New Roman" w:hAnsi="Times New Roman" w:eastAsia="宋体" w:cs="Times New Roman"/>
                      <w:color w:val="auto"/>
                      <w:sz w:val="21"/>
                      <w:szCs w:val="21"/>
                      <w:highlight w:val="none"/>
                      <w:u w:val="none"/>
                      <w:lang w:val="en-US" w:eastAsia="zh-CN"/>
                    </w:rPr>
                    <w:t>经废水处理设施处理后</w:t>
                  </w:r>
                  <w:r>
                    <w:rPr>
                      <w:rFonts w:hint="eastAsia" w:cs="Times New Roman"/>
                      <w:color w:val="auto"/>
                      <w:sz w:val="21"/>
                      <w:szCs w:val="21"/>
                      <w:highlight w:val="none"/>
                      <w:u w:val="none"/>
                      <w:lang w:val="en-US" w:eastAsia="zh-CN"/>
                    </w:rPr>
                    <w:t>排湘阴县第三污水处理厂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color w:val="auto"/>
                      <w:szCs w:val="21"/>
                      <w:highlight w:val="none"/>
                      <w:u w:val="none"/>
                      <w:lang w:bidi="ar"/>
                    </w:rPr>
                  </w:pPr>
                </w:p>
              </w:tc>
              <w:tc>
                <w:tcPr>
                  <w:tcW w:w="1229"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喷淋设施更换</w:t>
                  </w:r>
                </w:p>
              </w:tc>
              <w:tc>
                <w:tcPr>
                  <w:tcW w:w="640" w:type="dxa"/>
                  <w:noWrap w:val="0"/>
                  <w:vAlign w:val="center"/>
                </w:tcPr>
                <w:p>
                  <w:pPr>
                    <w:adjustRightInd w:val="0"/>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W5</w:t>
                  </w:r>
                </w:p>
              </w:tc>
              <w:tc>
                <w:tcPr>
                  <w:tcW w:w="1633" w:type="dxa"/>
                  <w:noWrap w:val="0"/>
                  <w:vAlign w:val="center"/>
                </w:tcPr>
                <w:p>
                  <w:pPr>
                    <w:adjustRightInd w:val="0"/>
                    <w:jc w:val="center"/>
                    <w:rPr>
                      <w:rFonts w:hint="default"/>
                      <w:color w:val="auto"/>
                      <w:szCs w:val="21"/>
                      <w:highlight w:val="none"/>
                      <w:u w:val="none"/>
                      <w:lang w:val="en-US" w:eastAsia="zh-CN" w:bidi="ar"/>
                    </w:rPr>
                  </w:pPr>
                  <w:r>
                    <w:rPr>
                      <w:rFonts w:hint="eastAsia"/>
                      <w:color w:val="auto"/>
                      <w:szCs w:val="21"/>
                      <w:highlight w:val="none"/>
                      <w:u w:val="none"/>
                      <w:lang w:val="en-US" w:eastAsia="zh-CN" w:bidi="ar"/>
                    </w:rPr>
                    <w:t>喷淋废水</w:t>
                  </w:r>
                </w:p>
              </w:tc>
              <w:tc>
                <w:tcPr>
                  <w:tcW w:w="2204" w:type="dxa"/>
                  <w:noWrap w:val="0"/>
                  <w:vAlign w:val="center"/>
                </w:tcPr>
                <w:p>
                  <w:pPr>
                    <w:adjustRightInd w:val="0"/>
                    <w:jc w:val="center"/>
                    <w:rPr>
                      <w:rFonts w:hint="eastAsia"/>
                      <w:color w:val="auto"/>
                      <w:szCs w:val="21"/>
                      <w:highlight w:val="none"/>
                      <w:u w:val="none"/>
                      <w:lang w:eastAsia="zh-CN" w:bidi="ar"/>
                    </w:rPr>
                  </w:pPr>
                  <w:r>
                    <w:rPr>
                      <w:rFonts w:hint="eastAsia" w:ascii="Times New Roman" w:hAnsi="Times New Roman" w:eastAsia="宋体" w:cs="Times New Roman"/>
                      <w:color w:val="auto"/>
                      <w:sz w:val="21"/>
                      <w:szCs w:val="21"/>
                      <w:highlight w:val="none"/>
                      <w:u w:val="none"/>
                      <w:lang w:val="en-US" w:eastAsia="zh-CN"/>
                    </w:rPr>
                    <w:t>pH、SS</w:t>
                  </w:r>
                </w:p>
              </w:tc>
              <w:tc>
                <w:tcPr>
                  <w:tcW w:w="2488" w:type="dxa"/>
                  <w:noWrap w:val="0"/>
                  <w:vAlign w:val="center"/>
                </w:tcPr>
                <w:p>
                  <w:pPr>
                    <w:adjustRightInd w:val="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调节pH后回用</w:t>
                  </w:r>
                  <w:r>
                    <w:rPr>
                      <w:rFonts w:hint="eastAsia" w:cs="Times New Roman"/>
                      <w:color w:val="auto"/>
                      <w:sz w:val="21"/>
                      <w:szCs w:val="21"/>
                      <w:highlight w:val="none"/>
                      <w:u w:val="none"/>
                      <w:lang w:val="en-US" w:eastAsia="zh-CN"/>
                    </w:rPr>
                    <w:t>喷淋，定期经废水处理设施处理排湘阴县第三污水处理厂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restart"/>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ascii="Times New Roman" w:hAnsi="Times New Roman" w:eastAsia="宋体" w:cs="Times New Roman"/>
                      <w:color w:val="auto"/>
                      <w:szCs w:val="21"/>
                      <w:highlight w:val="none"/>
                      <w:u w:val="none"/>
                      <w:lang w:eastAsia="zh-CN" w:bidi="ar"/>
                    </w:rPr>
                    <w:t>废气</w:t>
                  </w:r>
                </w:p>
              </w:tc>
              <w:tc>
                <w:tcPr>
                  <w:tcW w:w="1229" w:type="dxa"/>
                  <w:noWrap w:val="0"/>
                  <w:vAlign w:val="center"/>
                </w:tcPr>
                <w:p>
                  <w:pPr>
                    <w:adjustRightInd w:val="0"/>
                    <w:jc w:val="center"/>
                    <w:rPr>
                      <w:rFonts w:hint="default" w:ascii="Times New Roman" w:hAnsi="Times New Roman" w:eastAsia="宋体"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酸电解</w:t>
                  </w:r>
                </w:p>
              </w:tc>
              <w:tc>
                <w:tcPr>
                  <w:tcW w:w="640" w:type="dxa"/>
                  <w:noWrap w:val="0"/>
                  <w:vAlign w:val="center"/>
                </w:tcPr>
                <w:p>
                  <w:pPr>
                    <w:adjustRightInd w:val="0"/>
                    <w:jc w:val="center"/>
                    <w:rPr>
                      <w:rFonts w:hint="default" w:eastAsia="宋体"/>
                      <w:bCs/>
                      <w:color w:val="auto"/>
                      <w:szCs w:val="21"/>
                      <w:highlight w:val="none"/>
                      <w:u w:val="none"/>
                      <w:lang w:val="en-US" w:eastAsia="zh-CN"/>
                    </w:rPr>
                  </w:pPr>
                  <w:r>
                    <w:rPr>
                      <w:rFonts w:hint="eastAsia"/>
                      <w:bCs/>
                      <w:color w:val="auto"/>
                      <w:szCs w:val="21"/>
                      <w:highlight w:val="none"/>
                      <w:u w:val="none"/>
                      <w:lang w:val="en-US" w:eastAsia="zh-CN"/>
                    </w:rPr>
                    <w:t>G1</w:t>
                  </w:r>
                </w:p>
              </w:tc>
              <w:tc>
                <w:tcPr>
                  <w:tcW w:w="1633" w:type="dxa"/>
                  <w:noWrap w:val="0"/>
                  <w:vAlign w:val="center"/>
                </w:tcPr>
                <w:p>
                  <w:pPr>
                    <w:adjustRightInd w:val="0"/>
                    <w:jc w:val="center"/>
                    <w:rPr>
                      <w:rFonts w:hint="eastAsia" w:eastAsia="宋体"/>
                      <w:color w:val="auto"/>
                      <w:spacing w:val="-4"/>
                      <w:szCs w:val="21"/>
                      <w:highlight w:val="none"/>
                      <w:u w:val="none"/>
                      <w:lang w:eastAsia="zh-CN"/>
                    </w:rPr>
                  </w:pPr>
                  <w:r>
                    <w:rPr>
                      <w:rFonts w:hint="eastAsia"/>
                      <w:color w:val="auto"/>
                      <w:spacing w:val="-4"/>
                      <w:szCs w:val="21"/>
                      <w:highlight w:val="none"/>
                      <w:u w:val="none"/>
                      <w:lang w:eastAsia="zh-CN"/>
                    </w:rPr>
                    <w:t>含酸废气</w:t>
                  </w:r>
                </w:p>
              </w:tc>
              <w:tc>
                <w:tcPr>
                  <w:tcW w:w="2204" w:type="dxa"/>
                  <w:noWrap w:val="0"/>
                  <w:vAlign w:val="center"/>
                </w:tcPr>
                <w:p>
                  <w:pPr>
                    <w:adjustRightInd w:val="0"/>
                    <w:jc w:val="center"/>
                    <w:rPr>
                      <w:rFonts w:hint="eastAsia" w:ascii="Times New Roman" w:hAnsi="Times New Roman" w:eastAsia="宋体" w:cs="Times New Roman"/>
                      <w:color w:val="auto"/>
                      <w:szCs w:val="21"/>
                      <w:highlight w:val="none"/>
                      <w:u w:val="none"/>
                      <w:lang w:bidi="ar"/>
                    </w:rPr>
                  </w:pPr>
                  <w:r>
                    <w:rPr>
                      <w:rFonts w:hint="eastAsia" w:cs="Times New Roman"/>
                      <w:color w:val="auto"/>
                      <w:szCs w:val="21"/>
                      <w:highlight w:val="none"/>
                      <w:u w:val="none"/>
                      <w:lang w:eastAsia="zh-CN" w:bidi="ar"/>
                    </w:rPr>
                    <w:t>硫酸雾</w:t>
                  </w:r>
                </w:p>
              </w:tc>
              <w:tc>
                <w:tcPr>
                  <w:tcW w:w="2488" w:type="dxa"/>
                  <w:noWrap w:val="0"/>
                  <w:vAlign w:val="center"/>
                </w:tcPr>
                <w:p>
                  <w:pPr>
                    <w:adjustRightInd w:val="0"/>
                    <w:jc w:val="center"/>
                    <w:rPr>
                      <w:rFonts w:hint="default" w:eastAsia="宋体"/>
                      <w:bCs/>
                      <w:color w:val="auto"/>
                      <w:szCs w:val="21"/>
                      <w:highlight w:val="none"/>
                      <w:u w:val="none"/>
                      <w:lang w:val="en-US" w:eastAsia="zh-CN"/>
                    </w:rPr>
                  </w:pPr>
                  <w:r>
                    <w:rPr>
                      <w:rFonts w:hint="eastAsia"/>
                      <w:bCs/>
                      <w:color w:val="auto"/>
                      <w:szCs w:val="21"/>
                      <w:highlight w:val="none"/>
                      <w:u w:val="none"/>
                      <w:lang w:eastAsia="zh-CN"/>
                    </w:rPr>
                    <w:t>密闭负压收集</w:t>
                  </w:r>
                  <w:r>
                    <w:rPr>
                      <w:rFonts w:hint="eastAsia"/>
                      <w:bCs/>
                      <w:color w:val="auto"/>
                      <w:szCs w:val="21"/>
                      <w:highlight w:val="none"/>
                      <w:u w:val="none"/>
                      <w:lang w:val="en-US" w:eastAsia="zh-CN"/>
                    </w:rPr>
                    <w:t>+</w:t>
                  </w:r>
                  <w:r>
                    <w:rPr>
                      <w:rFonts w:hint="eastAsia"/>
                      <w:bCs/>
                      <w:color w:val="auto"/>
                      <w:szCs w:val="21"/>
                      <w:highlight w:val="none"/>
                      <w:u w:val="none"/>
                      <w:lang w:eastAsia="zh-CN"/>
                    </w:rPr>
                    <w:t>碱喷淋吸收</w:t>
                  </w:r>
                  <w:r>
                    <w:rPr>
                      <w:rFonts w:hint="eastAsia"/>
                      <w:bCs/>
                      <w:color w:val="auto"/>
                      <w:szCs w:val="21"/>
                      <w:highlight w:val="none"/>
                      <w:u w:val="none"/>
                      <w:lang w:val="en-US" w:eastAsia="zh-CN"/>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p>
              </w:tc>
              <w:tc>
                <w:tcPr>
                  <w:tcW w:w="1229" w:type="dxa"/>
                  <w:noWrap w:val="0"/>
                  <w:vAlign w:val="center"/>
                </w:tcPr>
                <w:p>
                  <w:pPr>
                    <w:adjustRightInd w:val="0"/>
                    <w:jc w:val="center"/>
                    <w:rPr>
                      <w:rFonts w:hint="eastAsia"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液氨</w:t>
                  </w:r>
                </w:p>
              </w:tc>
              <w:tc>
                <w:tcPr>
                  <w:tcW w:w="640"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G2</w:t>
                  </w:r>
                </w:p>
              </w:tc>
              <w:tc>
                <w:tcPr>
                  <w:tcW w:w="1633"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氨气</w:t>
                  </w:r>
                </w:p>
              </w:tc>
              <w:tc>
                <w:tcPr>
                  <w:tcW w:w="2204" w:type="dxa"/>
                  <w:noWrap w:val="0"/>
                  <w:vAlign w:val="center"/>
                </w:tcPr>
                <w:p>
                  <w:pPr>
                    <w:adjustRightInd w:val="0"/>
                    <w:jc w:val="center"/>
                    <w:rPr>
                      <w:rFonts w:hint="eastAsia" w:eastAsia="宋体"/>
                      <w:bCs/>
                      <w:color w:val="auto"/>
                      <w:szCs w:val="21"/>
                      <w:highlight w:val="none"/>
                      <w:u w:val="none"/>
                      <w:lang w:eastAsia="zh-CN"/>
                    </w:rPr>
                  </w:pPr>
                  <w:r>
                    <w:rPr>
                      <w:rFonts w:hint="eastAsia"/>
                      <w:bCs/>
                      <w:color w:val="auto"/>
                      <w:szCs w:val="21"/>
                      <w:highlight w:val="none"/>
                      <w:u w:val="none"/>
                      <w:lang w:eastAsia="zh-CN"/>
                    </w:rPr>
                    <w:t>氨</w:t>
                  </w:r>
                </w:p>
              </w:tc>
              <w:tc>
                <w:tcPr>
                  <w:tcW w:w="2488" w:type="dxa"/>
                  <w:noWrap w:val="0"/>
                  <w:vAlign w:val="center"/>
                </w:tcPr>
                <w:p>
                  <w:pPr>
                    <w:adjustRightInd w:val="0"/>
                    <w:jc w:val="center"/>
                    <w:rPr>
                      <w:rFonts w:hint="eastAsia"/>
                      <w:bCs/>
                      <w:color w:val="auto"/>
                      <w:szCs w:val="21"/>
                      <w:highlight w:val="none"/>
                      <w:u w:val="none"/>
                      <w:lang w:eastAsia="zh-CN"/>
                    </w:rPr>
                  </w:pPr>
                  <w:r>
                    <w:rPr>
                      <w:rFonts w:hint="eastAsia"/>
                      <w:bCs/>
                      <w:color w:val="auto"/>
                      <w:szCs w:val="21"/>
                      <w:highlight w:val="none"/>
                      <w:u w:val="none"/>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p>
              </w:tc>
              <w:tc>
                <w:tcPr>
                  <w:tcW w:w="1229" w:type="dxa"/>
                  <w:noWrap w:val="0"/>
                  <w:vAlign w:val="center"/>
                </w:tcPr>
                <w:p>
                  <w:pPr>
                    <w:adjustRightInd w:val="0"/>
                    <w:jc w:val="center"/>
                    <w:rPr>
                      <w:rFonts w:hint="eastAsia"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配粉</w:t>
                  </w:r>
                </w:p>
              </w:tc>
              <w:tc>
                <w:tcPr>
                  <w:tcW w:w="640"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G3</w:t>
                  </w:r>
                </w:p>
              </w:tc>
              <w:tc>
                <w:tcPr>
                  <w:tcW w:w="1633"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配料粉尘</w:t>
                  </w:r>
                </w:p>
              </w:tc>
              <w:tc>
                <w:tcPr>
                  <w:tcW w:w="2204"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颗粒物</w:t>
                  </w:r>
                </w:p>
              </w:tc>
              <w:tc>
                <w:tcPr>
                  <w:tcW w:w="2488" w:type="dxa"/>
                  <w:vMerge w:val="restart"/>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eastAsia="zh-CN"/>
                    </w:rPr>
                    <w:t>布袋除尘器</w:t>
                  </w:r>
                  <w:r>
                    <w:rPr>
                      <w:rFonts w:hint="eastAsia"/>
                      <w:bCs/>
                      <w:color w:val="auto"/>
                      <w:szCs w:val="21"/>
                      <w:highlight w:val="none"/>
                      <w:u w:val="none"/>
                      <w:lang w:val="en-US" w:eastAsia="zh-CN"/>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p>
              </w:tc>
              <w:tc>
                <w:tcPr>
                  <w:tcW w:w="1229" w:type="dxa"/>
                  <w:noWrap w:val="0"/>
                  <w:vAlign w:val="center"/>
                </w:tcPr>
                <w:p>
                  <w:pPr>
                    <w:adjustRightInd w:val="0"/>
                    <w:jc w:val="center"/>
                    <w:rPr>
                      <w:rFonts w:hint="eastAsia"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磨头磨尾</w:t>
                  </w:r>
                </w:p>
              </w:tc>
              <w:tc>
                <w:tcPr>
                  <w:tcW w:w="640"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G4</w:t>
                  </w:r>
                </w:p>
              </w:tc>
              <w:tc>
                <w:tcPr>
                  <w:tcW w:w="1633"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粉尘</w:t>
                  </w:r>
                </w:p>
              </w:tc>
              <w:tc>
                <w:tcPr>
                  <w:tcW w:w="2204" w:type="dxa"/>
                  <w:noWrap w:val="0"/>
                  <w:vAlign w:val="center"/>
                </w:tcPr>
                <w:p>
                  <w:pPr>
                    <w:adjustRightInd w:val="0"/>
                    <w:jc w:val="center"/>
                    <w:rPr>
                      <w:rFonts w:hint="eastAsia"/>
                      <w:bCs/>
                      <w:color w:val="auto"/>
                      <w:szCs w:val="21"/>
                      <w:highlight w:val="none"/>
                      <w:u w:val="none"/>
                      <w:lang w:val="en-US" w:eastAsia="zh-CN"/>
                    </w:rPr>
                  </w:pPr>
                  <w:r>
                    <w:rPr>
                      <w:rFonts w:hint="eastAsia"/>
                      <w:bCs/>
                      <w:color w:val="auto"/>
                      <w:szCs w:val="21"/>
                      <w:highlight w:val="none"/>
                      <w:u w:val="none"/>
                      <w:lang w:val="en-US" w:eastAsia="zh-CN"/>
                    </w:rPr>
                    <w:t>颗粒物</w:t>
                  </w:r>
                </w:p>
              </w:tc>
              <w:tc>
                <w:tcPr>
                  <w:tcW w:w="2488" w:type="dxa"/>
                  <w:vMerge w:val="continue"/>
                  <w:noWrap w:val="0"/>
                  <w:vAlign w:val="center"/>
                </w:tcPr>
                <w:p>
                  <w:pPr>
                    <w:adjustRightInd w:val="0"/>
                    <w:jc w:val="center"/>
                    <w:rPr>
                      <w:rFonts w:hint="eastAsia"/>
                      <w:bCs/>
                      <w:color w:val="auto"/>
                      <w:szCs w:val="21"/>
                      <w:highlight w:val="none"/>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p>
              </w:tc>
              <w:tc>
                <w:tcPr>
                  <w:tcW w:w="1229" w:type="dxa"/>
                  <w:noWrap w:val="0"/>
                  <w:vAlign w:val="center"/>
                </w:tcPr>
                <w:p>
                  <w:pPr>
                    <w:adjustRightInd w:val="0"/>
                    <w:jc w:val="center"/>
                    <w:rPr>
                      <w:rFonts w:hint="eastAsia"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注塑、开模</w:t>
                  </w:r>
                </w:p>
              </w:tc>
              <w:tc>
                <w:tcPr>
                  <w:tcW w:w="640"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G5</w:t>
                  </w:r>
                </w:p>
              </w:tc>
              <w:tc>
                <w:tcPr>
                  <w:tcW w:w="1633"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有机废气</w:t>
                  </w:r>
                </w:p>
              </w:tc>
              <w:tc>
                <w:tcPr>
                  <w:tcW w:w="2204" w:type="dxa"/>
                  <w:noWrap w:val="0"/>
                  <w:vAlign w:val="center"/>
                </w:tcPr>
                <w:p>
                  <w:pPr>
                    <w:adjustRightInd w:val="0"/>
                    <w:jc w:val="center"/>
                    <w:rPr>
                      <w:rFonts w:hint="eastAsia" w:eastAsia="宋体"/>
                      <w:bCs/>
                      <w:color w:val="auto"/>
                      <w:szCs w:val="21"/>
                      <w:highlight w:val="none"/>
                      <w:u w:val="none"/>
                      <w:lang w:val="en-US" w:eastAsia="zh-CN"/>
                    </w:rPr>
                  </w:pPr>
                  <w:r>
                    <w:rPr>
                      <w:rFonts w:hint="eastAsia"/>
                      <w:bCs/>
                      <w:color w:val="auto"/>
                      <w:szCs w:val="21"/>
                      <w:highlight w:val="none"/>
                      <w:u w:val="none"/>
                      <w:lang w:val="en-US" w:eastAsia="zh-CN"/>
                    </w:rPr>
                    <w:t>非甲烷总烃</w:t>
                  </w:r>
                  <w:r>
                    <w:rPr>
                      <w:rFonts w:hint="eastAsia"/>
                      <w:color w:val="auto"/>
                      <w:highlight w:val="none"/>
                      <w:lang w:eastAsia="zh-CN"/>
                    </w:rPr>
                    <w:t>、</w:t>
                  </w:r>
                  <w:r>
                    <w:rPr>
                      <w:rFonts w:hint="eastAsia"/>
                      <w:color w:val="auto"/>
                      <w:highlight w:val="none"/>
                      <w:lang w:val="en-US" w:eastAsia="zh-CN"/>
                    </w:rPr>
                    <w:t>苯、二甲苯、乙苯、苯乙烯</w:t>
                  </w:r>
                </w:p>
              </w:tc>
              <w:tc>
                <w:tcPr>
                  <w:tcW w:w="2488"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eastAsia="zh-CN"/>
                    </w:rPr>
                    <w:t>两级活性炭吸附</w:t>
                  </w:r>
                  <w:r>
                    <w:rPr>
                      <w:rFonts w:hint="eastAsia"/>
                      <w:bCs/>
                      <w:color w:val="auto"/>
                      <w:szCs w:val="21"/>
                      <w:highlight w:val="none"/>
                      <w:u w:val="none"/>
                      <w:lang w:val="en-US" w:eastAsia="zh-CN"/>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p>
              </w:tc>
              <w:tc>
                <w:tcPr>
                  <w:tcW w:w="1229" w:type="dxa"/>
                  <w:noWrap w:val="0"/>
                  <w:vAlign w:val="center"/>
                </w:tcPr>
                <w:p>
                  <w:pPr>
                    <w:adjustRightInd w:val="0"/>
                    <w:jc w:val="center"/>
                    <w:rPr>
                      <w:rFonts w:hint="eastAsia"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印字</w:t>
                  </w:r>
                </w:p>
              </w:tc>
              <w:tc>
                <w:tcPr>
                  <w:tcW w:w="640"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G6</w:t>
                  </w:r>
                </w:p>
              </w:tc>
              <w:tc>
                <w:tcPr>
                  <w:tcW w:w="1633"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有机废气</w:t>
                  </w:r>
                </w:p>
              </w:tc>
              <w:tc>
                <w:tcPr>
                  <w:tcW w:w="2204" w:type="dxa"/>
                  <w:noWrap w:val="0"/>
                  <w:vAlign w:val="center"/>
                </w:tcPr>
                <w:p>
                  <w:pPr>
                    <w:adjustRightInd w:val="0"/>
                    <w:jc w:val="center"/>
                    <w:rPr>
                      <w:rFonts w:hint="default"/>
                      <w:bCs/>
                      <w:color w:val="auto"/>
                      <w:szCs w:val="21"/>
                      <w:highlight w:val="none"/>
                      <w:u w:val="none"/>
                      <w:lang w:val="en-US" w:eastAsia="zh-CN"/>
                    </w:rPr>
                  </w:pPr>
                  <w:r>
                    <w:rPr>
                      <w:rFonts w:hint="eastAsia"/>
                      <w:bCs/>
                      <w:color w:val="auto"/>
                      <w:szCs w:val="21"/>
                      <w:highlight w:val="none"/>
                      <w:u w:val="none"/>
                      <w:lang w:val="en-US" w:eastAsia="zh-CN"/>
                    </w:rPr>
                    <w:t>VOC</w:t>
                  </w:r>
                  <w:r>
                    <w:rPr>
                      <w:rFonts w:hint="eastAsia"/>
                      <w:bCs/>
                      <w:color w:val="auto"/>
                      <w:szCs w:val="21"/>
                      <w:highlight w:val="none"/>
                      <w:u w:val="none"/>
                      <w:vertAlign w:val="subscript"/>
                      <w:lang w:val="en-US" w:eastAsia="zh-CN"/>
                    </w:rPr>
                    <w:t>S</w:t>
                  </w:r>
                </w:p>
              </w:tc>
              <w:tc>
                <w:tcPr>
                  <w:tcW w:w="2488" w:type="dxa"/>
                  <w:noWrap w:val="0"/>
                  <w:vAlign w:val="center"/>
                </w:tcPr>
                <w:p>
                  <w:pPr>
                    <w:adjustRightInd w:val="0"/>
                    <w:jc w:val="center"/>
                    <w:rPr>
                      <w:rFonts w:hint="eastAsia"/>
                      <w:bCs/>
                      <w:color w:val="auto"/>
                      <w:szCs w:val="21"/>
                      <w:highlight w:val="none"/>
                      <w:u w:val="none"/>
                      <w:lang w:eastAsia="zh-CN"/>
                    </w:rPr>
                  </w:pPr>
                  <w:r>
                    <w:rPr>
                      <w:rFonts w:hint="eastAsia"/>
                      <w:bCs/>
                      <w:color w:val="auto"/>
                      <w:szCs w:val="21"/>
                      <w:highlight w:val="none"/>
                      <w:u w:val="none"/>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restart"/>
                  <w:noWrap w:val="0"/>
                  <w:vAlign w:val="center"/>
                </w:tcPr>
                <w:p>
                  <w:pPr>
                    <w:adjustRightInd w:val="0"/>
                    <w:jc w:val="center"/>
                    <w:rPr>
                      <w:color w:val="auto"/>
                      <w:spacing w:val="-4"/>
                      <w:szCs w:val="21"/>
                      <w:highlight w:val="none"/>
                      <w:u w:val="none"/>
                    </w:rPr>
                  </w:pPr>
                  <w:r>
                    <w:rPr>
                      <w:color w:val="auto"/>
                      <w:spacing w:val="-4"/>
                      <w:szCs w:val="21"/>
                      <w:highlight w:val="none"/>
                      <w:u w:val="none"/>
                      <w:lang w:bidi="ar"/>
                    </w:rPr>
                    <w:t>固体废物</w:t>
                  </w:r>
                </w:p>
              </w:tc>
              <w:tc>
                <w:tcPr>
                  <w:tcW w:w="1229" w:type="dxa"/>
                  <w:noWrap w:val="0"/>
                  <w:vAlign w:val="center"/>
                </w:tcPr>
                <w:p>
                  <w:pPr>
                    <w:adjustRightInd w:val="0"/>
                    <w:jc w:val="center"/>
                    <w:rPr>
                      <w:rFonts w:hint="eastAsia" w:ascii="Times New Roman" w:hAnsi="Times New Roman" w:eastAsia="宋体" w:cs="Times New Roman"/>
                      <w:color w:val="auto"/>
                      <w:sz w:val="21"/>
                      <w:szCs w:val="21"/>
                      <w:highlight w:val="none"/>
                      <w:u w:val="none"/>
                      <w:lang w:eastAsia="zh-CN" w:bidi="ar"/>
                    </w:rPr>
                  </w:pPr>
                  <w:r>
                    <w:rPr>
                      <w:rFonts w:hint="eastAsia" w:cs="Times New Roman"/>
                      <w:color w:val="auto"/>
                      <w:sz w:val="21"/>
                      <w:szCs w:val="21"/>
                      <w:highlight w:val="none"/>
                      <w:u w:val="none"/>
                      <w:lang w:eastAsia="zh-CN" w:bidi="ar"/>
                    </w:rPr>
                    <w:t>拉丝、分条</w:t>
                  </w:r>
                </w:p>
              </w:tc>
              <w:tc>
                <w:tcPr>
                  <w:tcW w:w="640"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eastAsia="宋体"/>
                      <w:color w:val="auto"/>
                      <w:spacing w:val="-4"/>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rPr>
                    <w:t>S1</w:t>
                  </w:r>
                </w:p>
              </w:tc>
              <w:tc>
                <w:tcPr>
                  <w:tcW w:w="1633"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eastAsia="宋体"/>
                      <w:color w:val="auto"/>
                      <w:spacing w:val="-4"/>
                      <w:sz w:val="21"/>
                      <w:szCs w:val="21"/>
                      <w:highlight w:val="none"/>
                      <w:u w:val="none"/>
                      <w:lang w:eastAsia="zh-CN"/>
                    </w:rPr>
                  </w:pPr>
                  <w:r>
                    <w:rPr>
                      <w:rFonts w:hint="eastAsia" w:eastAsia="宋体"/>
                      <w:color w:val="auto"/>
                      <w:spacing w:val="-4"/>
                      <w:sz w:val="21"/>
                      <w:szCs w:val="21"/>
                      <w:highlight w:val="none"/>
                      <w:u w:val="none"/>
                      <w:lang w:eastAsia="zh-CN"/>
                    </w:rPr>
                    <w:t>一般固废</w:t>
                  </w:r>
                </w:p>
              </w:tc>
              <w:tc>
                <w:tcPr>
                  <w:tcW w:w="2204"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eastAsia="宋体"/>
                      <w:color w:val="auto"/>
                      <w:spacing w:val="-4"/>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rPr>
                    <w:t>废金属丝</w:t>
                  </w:r>
                </w:p>
              </w:tc>
              <w:tc>
                <w:tcPr>
                  <w:tcW w:w="2488"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color w:val="auto"/>
                      <w:spacing w:val="-4"/>
                      <w:sz w:val="21"/>
                      <w:szCs w:val="21"/>
                      <w:highlight w:val="none"/>
                      <w:u w:val="none"/>
                      <w:lang w:bidi="ar"/>
                    </w:rPr>
                  </w:pPr>
                  <w:r>
                    <w:rPr>
                      <w:rFonts w:ascii="宋体" w:hAnsi="宋体" w:cs="宋体"/>
                      <w:color w:val="auto"/>
                      <w:sz w:val="21"/>
                      <w:szCs w:val="21"/>
                      <w:highlight w:val="none"/>
                      <w:u w:val="none"/>
                    </w:rPr>
                    <w:t>厂区统一收集后综合处理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noWrap w:val="0"/>
                  <w:vAlign w:val="center"/>
                </w:tcPr>
                <w:p>
                  <w:pPr>
                    <w:adjustRightInd w:val="0"/>
                    <w:jc w:val="center"/>
                    <w:rPr>
                      <w:rFonts w:hint="eastAsia" w:cs="Times New Roman"/>
                      <w:color w:val="auto"/>
                      <w:sz w:val="21"/>
                      <w:szCs w:val="21"/>
                      <w:highlight w:val="none"/>
                      <w:u w:val="none"/>
                      <w:lang w:eastAsia="zh-CN" w:bidi="ar"/>
                    </w:rPr>
                  </w:pPr>
                  <w:r>
                    <w:rPr>
                      <w:rFonts w:hint="eastAsia" w:cs="Times New Roman"/>
                      <w:color w:val="auto"/>
                      <w:sz w:val="21"/>
                      <w:szCs w:val="21"/>
                      <w:highlight w:val="none"/>
                      <w:u w:val="none"/>
                      <w:lang w:eastAsia="zh-CN" w:bidi="ar"/>
                    </w:rPr>
                    <w:t>涂膜</w:t>
                  </w:r>
                </w:p>
              </w:tc>
              <w:tc>
                <w:tcPr>
                  <w:tcW w:w="640"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S2</w:t>
                  </w:r>
                </w:p>
              </w:tc>
              <w:tc>
                <w:tcPr>
                  <w:tcW w:w="1633"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eastAsia="宋体"/>
                      <w:color w:val="auto"/>
                      <w:spacing w:val="-4"/>
                      <w:sz w:val="21"/>
                      <w:szCs w:val="21"/>
                      <w:highlight w:val="none"/>
                      <w:u w:val="none"/>
                      <w:lang w:eastAsia="zh-CN"/>
                    </w:rPr>
                  </w:pPr>
                  <w:r>
                    <w:rPr>
                      <w:rFonts w:hint="eastAsia" w:eastAsia="宋体"/>
                      <w:color w:val="auto"/>
                      <w:spacing w:val="-4"/>
                      <w:sz w:val="21"/>
                      <w:szCs w:val="21"/>
                      <w:highlight w:val="none"/>
                      <w:u w:val="none"/>
                      <w:lang w:eastAsia="zh-CN"/>
                    </w:rPr>
                    <w:t>一般固废</w:t>
                  </w:r>
                </w:p>
              </w:tc>
              <w:tc>
                <w:tcPr>
                  <w:tcW w:w="2204"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涂膜渣</w:t>
                  </w:r>
                </w:p>
              </w:tc>
              <w:tc>
                <w:tcPr>
                  <w:tcW w:w="2488" w:type="dxa"/>
                  <w:noWrap w:val="0"/>
                  <w:vAlign w:val="center"/>
                </w:tcPr>
                <w:p>
                  <w:pPr>
                    <w:adjustRightInd w:val="0"/>
                    <w:jc w:val="center"/>
                    <w:rPr>
                      <w:rFonts w:ascii="宋体" w:hAnsi="宋体" w:cs="宋体"/>
                      <w:color w:val="auto"/>
                      <w:sz w:val="21"/>
                      <w:szCs w:val="21"/>
                      <w:highlight w:val="none"/>
                      <w:u w:val="none"/>
                    </w:rPr>
                  </w:pPr>
                  <w:r>
                    <w:rPr>
                      <w:rFonts w:ascii="宋体" w:hAnsi="宋体" w:cs="宋体"/>
                      <w:color w:val="auto"/>
                      <w:sz w:val="21"/>
                      <w:szCs w:val="21"/>
                      <w:highlight w:val="none"/>
                      <w:u w:val="none"/>
                    </w:rPr>
                    <w:t>厂区统一收集后综合处理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ascii="Times New Roman" w:hAnsi="Times New Roman" w:eastAsia="宋体" w:cs="Times New Roman"/>
                      <w:color w:val="auto"/>
                      <w:szCs w:val="21"/>
                      <w:highlight w:val="none"/>
                      <w:u w:val="none"/>
                      <w:lang w:eastAsia="zh-CN" w:bidi="ar"/>
                    </w:rPr>
                    <w:t>机修</w:t>
                  </w: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S3</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危险废物</w:t>
                  </w:r>
                </w:p>
              </w:tc>
              <w:tc>
                <w:tcPr>
                  <w:tcW w:w="2204" w:type="dxa"/>
                  <w:noWrap w:val="0"/>
                  <w:vAlign w:val="center"/>
                </w:tcPr>
                <w:p>
                  <w:pPr>
                    <w:adjustRightInd w:val="0"/>
                    <w:jc w:val="center"/>
                    <w:rPr>
                      <w:rFonts w:hint="eastAsia" w:eastAsia="宋体"/>
                      <w:color w:val="auto"/>
                      <w:spacing w:val="-4"/>
                      <w:szCs w:val="21"/>
                      <w:highlight w:val="none"/>
                      <w:u w:val="none"/>
                      <w:lang w:eastAsia="zh-CN" w:bidi="ar"/>
                    </w:rPr>
                  </w:pPr>
                  <w:r>
                    <w:rPr>
                      <w:rFonts w:hint="eastAsia"/>
                      <w:color w:val="auto"/>
                      <w:spacing w:val="-4"/>
                      <w:szCs w:val="21"/>
                      <w:highlight w:val="none"/>
                      <w:u w:val="none"/>
                      <w:lang w:eastAsia="zh-CN" w:bidi="ar"/>
                    </w:rPr>
                    <w:t>废润滑油、含油抹布等</w:t>
                  </w:r>
                </w:p>
              </w:tc>
              <w:tc>
                <w:tcPr>
                  <w:tcW w:w="2488" w:type="dxa"/>
                  <w:noWrap w:val="0"/>
                  <w:vAlign w:val="center"/>
                </w:tcPr>
                <w:p>
                  <w:pPr>
                    <w:adjustRightInd w:val="0"/>
                    <w:jc w:val="center"/>
                    <w:rPr>
                      <w:rFonts w:ascii="宋体" w:hAnsi="宋体" w:cs="宋体"/>
                      <w:color w:val="auto"/>
                      <w:szCs w:val="21"/>
                      <w:highlight w:val="none"/>
                      <w:u w:val="none"/>
                    </w:rPr>
                  </w:pPr>
                  <w:r>
                    <w:rPr>
                      <w:rFonts w:hint="eastAsia" w:ascii="Times New Roman" w:hAnsi="Times New Roman"/>
                      <w:color w:val="auto"/>
                      <w:sz w:val="21"/>
                      <w:szCs w:val="21"/>
                      <w:highlight w:val="none"/>
                      <w:u w:val="none"/>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ascii="Times New Roman" w:hAnsi="Times New Roman" w:eastAsia="宋体" w:cs="Times New Roman"/>
                      <w:color w:val="auto"/>
                      <w:szCs w:val="21"/>
                      <w:highlight w:val="none"/>
                      <w:u w:val="none"/>
                      <w:lang w:eastAsia="zh-CN" w:bidi="ar"/>
                    </w:rPr>
                    <w:t>废水处理设施</w:t>
                  </w: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S4</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危险废物</w:t>
                  </w:r>
                </w:p>
              </w:tc>
              <w:tc>
                <w:tcPr>
                  <w:tcW w:w="2204" w:type="dxa"/>
                  <w:noWrap w:val="0"/>
                  <w:vAlign w:val="center"/>
                </w:tcPr>
                <w:p>
                  <w:pPr>
                    <w:adjustRightInd w:val="0"/>
                    <w:jc w:val="center"/>
                    <w:rPr>
                      <w:rFonts w:hint="eastAsia"/>
                      <w:color w:val="auto"/>
                      <w:spacing w:val="-4"/>
                      <w:szCs w:val="21"/>
                      <w:highlight w:val="none"/>
                      <w:u w:val="none"/>
                      <w:lang w:eastAsia="zh-CN" w:bidi="ar"/>
                    </w:rPr>
                  </w:pPr>
                  <w:r>
                    <w:rPr>
                      <w:rFonts w:hint="eastAsia"/>
                      <w:color w:val="auto"/>
                      <w:spacing w:val="-4"/>
                      <w:szCs w:val="21"/>
                      <w:highlight w:val="none"/>
                      <w:u w:val="none"/>
                      <w:lang w:eastAsia="zh-CN" w:bidi="ar"/>
                    </w:rPr>
                    <w:t>污泥</w:t>
                  </w:r>
                </w:p>
              </w:tc>
              <w:tc>
                <w:tcPr>
                  <w:tcW w:w="2488" w:type="dxa"/>
                  <w:noWrap w:val="0"/>
                  <w:vAlign w:val="center"/>
                </w:tcPr>
                <w:p>
                  <w:pPr>
                    <w:adjustRightInd w:val="0"/>
                    <w:jc w:val="center"/>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eastAsia="zh-CN" w:bidi="ar"/>
                    </w:rPr>
                  </w:pPr>
                  <w:r>
                    <w:rPr>
                      <w:rFonts w:hint="eastAsia" w:cs="Times New Roman"/>
                      <w:color w:val="auto"/>
                      <w:szCs w:val="21"/>
                      <w:highlight w:val="none"/>
                      <w:u w:val="none"/>
                      <w:lang w:eastAsia="zh-CN" w:bidi="ar"/>
                    </w:rPr>
                    <w:t>布袋除尘</w:t>
                  </w: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S5</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一般固废</w:t>
                  </w:r>
                </w:p>
              </w:tc>
              <w:tc>
                <w:tcPr>
                  <w:tcW w:w="2204" w:type="dxa"/>
                  <w:noWrap w:val="0"/>
                  <w:vAlign w:val="center"/>
                </w:tcPr>
                <w:p>
                  <w:pPr>
                    <w:adjustRightInd w:val="0"/>
                    <w:jc w:val="center"/>
                    <w:rPr>
                      <w:rFonts w:hint="eastAsia"/>
                      <w:color w:val="auto"/>
                      <w:spacing w:val="-4"/>
                      <w:szCs w:val="21"/>
                      <w:highlight w:val="none"/>
                      <w:u w:val="none"/>
                      <w:lang w:eastAsia="zh-CN" w:bidi="ar"/>
                    </w:rPr>
                  </w:pPr>
                  <w:r>
                    <w:rPr>
                      <w:rFonts w:hint="eastAsia"/>
                      <w:color w:val="auto"/>
                      <w:spacing w:val="-4"/>
                      <w:szCs w:val="21"/>
                      <w:highlight w:val="none"/>
                      <w:u w:val="none"/>
                      <w:lang w:eastAsia="zh-CN"/>
                    </w:rPr>
                    <w:t>除尘灰</w:t>
                  </w:r>
                </w:p>
              </w:tc>
              <w:tc>
                <w:tcPr>
                  <w:tcW w:w="2488" w:type="dxa"/>
                  <w:noWrap w:val="0"/>
                  <w:vAlign w:val="center"/>
                </w:tcPr>
                <w:p>
                  <w:pPr>
                    <w:adjustRightInd w:val="0"/>
                    <w:jc w:val="center"/>
                    <w:rPr>
                      <w:rFonts w:hint="eastAsia" w:ascii="Times New Roman" w:hAnsi="Times New Roman"/>
                      <w:color w:val="auto"/>
                      <w:sz w:val="21"/>
                      <w:szCs w:val="21"/>
                      <w:highlight w:val="none"/>
                      <w:u w:val="none"/>
                      <w:lang w:val="en-US" w:eastAsia="zh-CN"/>
                    </w:rPr>
                  </w:pPr>
                  <w:r>
                    <w:rPr>
                      <w:rFonts w:hint="eastAsia"/>
                      <w:color w:val="auto"/>
                      <w:sz w:val="21"/>
                      <w:szCs w:val="21"/>
                      <w:highlight w:val="none"/>
                      <w:u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注塑</w:t>
                  </w: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S6</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一般固废</w:t>
                  </w:r>
                </w:p>
              </w:tc>
              <w:tc>
                <w:tcPr>
                  <w:tcW w:w="2204"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塑料边角料</w:t>
                  </w:r>
                </w:p>
              </w:tc>
              <w:tc>
                <w:tcPr>
                  <w:tcW w:w="2488" w:type="dxa"/>
                  <w:noWrap w:val="0"/>
                  <w:vAlign w:val="center"/>
                </w:tcPr>
                <w:p>
                  <w:pPr>
                    <w:adjustRightInd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回用于注塑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noWrap w:val="0"/>
                  <w:vAlign w:val="center"/>
                </w:tcPr>
                <w:p>
                  <w:pPr>
                    <w:adjustRightInd w:val="0"/>
                    <w:jc w:val="center"/>
                    <w:rPr>
                      <w:rFonts w:hint="eastAsia" w:cs="Times New Roman"/>
                      <w:color w:val="auto"/>
                      <w:szCs w:val="21"/>
                      <w:highlight w:val="none"/>
                      <w:u w:val="none"/>
                      <w:lang w:eastAsia="zh-CN" w:bidi="ar"/>
                    </w:rPr>
                  </w:pPr>
                  <w:r>
                    <w:rPr>
                      <w:rFonts w:hint="eastAsia" w:cs="Times New Roman"/>
                      <w:color w:val="auto"/>
                      <w:szCs w:val="21"/>
                      <w:highlight w:val="none"/>
                      <w:u w:val="none"/>
                      <w:lang w:eastAsia="zh-CN" w:bidi="ar"/>
                    </w:rPr>
                    <w:t>活性炭吸附</w:t>
                  </w: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S7</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危险废物</w:t>
                  </w:r>
                </w:p>
              </w:tc>
              <w:tc>
                <w:tcPr>
                  <w:tcW w:w="2204"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废活性炭</w:t>
                  </w:r>
                </w:p>
              </w:tc>
              <w:tc>
                <w:tcPr>
                  <w:tcW w:w="2488" w:type="dxa"/>
                  <w:noWrap w:val="0"/>
                  <w:vAlign w:val="center"/>
                </w:tcPr>
                <w:p>
                  <w:pPr>
                    <w:adjustRightInd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vMerge w:val="restart"/>
                  <w:noWrap w:val="0"/>
                  <w:vAlign w:val="center"/>
                </w:tcPr>
                <w:p>
                  <w:pPr>
                    <w:adjustRightInd w:val="0"/>
                    <w:jc w:val="center"/>
                    <w:rPr>
                      <w:rFonts w:hint="default" w:cs="Times New Roman"/>
                      <w:color w:val="auto"/>
                      <w:szCs w:val="21"/>
                      <w:highlight w:val="none"/>
                      <w:u w:val="none"/>
                      <w:lang w:val="en-US" w:eastAsia="zh-CN" w:bidi="ar"/>
                    </w:rPr>
                  </w:pPr>
                  <w:r>
                    <w:rPr>
                      <w:rFonts w:hint="eastAsia" w:cs="Times New Roman"/>
                      <w:color w:val="auto"/>
                      <w:szCs w:val="21"/>
                      <w:highlight w:val="none"/>
                      <w:u w:val="none"/>
                      <w:lang w:val="en-US" w:eastAsia="zh-CN" w:bidi="ar"/>
                    </w:rPr>
                    <w:t>退火</w:t>
                  </w: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S8</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危险废物</w:t>
                  </w:r>
                </w:p>
              </w:tc>
              <w:tc>
                <w:tcPr>
                  <w:tcW w:w="2204"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含镍废催化剂</w:t>
                  </w:r>
                </w:p>
              </w:tc>
              <w:tc>
                <w:tcPr>
                  <w:tcW w:w="2488" w:type="dxa"/>
                  <w:noWrap w:val="0"/>
                  <w:vAlign w:val="center"/>
                </w:tcPr>
                <w:p>
                  <w:pPr>
                    <w:adjustRightInd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vMerge w:val="continue"/>
                  <w:noWrap w:val="0"/>
                  <w:vAlign w:val="center"/>
                </w:tcPr>
                <w:p>
                  <w:pPr>
                    <w:rPr>
                      <w:color w:val="auto"/>
                      <w:szCs w:val="21"/>
                      <w:highlight w:val="none"/>
                      <w:u w:val="none"/>
                    </w:rPr>
                  </w:pPr>
                </w:p>
              </w:tc>
              <w:tc>
                <w:tcPr>
                  <w:tcW w:w="1229" w:type="dxa"/>
                  <w:vMerge w:val="continue"/>
                  <w:noWrap w:val="0"/>
                  <w:vAlign w:val="center"/>
                </w:tcPr>
                <w:p>
                  <w:pPr>
                    <w:adjustRightInd w:val="0"/>
                    <w:jc w:val="center"/>
                    <w:rPr>
                      <w:rFonts w:hint="eastAsia" w:cs="Times New Roman"/>
                      <w:color w:val="auto"/>
                      <w:szCs w:val="21"/>
                      <w:highlight w:val="none"/>
                      <w:u w:val="none"/>
                      <w:lang w:eastAsia="zh-CN" w:bidi="ar"/>
                    </w:rPr>
                  </w:pPr>
                </w:p>
              </w:tc>
              <w:tc>
                <w:tcPr>
                  <w:tcW w:w="640" w:type="dxa"/>
                  <w:noWrap w:val="0"/>
                  <w:vAlign w:val="center"/>
                </w:tcPr>
                <w:p>
                  <w:pPr>
                    <w:adjustRightInd w:val="0"/>
                    <w:jc w:val="center"/>
                    <w:rPr>
                      <w:rFonts w:hint="default"/>
                      <w:color w:val="auto"/>
                      <w:spacing w:val="-4"/>
                      <w:szCs w:val="21"/>
                      <w:highlight w:val="none"/>
                      <w:u w:val="none"/>
                      <w:lang w:val="en-US" w:eastAsia="zh-CN" w:bidi="ar"/>
                    </w:rPr>
                  </w:pPr>
                  <w:r>
                    <w:rPr>
                      <w:rFonts w:hint="eastAsia"/>
                      <w:color w:val="auto"/>
                      <w:spacing w:val="-4"/>
                      <w:szCs w:val="21"/>
                      <w:highlight w:val="none"/>
                      <w:u w:val="none"/>
                      <w:lang w:val="en-US" w:eastAsia="zh-CN" w:bidi="ar"/>
                    </w:rPr>
                    <w:t>S9</w:t>
                  </w:r>
                </w:p>
              </w:tc>
              <w:tc>
                <w:tcPr>
                  <w:tcW w:w="1633"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一般固废</w:t>
                  </w:r>
                </w:p>
              </w:tc>
              <w:tc>
                <w:tcPr>
                  <w:tcW w:w="2204" w:type="dxa"/>
                  <w:noWrap w:val="0"/>
                  <w:vAlign w:val="center"/>
                </w:tcPr>
                <w:p>
                  <w:pPr>
                    <w:adjustRightInd w:val="0"/>
                    <w:jc w:val="center"/>
                    <w:rPr>
                      <w:rFonts w:hint="eastAsia"/>
                      <w:color w:val="auto"/>
                      <w:spacing w:val="-4"/>
                      <w:szCs w:val="21"/>
                      <w:highlight w:val="none"/>
                      <w:u w:val="none"/>
                      <w:lang w:eastAsia="zh-CN"/>
                    </w:rPr>
                  </w:pPr>
                  <w:r>
                    <w:rPr>
                      <w:rFonts w:hint="eastAsia"/>
                      <w:color w:val="auto"/>
                      <w:spacing w:val="-4"/>
                      <w:szCs w:val="21"/>
                      <w:highlight w:val="none"/>
                      <w:u w:val="none"/>
                      <w:lang w:eastAsia="zh-CN"/>
                    </w:rPr>
                    <w:t>废分子筛</w:t>
                  </w:r>
                </w:p>
              </w:tc>
              <w:tc>
                <w:tcPr>
                  <w:tcW w:w="2488" w:type="dxa"/>
                  <w:noWrap w:val="0"/>
                  <w:vAlign w:val="center"/>
                </w:tcPr>
                <w:p>
                  <w:pPr>
                    <w:adjustRightInd w:val="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收集后厂家回收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9" w:type="dxa"/>
                  <w:noWrap w:val="0"/>
                  <w:vAlign w:val="center"/>
                </w:tcPr>
                <w:p>
                  <w:pPr>
                    <w:adjustRightInd w:val="0"/>
                    <w:jc w:val="center"/>
                    <w:rPr>
                      <w:color w:val="auto"/>
                      <w:spacing w:val="-4"/>
                      <w:szCs w:val="21"/>
                      <w:highlight w:val="none"/>
                      <w:u w:val="none"/>
                    </w:rPr>
                  </w:pPr>
                  <w:r>
                    <w:rPr>
                      <w:color w:val="auto"/>
                      <w:spacing w:val="-4"/>
                      <w:szCs w:val="21"/>
                      <w:highlight w:val="none"/>
                      <w:u w:val="none"/>
                      <w:lang w:bidi="ar"/>
                    </w:rPr>
                    <w:t>噪声</w:t>
                  </w:r>
                </w:p>
              </w:tc>
              <w:tc>
                <w:tcPr>
                  <w:tcW w:w="1229" w:type="dxa"/>
                  <w:noWrap w:val="0"/>
                  <w:vAlign w:val="center"/>
                </w:tcPr>
                <w:p>
                  <w:pPr>
                    <w:adjustRightInd w:val="0"/>
                    <w:jc w:val="center"/>
                    <w:rPr>
                      <w:rFonts w:hint="eastAsia" w:ascii="Times New Roman" w:hAnsi="Times New Roman" w:eastAsia="宋体" w:cs="Times New Roman"/>
                      <w:color w:val="auto"/>
                      <w:szCs w:val="21"/>
                      <w:highlight w:val="none"/>
                      <w:u w:val="none"/>
                      <w:lang w:bidi="ar"/>
                    </w:rPr>
                  </w:pPr>
                  <w:r>
                    <w:rPr>
                      <w:rFonts w:hint="eastAsia" w:ascii="Times New Roman" w:hAnsi="Times New Roman" w:eastAsia="宋体" w:cs="Times New Roman"/>
                      <w:color w:val="auto"/>
                      <w:szCs w:val="21"/>
                      <w:highlight w:val="none"/>
                      <w:u w:val="none"/>
                      <w:lang w:bidi="ar"/>
                    </w:rPr>
                    <w:t>设备运转</w:t>
                  </w:r>
                </w:p>
              </w:tc>
              <w:tc>
                <w:tcPr>
                  <w:tcW w:w="640" w:type="dxa"/>
                  <w:noWrap w:val="0"/>
                  <w:vAlign w:val="center"/>
                </w:tcPr>
                <w:p>
                  <w:pPr>
                    <w:adjustRightInd w:val="0"/>
                    <w:jc w:val="center"/>
                    <w:rPr>
                      <w:rFonts w:hint="default" w:eastAsia="宋体"/>
                      <w:color w:val="auto"/>
                      <w:spacing w:val="-4"/>
                      <w:szCs w:val="21"/>
                      <w:highlight w:val="none"/>
                      <w:u w:val="none"/>
                      <w:lang w:val="en-US" w:eastAsia="zh-CN" w:bidi="ar"/>
                    </w:rPr>
                  </w:pPr>
                  <w:r>
                    <w:rPr>
                      <w:rFonts w:hint="eastAsia"/>
                      <w:color w:val="auto"/>
                      <w:spacing w:val="-4"/>
                      <w:szCs w:val="21"/>
                      <w:highlight w:val="none"/>
                      <w:u w:val="none"/>
                      <w:lang w:val="en-US" w:eastAsia="zh-CN" w:bidi="ar"/>
                    </w:rPr>
                    <w:t>N</w:t>
                  </w:r>
                </w:p>
              </w:tc>
              <w:tc>
                <w:tcPr>
                  <w:tcW w:w="3837" w:type="dxa"/>
                  <w:gridSpan w:val="2"/>
                  <w:noWrap w:val="0"/>
                  <w:vAlign w:val="center"/>
                </w:tcPr>
                <w:p>
                  <w:pPr>
                    <w:adjustRightInd w:val="0"/>
                    <w:jc w:val="center"/>
                    <w:rPr>
                      <w:color w:val="auto"/>
                      <w:spacing w:val="-4"/>
                      <w:szCs w:val="21"/>
                      <w:highlight w:val="none"/>
                      <w:u w:val="none"/>
                      <w:lang w:bidi="ar"/>
                    </w:rPr>
                  </w:pPr>
                  <w:r>
                    <w:rPr>
                      <w:color w:val="auto"/>
                      <w:spacing w:val="-4"/>
                      <w:szCs w:val="21"/>
                      <w:highlight w:val="none"/>
                      <w:u w:val="none"/>
                      <w:lang w:bidi="ar"/>
                    </w:rPr>
                    <w:t>设备噪声</w:t>
                  </w:r>
                </w:p>
              </w:tc>
              <w:tc>
                <w:tcPr>
                  <w:tcW w:w="2488" w:type="dxa"/>
                  <w:noWrap w:val="0"/>
                  <w:vAlign w:val="center"/>
                </w:tcPr>
                <w:p>
                  <w:pPr>
                    <w:adjustRightInd w:val="0"/>
                    <w:jc w:val="center"/>
                    <w:rPr>
                      <w:rFonts w:hint="eastAsia" w:eastAsia="宋体"/>
                      <w:color w:val="auto"/>
                      <w:spacing w:val="-4"/>
                      <w:szCs w:val="21"/>
                      <w:highlight w:val="none"/>
                      <w:u w:val="none"/>
                      <w:lang w:eastAsia="zh-CN" w:bidi="ar"/>
                    </w:rPr>
                  </w:pPr>
                  <w:r>
                    <w:rPr>
                      <w:rFonts w:hint="eastAsia"/>
                      <w:color w:val="auto"/>
                      <w:spacing w:val="-4"/>
                      <w:szCs w:val="21"/>
                      <w:highlight w:val="none"/>
                      <w:u w:val="none"/>
                      <w:lang w:eastAsia="zh-CN" w:bidi="ar"/>
                    </w:rPr>
                    <w:t>减振、隔声</w:t>
                  </w:r>
                </w:p>
              </w:tc>
            </w:tr>
          </w:tbl>
          <w:p>
            <w:pPr>
              <w:spacing w:line="360" w:lineRule="auto"/>
              <w:ind w:firstLine="482" w:firstLineChars="200"/>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lang w:val="en-US" w:eastAsia="zh-CN"/>
              </w:rPr>
              <w:t>5</w:t>
            </w:r>
            <w:r>
              <w:rPr>
                <w:rFonts w:hint="default" w:ascii="Times New Roman" w:hAnsi="Times New Roman" w:eastAsia="宋体" w:cs="Times New Roman"/>
                <w:b/>
                <w:bCs/>
                <w:color w:val="auto"/>
                <w:sz w:val="24"/>
                <w:szCs w:val="24"/>
                <w:highlight w:val="none"/>
                <w:u w:val="none" w:color="auto"/>
                <w:lang w:eastAsia="zh-CN"/>
              </w:rPr>
              <w:t>）物料平衡</w:t>
            </w:r>
          </w:p>
          <w:p>
            <w:pPr>
              <w:spacing w:line="360" w:lineRule="auto"/>
              <w:ind w:firstLine="480" w:firstLineChars="200"/>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硫酸平衡见表</w:t>
            </w:r>
            <w:r>
              <w:rPr>
                <w:rFonts w:hint="default" w:ascii="Times New Roman" w:hAnsi="Times New Roman" w:eastAsia="宋体" w:cs="Times New Roman"/>
                <w:color w:val="auto"/>
                <w:sz w:val="24"/>
                <w:szCs w:val="24"/>
                <w:highlight w:val="none"/>
                <w:u w:val="none" w:color="auto"/>
                <w:lang w:val="en-US" w:eastAsia="zh-CN"/>
              </w:rPr>
              <w:t>2.9-2</w:t>
            </w:r>
            <w:r>
              <w:rPr>
                <w:rFonts w:hint="default" w:ascii="Times New Roman" w:hAnsi="Times New Roman" w:eastAsia="宋体" w:cs="Times New Roman"/>
                <w:color w:val="auto"/>
                <w:sz w:val="24"/>
                <w:szCs w:val="24"/>
                <w:highlight w:val="none"/>
                <w:u w:val="none" w:color="auto"/>
                <w:lang w:eastAsia="zh-CN"/>
              </w:rPr>
              <w:t>。</w:t>
            </w:r>
          </w:p>
          <w:p>
            <w:pPr>
              <w:jc w:val="center"/>
              <w:outlineLvl w:val="0"/>
              <w:rPr>
                <w:rFonts w:hint="default" w:ascii="Times New Roman" w:hAnsi="Times New Roman" w:eastAsia="宋体" w:cs="Times New Roman"/>
                <w:b/>
                <w:color w:val="auto"/>
                <w:sz w:val="24"/>
                <w:szCs w:val="24"/>
                <w:highlight w:val="none"/>
                <w:u w:val="none" w:color="auto"/>
                <w:lang w:val="en-US" w:eastAsia="zh-CN" w:bidi="ar"/>
              </w:rPr>
            </w:pPr>
            <w:bookmarkStart w:id="60" w:name="_Toc25634"/>
          </w:p>
          <w:p>
            <w:pPr>
              <w:jc w:val="center"/>
              <w:outlineLvl w:val="0"/>
              <w:rPr>
                <w:rFonts w:hint="default" w:ascii="Times New Roman" w:hAnsi="Times New Roman" w:eastAsia="宋体" w:cs="Times New Roman"/>
                <w:b/>
                <w:color w:val="auto"/>
                <w:sz w:val="24"/>
                <w:szCs w:val="24"/>
                <w:highlight w:val="none"/>
                <w:u w:val="none" w:color="auto"/>
                <w:lang w:val="en-US" w:eastAsia="zh-CN" w:bidi="ar"/>
              </w:rPr>
            </w:pPr>
            <w:r>
              <w:rPr>
                <w:rFonts w:hint="default" w:ascii="Times New Roman" w:hAnsi="Times New Roman" w:eastAsia="宋体" w:cs="Times New Roman"/>
                <w:b/>
                <w:color w:val="auto"/>
                <w:sz w:val="24"/>
                <w:szCs w:val="24"/>
                <w:highlight w:val="none"/>
                <w:u w:val="none" w:color="auto"/>
                <w:lang w:val="en-US" w:eastAsia="zh-CN" w:bidi="ar"/>
              </w:rPr>
              <w:t>表2.9-</w:t>
            </w:r>
            <w:r>
              <w:rPr>
                <w:rFonts w:hint="default" w:ascii="Times New Roman" w:hAnsi="Times New Roman" w:cs="Times New Roman"/>
                <w:b/>
                <w:color w:val="auto"/>
                <w:sz w:val="24"/>
                <w:szCs w:val="24"/>
                <w:highlight w:val="none"/>
                <w:u w:val="none" w:color="auto"/>
                <w:lang w:val="en-US" w:eastAsia="zh-CN" w:bidi="ar"/>
              </w:rPr>
              <w:t>2</w:t>
            </w:r>
            <w:r>
              <w:rPr>
                <w:rFonts w:hint="default" w:ascii="Times New Roman" w:hAnsi="Times New Roman" w:eastAsia="宋体" w:cs="Times New Roman"/>
                <w:b/>
                <w:color w:val="auto"/>
                <w:sz w:val="24"/>
                <w:szCs w:val="24"/>
                <w:highlight w:val="none"/>
                <w:u w:val="none" w:color="auto"/>
                <w:lang w:val="en-US" w:eastAsia="zh-CN" w:bidi="ar"/>
              </w:rPr>
              <w:t>本项目硫酸平衡一览表</w:t>
            </w:r>
            <w:bookmarkEnd w:id="60"/>
          </w:p>
          <w:tbl>
            <w:tblPr>
              <w:tblStyle w:val="29"/>
              <w:tblW w:w="4996" w:type="pct"/>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2534"/>
              <w:gridCol w:w="1691"/>
              <w:gridCol w:w="2402"/>
              <w:gridCol w:w="1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17" w:type="dxa"/>
                  <w:vMerge w:val="restart"/>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2"/>
                      <w:sz w:val="21"/>
                      <w:szCs w:val="21"/>
                      <w:highlight w:val="none"/>
                      <w:u w:val="none" w:color="auto"/>
                    </w:rPr>
                    <w:t>序号</w:t>
                  </w:r>
                </w:p>
              </w:tc>
              <w:tc>
                <w:tcPr>
                  <w:tcW w:w="422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u w:val="single" w:color="auto"/>
                    </w:rPr>
                  </w:pPr>
                  <w:r>
                    <w:rPr>
                      <w:rFonts w:hint="default" w:ascii="Times New Roman" w:hAnsi="Times New Roman" w:eastAsia="宋体" w:cs="Times New Roman"/>
                      <w:color w:val="auto"/>
                      <w:spacing w:val="1"/>
                      <w:sz w:val="21"/>
                      <w:szCs w:val="21"/>
                      <w:highlight w:val="none"/>
                      <w:u w:val="single" w:color="auto"/>
                    </w:rPr>
                    <w:t>投</w:t>
                  </w:r>
                  <w:r>
                    <w:rPr>
                      <w:rFonts w:hint="default" w:ascii="Times New Roman" w:hAnsi="Times New Roman" w:eastAsia="宋体" w:cs="Times New Roman"/>
                      <w:color w:val="auto"/>
                      <w:sz w:val="21"/>
                      <w:szCs w:val="21"/>
                      <w:highlight w:val="none"/>
                      <w:u w:val="single" w:color="auto"/>
                    </w:rPr>
                    <w:t>入</w:t>
                  </w:r>
                </w:p>
              </w:tc>
              <w:tc>
                <w:tcPr>
                  <w:tcW w:w="41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pacing w:val="4"/>
                      <w:sz w:val="21"/>
                      <w:szCs w:val="21"/>
                      <w:highlight w:val="none"/>
                      <w:u w:val="single" w:color="auto"/>
                    </w:rPr>
                    <w:t>产</w:t>
                  </w:r>
                  <w:r>
                    <w:rPr>
                      <w:rFonts w:hint="default" w:ascii="Times New Roman" w:hAnsi="Times New Roman" w:eastAsia="宋体" w:cs="Times New Roman"/>
                      <w:color w:val="auto"/>
                      <w:spacing w:val="2"/>
                      <w:sz w:val="21"/>
                      <w:szCs w:val="21"/>
                      <w:highlight w:val="none"/>
                      <w:u w:val="single" w:color="auto"/>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17"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rPr>
                  </w:pP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pacing w:val="-2"/>
                      <w:sz w:val="21"/>
                      <w:szCs w:val="21"/>
                      <w:highlight w:val="none"/>
                      <w:u w:val="single" w:color="auto"/>
                    </w:rPr>
                    <w:t>原辅材料名</w:t>
                  </w:r>
                  <w:r>
                    <w:rPr>
                      <w:rFonts w:hint="default" w:ascii="Times New Roman" w:hAnsi="Times New Roman" w:eastAsia="宋体" w:cs="Times New Roman"/>
                      <w:b w:val="0"/>
                      <w:bCs w:val="0"/>
                      <w:color w:val="auto"/>
                      <w:spacing w:val="-1"/>
                      <w:sz w:val="21"/>
                      <w:szCs w:val="21"/>
                      <w:highlight w:val="none"/>
                      <w:u w:val="single" w:color="auto"/>
                    </w:rPr>
                    <w:t>称</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cs="Times New Roman"/>
                      <w:b w:val="0"/>
                      <w:bCs w:val="0"/>
                      <w:color w:val="auto"/>
                      <w:spacing w:val="-2"/>
                      <w:sz w:val="21"/>
                      <w:szCs w:val="21"/>
                      <w:highlight w:val="none"/>
                      <w:u w:val="single" w:color="auto"/>
                      <w:lang w:eastAsia="zh-CN"/>
                    </w:rPr>
                    <w:t>投入</w:t>
                  </w:r>
                  <w:r>
                    <w:rPr>
                      <w:rFonts w:hint="default" w:ascii="Times New Roman" w:hAnsi="Times New Roman" w:eastAsia="宋体" w:cs="Times New Roman"/>
                      <w:b w:val="0"/>
                      <w:bCs w:val="0"/>
                      <w:color w:val="auto"/>
                      <w:spacing w:val="-2"/>
                      <w:sz w:val="21"/>
                      <w:szCs w:val="21"/>
                      <w:highlight w:val="none"/>
                      <w:u w:val="single" w:color="auto"/>
                    </w:rPr>
                    <w:t>量</w:t>
                  </w:r>
                  <w:r>
                    <w:rPr>
                      <w:rFonts w:hint="default" w:ascii="Times New Roman" w:hAnsi="Times New Roman" w:eastAsia="宋体" w:cs="Times New Roman"/>
                      <w:b w:val="0"/>
                      <w:bCs w:val="0"/>
                      <w:color w:val="auto"/>
                      <w:spacing w:val="28"/>
                      <w:sz w:val="21"/>
                      <w:szCs w:val="21"/>
                      <w:highlight w:val="none"/>
                      <w:u w:val="single" w:color="auto"/>
                    </w:rPr>
                    <w:t>(</w:t>
                  </w:r>
                  <w:r>
                    <w:rPr>
                      <w:rFonts w:hint="default" w:ascii="Times New Roman" w:hAnsi="Times New Roman" w:eastAsia="宋体" w:cs="Times New Roman"/>
                      <w:b w:val="0"/>
                      <w:bCs w:val="0"/>
                      <w:color w:val="auto"/>
                      <w:sz w:val="21"/>
                      <w:szCs w:val="21"/>
                      <w:highlight w:val="none"/>
                      <w:u w:val="single" w:color="auto"/>
                      <w:lang w:val="en-US" w:eastAsia="zh-CN"/>
                    </w:rPr>
                    <w:t>t</w:t>
                  </w:r>
                  <w:r>
                    <w:rPr>
                      <w:rFonts w:hint="default" w:ascii="Times New Roman" w:hAnsi="Times New Roman" w:eastAsia="宋体" w:cs="Times New Roman"/>
                      <w:b w:val="0"/>
                      <w:bCs w:val="0"/>
                      <w:color w:val="auto"/>
                      <w:spacing w:val="26"/>
                      <w:sz w:val="21"/>
                      <w:szCs w:val="21"/>
                      <w:highlight w:val="none"/>
                      <w:u w:val="single" w:color="auto"/>
                    </w:rPr>
                    <w:t>/</w:t>
                  </w:r>
                  <w:r>
                    <w:rPr>
                      <w:rFonts w:hint="default" w:ascii="Times New Roman" w:hAnsi="Times New Roman" w:eastAsia="Times New Roman" w:cs="Times New Roman"/>
                      <w:b w:val="0"/>
                      <w:bCs w:val="0"/>
                      <w:color w:val="auto"/>
                      <w:sz w:val="21"/>
                      <w:szCs w:val="21"/>
                      <w:highlight w:val="none"/>
                      <w:u w:val="single" w:color="auto"/>
                    </w:rPr>
                    <w:t>a</w:t>
                  </w:r>
                  <w:r>
                    <w:rPr>
                      <w:rFonts w:hint="default" w:ascii="Times New Roman" w:hAnsi="Times New Roman" w:eastAsia="宋体" w:cs="Times New Roman"/>
                      <w:b w:val="0"/>
                      <w:bCs w:val="0"/>
                      <w:color w:val="auto"/>
                      <w:spacing w:val="26"/>
                      <w:sz w:val="21"/>
                      <w:szCs w:val="21"/>
                      <w:highlight w:val="none"/>
                      <w:u w:val="single" w:color="auto"/>
                    </w:rPr>
                    <w:t>)</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eastAsia="宋体" w:cs="Times New Roman"/>
                      <w:b w:val="0"/>
                      <w:bCs w:val="0"/>
                      <w:color w:val="auto"/>
                      <w:spacing w:val="5"/>
                      <w:sz w:val="21"/>
                      <w:szCs w:val="21"/>
                      <w:highlight w:val="none"/>
                      <w:u w:val="single" w:color="auto"/>
                    </w:rPr>
                    <w:t>去向</w:t>
                  </w:r>
                </w:p>
              </w:tc>
              <w:tc>
                <w:tcPr>
                  <w:tcW w:w="17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u w:val="single" w:color="auto"/>
                    </w:rPr>
                  </w:pPr>
                  <w:r>
                    <w:rPr>
                      <w:rFonts w:hint="default" w:ascii="Times New Roman" w:hAnsi="Times New Roman" w:cs="Times New Roman"/>
                      <w:b w:val="0"/>
                      <w:bCs w:val="0"/>
                      <w:color w:val="auto"/>
                      <w:sz w:val="21"/>
                      <w:szCs w:val="21"/>
                      <w:highlight w:val="none"/>
                      <w:u w:val="single" w:color="auto"/>
                      <w:lang w:eastAsia="zh-CN"/>
                    </w:rPr>
                    <w:t>产出</w:t>
                  </w:r>
                  <w:r>
                    <w:rPr>
                      <w:rFonts w:hint="default" w:ascii="Times New Roman" w:hAnsi="Times New Roman" w:eastAsia="宋体" w:cs="Times New Roman"/>
                      <w:b w:val="0"/>
                      <w:bCs w:val="0"/>
                      <w:color w:val="auto"/>
                      <w:spacing w:val="-1"/>
                      <w:sz w:val="21"/>
                      <w:szCs w:val="21"/>
                      <w:highlight w:val="none"/>
                      <w:u w:val="single" w:color="auto"/>
                    </w:rPr>
                    <w:t>量</w:t>
                  </w:r>
                  <w:r>
                    <w:rPr>
                      <w:rFonts w:hint="default" w:ascii="Times New Roman" w:hAnsi="Times New Roman" w:eastAsia="宋体" w:cs="Times New Roman"/>
                      <w:b w:val="0"/>
                      <w:bCs w:val="0"/>
                      <w:color w:val="auto"/>
                      <w:spacing w:val="31"/>
                      <w:sz w:val="21"/>
                      <w:szCs w:val="21"/>
                      <w:highlight w:val="none"/>
                      <w:u w:val="single" w:color="auto"/>
                    </w:rPr>
                    <w:t>(</w:t>
                  </w:r>
                  <w:r>
                    <w:rPr>
                      <w:rFonts w:hint="default" w:ascii="Times New Roman" w:hAnsi="Times New Roman" w:eastAsia="宋体" w:cs="Times New Roman"/>
                      <w:b w:val="0"/>
                      <w:bCs w:val="0"/>
                      <w:color w:val="auto"/>
                      <w:sz w:val="21"/>
                      <w:szCs w:val="21"/>
                      <w:highlight w:val="none"/>
                      <w:u w:val="single" w:color="auto"/>
                      <w:lang w:val="en-US" w:eastAsia="zh-CN"/>
                    </w:rPr>
                    <w:t>t</w:t>
                  </w:r>
                  <w:r>
                    <w:rPr>
                      <w:rFonts w:hint="default" w:ascii="Times New Roman" w:hAnsi="Times New Roman" w:eastAsia="宋体" w:cs="Times New Roman"/>
                      <w:b w:val="0"/>
                      <w:bCs w:val="0"/>
                      <w:color w:val="auto"/>
                      <w:spacing w:val="31"/>
                      <w:sz w:val="21"/>
                      <w:szCs w:val="21"/>
                      <w:highlight w:val="none"/>
                      <w:u w:val="single" w:color="auto"/>
                    </w:rPr>
                    <w:t>/</w:t>
                  </w:r>
                  <w:r>
                    <w:rPr>
                      <w:rFonts w:hint="default" w:ascii="Times New Roman" w:hAnsi="Times New Roman" w:eastAsia="Times New Roman" w:cs="Times New Roman"/>
                      <w:b w:val="0"/>
                      <w:bCs w:val="0"/>
                      <w:color w:val="auto"/>
                      <w:sz w:val="21"/>
                      <w:szCs w:val="21"/>
                      <w:highlight w:val="none"/>
                      <w:u w:val="single" w:color="auto"/>
                    </w:rPr>
                    <w:t>a</w:t>
                  </w:r>
                  <w:r>
                    <w:rPr>
                      <w:rFonts w:hint="default" w:ascii="Times New Roman" w:hAnsi="Times New Roman" w:eastAsia="宋体" w:cs="Times New Roman"/>
                      <w:b w:val="0"/>
                      <w:bCs w:val="0"/>
                      <w:color w:val="auto"/>
                      <w:spacing w:val="31"/>
                      <w:sz w:val="21"/>
                      <w:szCs w:val="21"/>
                      <w:highlight w:val="none"/>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z w:val="21"/>
                      <w:szCs w:val="21"/>
                      <w:highlight w:val="none"/>
                      <w:u w:val="none" w:color="auto"/>
                    </w:rPr>
                    <w:t>1</w:t>
                  </w:r>
                </w:p>
              </w:tc>
              <w:tc>
                <w:tcPr>
                  <w:tcW w:w="2534"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pacing w:val="4"/>
                      <w:szCs w:val="21"/>
                      <w:highlight w:val="none"/>
                      <w:u w:val="single" w:color="auto"/>
                      <w:lang w:eastAsia="zh-CN"/>
                    </w:rPr>
                    <w:t>硫酸</w:t>
                  </w:r>
                </w:p>
              </w:tc>
              <w:tc>
                <w:tcPr>
                  <w:tcW w:w="1691" w:type="dxa"/>
                  <w:noWrap w:val="0"/>
                  <w:vAlign w:val="center"/>
                </w:tcPr>
                <w:p>
                  <w:pPr>
                    <w:keepNext w:val="0"/>
                    <w:keepLines w:val="0"/>
                    <w:widowControl/>
                    <w:suppressLineNumbers w:val="0"/>
                    <w:jc w:val="center"/>
                    <w:textAlignment w:val="center"/>
                    <w:rPr>
                      <w:rFonts w:hint="default" w:ascii="Times New Roman" w:hAnsi="Times New Roman" w:eastAsia="Times New Roman" w:cs="Times New Roman"/>
                      <w:color w:val="auto"/>
                      <w:sz w:val="21"/>
                      <w:szCs w:val="21"/>
                      <w:highlight w:val="none"/>
                      <w:u w:val="single" w:color="auto"/>
                      <w:lang w:val="en-US"/>
                    </w:rPr>
                  </w:pPr>
                  <w:r>
                    <w:rPr>
                      <w:rFonts w:hint="default" w:ascii="Times New Roman" w:hAnsi="Times New Roman" w:cs="Times New Roman"/>
                      <w:i w:val="0"/>
                      <w:iCs w:val="0"/>
                      <w:color w:val="auto"/>
                      <w:kern w:val="0"/>
                      <w:sz w:val="21"/>
                      <w:szCs w:val="21"/>
                      <w:highlight w:val="none"/>
                      <w:u w:val="single" w:color="auto"/>
                      <w:lang w:val="en-US" w:eastAsia="zh-CN" w:bidi="ar"/>
                    </w:rPr>
                    <w:t>8.4</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u w:val="single" w:color="auto"/>
                      <w:lang w:eastAsia="zh-CN"/>
                    </w:rPr>
                  </w:pPr>
                  <w:r>
                    <w:rPr>
                      <w:rFonts w:hint="eastAsia"/>
                      <w:color w:val="auto"/>
                      <w:highlight w:val="none"/>
                      <w:u w:val="single" w:color="auto"/>
                      <w:lang w:eastAsia="zh-CN"/>
                    </w:rPr>
                    <w:t>焊丝除锈</w:t>
                  </w:r>
                </w:p>
              </w:tc>
              <w:tc>
                <w:tcPr>
                  <w:tcW w:w="17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3.745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z w:val="21"/>
                      <w:szCs w:val="21"/>
                      <w:highlight w:val="none"/>
                      <w:u w:val="none" w:color="auto"/>
                    </w:rPr>
                    <w:t>2</w:t>
                  </w:r>
                </w:p>
              </w:tc>
              <w:tc>
                <w:tcPr>
                  <w:tcW w:w="2534"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w:t>
                  </w:r>
                </w:p>
              </w:tc>
              <w:tc>
                <w:tcPr>
                  <w:tcW w:w="169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single" w:color="auto"/>
                      <w:lang w:val="en-US" w:eastAsia="zh-CN"/>
                    </w:rPr>
                  </w:pPr>
                  <w:r>
                    <w:rPr>
                      <w:rFonts w:hint="eastAsia" w:eastAsia="宋体" w:cs="Times New Roman"/>
                      <w:color w:val="auto"/>
                      <w:sz w:val="21"/>
                      <w:szCs w:val="21"/>
                      <w:highlight w:val="none"/>
                      <w:u w:val="single" w:color="auto"/>
                      <w:lang w:val="en-US" w:eastAsia="zh-CN"/>
                    </w:rPr>
                    <w:t>/</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酸洗废水</w:t>
                  </w:r>
                </w:p>
              </w:tc>
              <w:tc>
                <w:tcPr>
                  <w:tcW w:w="17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z w:val="21"/>
                      <w:szCs w:val="21"/>
                      <w:highlight w:val="none"/>
                      <w:u w:val="none" w:color="auto"/>
                    </w:rPr>
                    <w:t>3</w:t>
                  </w:r>
                </w:p>
              </w:tc>
              <w:tc>
                <w:tcPr>
                  <w:tcW w:w="2534"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highlight w:val="none"/>
                      <w:u w:val="single" w:color="auto"/>
                    </w:rPr>
                  </w:pPr>
                  <w:r>
                    <w:rPr>
                      <w:rFonts w:hint="eastAsia" w:cs="Times New Roman"/>
                      <w:color w:val="auto"/>
                      <w:sz w:val="21"/>
                      <w:szCs w:val="21"/>
                      <w:highlight w:val="none"/>
                      <w:u w:val="single" w:color="auto"/>
                      <w:lang w:val="en-US" w:eastAsia="zh-CN"/>
                    </w:rPr>
                    <w:t>/</w:t>
                  </w:r>
                </w:p>
              </w:tc>
              <w:tc>
                <w:tcPr>
                  <w:tcW w:w="169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eastAsia" w:eastAsia="宋体" w:cs="Times New Roman"/>
                      <w:color w:val="auto"/>
                      <w:sz w:val="21"/>
                      <w:szCs w:val="21"/>
                      <w:highlight w:val="none"/>
                      <w:u w:val="single" w:color="auto"/>
                      <w:lang w:val="en-US" w:eastAsia="zh-CN"/>
                    </w:rPr>
                    <w:t>/</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水洗废水</w:t>
                  </w:r>
                </w:p>
              </w:tc>
              <w:tc>
                <w:tcPr>
                  <w:tcW w:w="17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0.215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w:t>
                  </w:r>
                </w:p>
              </w:tc>
              <w:tc>
                <w:tcPr>
                  <w:tcW w:w="2534" w:type="dxa"/>
                  <w:noWrap w:val="0"/>
                  <w:vAlign w:val="center"/>
                </w:tcPr>
                <w:p>
                  <w:pPr>
                    <w:widowControl/>
                    <w:adjustRightInd w:val="0"/>
                    <w:snapToGrid w:val="0"/>
                    <w:spacing w:line="240" w:lineRule="auto"/>
                    <w:jc w:val="center"/>
                    <w:rPr>
                      <w:rFonts w:hint="default" w:ascii="Times New Roman" w:hAnsi="Times New Roman" w:cs="Times New Roman"/>
                      <w:color w:val="auto"/>
                      <w:sz w:val="21"/>
                      <w:szCs w:val="21"/>
                      <w:highlight w:val="none"/>
                      <w:u w:val="single" w:color="auto"/>
                    </w:rPr>
                  </w:pPr>
                  <w:r>
                    <w:rPr>
                      <w:rFonts w:hint="eastAsia" w:cs="Times New Roman"/>
                      <w:color w:val="auto"/>
                      <w:sz w:val="21"/>
                      <w:szCs w:val="21"/>
                      <w:highlight w:val="none"/>
                      <w:u w:val="single" w:color="auto"/>
                      <w:lang w:val="en-US" w:eastAsia="zh-CN"/>
                    </w:rPr>
                    <w:t>/</w:t>
                  </w:r>
                </w:p>
              </w:tc>
              <w:tc>
                <w:tcPr>
                  <w:tcW w:w="1691"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eastAsia" w:eastAsia="宋体" w:cs="Times New Roman"/>
                      <w:color w:val="auto"/>
                      <w:sz w:val="21"/>
                      <w:szCs w:val="21"/>
                      <w:highlight w:val="none"/>
                      <w:u w:val="single" w:color="auto"/>
                      <w:lang w:val="en-US" w:eastAsia="zh-CN"/>
                    </w:rPr>
                    <w:t>/</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u w:val="single" w:color="auto"/>
                    </w:rPr>
                  </w:pPr>
                  <w:r>
                    <w:rPr>
                      <w:rFonts w:hint="default" w:ascii="Times New Roman" w:hAnsi="Times New Roman" w:eastAsia="宋体" w:cs="Times New Roman"/>
                      <w:color w:val="auto"/>
                      <w:spacing w:val="-1"/>
                      <w:sz w:val="21"/>
                      <w:szCs w:val="21"/>
                      <w:highlight w:val="none"/>
                      <w:u w:val="single" w:color="auto"/>
                    </w:rPr>
                    <w:t>废气排放</w:t>
                  </w:r>
                </w:p>
              </w:tc>
              <w:tc>
                <w:tcPr>
                  <w:tcW w:w="17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u w:val="single" w:color="auto"/>
                      <w:lang w:val="en-US" w:eastAsia="zh-CN"/>
                    </w:rPr>
                  </w:pPr>
                  <w:r>
                    <w:rPr>
                      <w:rFonts w:hint="eastAsia" w:cs="Times New Roman"/>
                      <w:color w:val="auto"/>
                      <w:spacing w:val="-2"/>
                      <w:sz w:val="21"/>
                      <w:szCs w:val="21"/>
                      <w:highlight w:val="none"/>
                      <w:u w:val="single" w:color="auto"/>
                      <w:lang w:val="en-US" w:eastAsia="zh-CN"/>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 w:hRule="atLeast"/>
              </w:trPr>
              <w:tc>
                <w:tcPr>
                  <w:tcW w:w="9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eastAsia="宋体" w:cs="Times New Roman"/>
                      <w:color w:val="auto"/>
                      <w:spacing w:val="-3"/>
                      <w:position w:val="-1"/>
                      <w:sz w:val="21"/>
                      <w:szCs w:val="21"/>
                      <w:highlight w:val="none"/>
                      <w:u w:val="none" w:color="auto"/>
                      <w:lang w:val="en-US" w:eastAsia="zh-CN"/>
                    </w:rPr>
                    <w:t>/</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pacing w:val="-1"/>
                      <w:sz w:val="21"/>
                      <w:szCs w:val="21"/>
                      <w:highlight w:val="none"/>
                      <w:u w:val="single" w:color="auto"/>
                    </w:rPr>
                    <w:t>投</w:t>
                  </w:r>
                  <w:r>
                    <w:rPr>
                      <w:rFonts w:hint="default" w:ascii="Times New Roman" w:hAnsi="Times New Roman" w:eastAsia="宋体" w:cs="Times New Roman"/>
                      <w:color w:val="auto"/>
                      <w:sz w:val="21"/>
                      <w:szCs w:val="21"/>
                      <w:highlight w:val="none"/>
                      <w:u w:val="single" w:color="auto"/>
                    </w:rPr>
                    <w:t>入总计</w:t>
                  </w:r>
                </w:p>
              </w:tc>
              <w:tc>
                <w:tcPr>
                  <w:tcW w:w="16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u w:val="single" w:color="auto"/>
                      <w:lang w:val="en-US" w:eastAsia="zh-CN"/>
                    </w:rPr>
                  </w:pPr>
                  <w:r>
                    <w:rPr>
                      <w:rFonts w:hint="default" w:ascii="Times New Roman" w:hAnsi="Times New Roman" w:cs="Times New Roman"/>
                      <w:color w:val="auto"/>
                      <w:spacing w:val="-1"/>
                      <w:sz w:val="21"/>
                      <w:szCs w:val="21"/>
                      <w:highlight w:val="none"/>
                      <w:u w:val="single" w:color="auto"/>
                      <w:lang w:val="en-US" w:eastAsia="zh-CN"/>
                    </w:rPr>
                    <w:t>8.4</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pacing w:val="-2"/>
                      <w:sz w:val="21"/>
                      <w:szCs w:val="21"/>
                      <w:highlight w:val="none"/>
                      <w:u w:val="single" w:color="auto"/>
                    </w:rPr>
                    <w:t>产出总</w:t>
                  </w:r>
                  <w:r>
                    <w:rPr>
                      <w:rFonts w:hint="default" w:ascii="Times New Roman" w:hAnsi="Times New Roman" w:eastAsia="宋体" w:cs="Times New Roman"/>
                      <w:color w:val="auto"/>
                      <w:spacing w:val="-1"/>
                      <w:sz w:val="21"/>
                      <w:szCs w:val="21"/>
                      <w:highlight w:val="none"/>
                      <w:u w:val="single" w:color="auto"/>
                    </w:rPr>
                    <w:t>计</w:t>
                  </w:r>
                </w:p>
              </w:tc>
              <w:tc>
                <w:tcPr>
                  <w:tcW w:w="1767" w:type="dxa"/>
                  <w:noWrap w:val="0"/>
                  <w:vAlign w:val="center"/>
                </w:tcPr>
                <w:p>
                  <w:pPr>
                    <w:keepNext w:val="0"/>
                    <w:keepLines w:val="0"/>
                    <w:widowControl/>
                    <w:suppressLineNumbers w:val="0"/>
                    <w:jc w:val="center"/>
                    <w:textAlignment w:val="center"/>
                    <w:rPr>
                      <w:rFonts w:hint="default" w:ascii="Times New Roman" w:hAnsi="Times New Roman" w:eastAsia="Times New Roman" w:cs="Times New Roman"/>
                      <w:color w:val="auto"/>
                      <w:sz w:val="21"/>
                      <w:szCs w:val="21"/>
                      <w:highlight w:val="none"/>
                      <w:u w:val="single" w:color="auto"/>
                      <w:lang w:val="en-US"/>
                    </w:rPr>
                  </w:pPr>
                  <w:r>
                    <w:rPr>
                      <w:rFonts w:hint="default" w:ascii="Times New Roman" w:hAnsi="Times New Roman" w:cs="Times New Roman"/>
                      <w:i w:val="0"/>
                      <w:iCs w:val="0"/>
                      <w:color w:val="auto"/>
                      <w:kern w:val="0"/>
                      <w:sz w:val="21"/>
                      <w:szCs w:val="21"/>
                      <w:highlight w:val="none"/>
                      <w:u w:val="single" w:color="auto"/>
                      <w:lang w:val="en-US" w:eastAsia="zh-CN" w:bidi="ar"/>
                    </w:rPr>
                    <w:t>8.4</w:t>
                  </w:r>
                </w:p>
              </w:tc>
            </w:tr>
          </w:tbl>
          <w:p>
            <w:pPr>
              <w:spacing w:line="360" w:lineRule="auto"/>
              <w:ind w:firstLine="480" w:firstLineChars="200"/>
              <w:rPr>
                <w:rFonts w:hint="default" w:ascii="Times New Roman" w:hAnsi="Times New Roman" w:eastAsia="宋体" w:cs="Times New Roman"/>
                <w:color w:val="auto"/>
                <w:szCs w:val="21"/>
                <w:highlight w:val="none"/>
                <w:u w:val="none" w:color="auto"/>
                <w:lang w:eastAsia="zh-CN"/>
              </w:rPr>
            </w:pPr>
            <w:r>
              <w:rPr>
                <w:rFonts w:hint="eastAsia" w:cs="Times New Roman"/>
                <w:color w:val="auto"/>
                <w:sz w:val="24"/>
                <w:szCs w:val="24"/>
                <w:highlight w:val="none"/>
                <w:u w:val="none" w:color="auto"/>
                <w:lang w:eastAsia="zh-CN"/>
              </w:rPr>
              <w:t>药芯焊丝</w:t>
            </w:r>
            <w:r>
              <w:rPr>
                <w:rFonts w:hint="default" w:ascii="Times New Roman" w:hAnsi="Times New Roman" w:eastAsia="宋体" w:cs="Times New Roman"/>
                <w:color w:val="auto"/>
                <w:sz w:val="24"/>
                <w:szCs w:val="24"/>
                <w:highlight w:val="none"/>
                <w:u w:val="none" w:color="auto"/>
                <w:lang w:eastAsia="zh-CN"/>
              </w:rPr>
              <w:t>平衡见表</w:t>
            </w:r>
            <w:r>
              <w:rPr>
                <w:rFonts w:hint="default" w:ascii="Times New Roman" w:hAnsi="Times New Roman" w:eastAsia="宋体" w:cs="Times New Roman"/>
                <w:color w:val="auto"/>
                <w:sz w:val="24"/>
                <w:szCs w:val="24"/>
                <w:highlight w:val="none"/>
                <w:u w:val="none" w:color="auto"/>
                <w:lang w:val="en-US" w:eastAsia="zh-CN"/>
              </w:rPr>
              <w:t>2.9-</w:t>
            </w:r>
            <w:r>
              <w:rPr>
                <w:rFonts w:hint="eastAsia"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eastAsia="zh-CN"/>
              </w:rPr>
              <w:t>。</w:t>
            </w:r>
          </w:p>
          <w:p>
            <w:pPr>
              <w:pStyle w:val="60"/>
              <w:bidi w:val="0"/>
              <w:spacing w:line="240" w:lineRule="auto"/>
              <w:rPr>
                <w:rFonts w:hint="default"/>
                <w:color w:val="auto"/>
                <w:sz w:val="24"/>
                <w:szCs w:val="24"/>
                <w:highlight w:val="none"/>
                <w:u w:val="single" w:color="auto"/>
                <w:lang w:val="en-US" w:eastAsia="zh-CN"/>
              </w:rPr>
            </w:pPr>
            <w:r>
              <w:rPr>
                <w:rFonts w:hint="default" w:ascii="Times New Roman" w:hAnsi="Times New Roman" w:eastAsia="宋体" w:cs="Times New Roman"/>
                <w:b/>
                <w:color w:val="auto"/>
                <w:sz w:val="24"/>
                <w:szCs w:val="24"/>
                <w:highlight w:val="none"/>
                <w:u w:val="single" w:color="auto"/>
                <w:lang w:val="en-US" w:eastAsia="zh-CN" w:bidi="ar"/>
              </w:rPr>
              <w:t>表2.9-</w:t>
            </w:r>
            <w:r>
              <w:rPr>
                <w:rFonts w:hint="eastAsia" w:cs="Times New Roman"/>
                <w:b/>
                <w:color w:val="auto"/>
                <w:sz w:val="24"/>
                <w:szCs w:val="24"/>
                <w:highlight w:val="none"/>
                <w:u w:val="single" w:color="auto"/>
                <w:lang w:val="en-US" w:eastAsia="zh-CN" w:bidi="ar"/>
              </w:rPr>
              <w:t>3</w:t>
            </w:r>
            <w:r>
              <w:rPr>
                <w:rFonts w:hint="eastAsia" w:cs="Times New Roman"/>
                <w:color w:val="auto"/>
                <w:sz w:val="24"/>
                <w:szCs w:val="24"/>
                <w:highlight w:val="none"/>
                <w:u w:val="single" w:color="auto"/>
                <w:lang w:eastAsia="zh-CN"/>
              </w:rPr>
              <w:t>药芯焊丝</w:t>
            </w:r>
            <w:r>
              <w:rPr>
                <w:rFonts w:hint="default" w:ascii="Times New Roman" w:hAnsi="Times New Roman" w:eastAsia="宋体" w:cs="Times New Roman"/>
                <w:b/>
                <w:color w:val="auto"/>
                <w:sz w:val="24"/>
                <w:szCs w:val="24"/>
                <w:highlight w:val="none"/>
                <w:u w:val="single" w:color="auto"/>
                <w:lang w:val="en-US" w:eastAsia="zh-CN" w:bidi="ar"/>
              </w:rPr>
              <w:t>平衡一览表</w:t>
            </w:r>
          </w:p>
          <w:tbl>
            <w:tblPr>
              <w:tblStyle w:val="29"/>
              <w:tblW w:w="93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1981"/>
              <w:gridCol w:w="2774"/>
              <w:gridCol w:w="25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39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投入</w:t>
                  </w:r>
                </w:p>
              </w:tc>
              <w:tc>
                <w:tcPr>
                  <w:tcW w:w="5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产出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原辅材料名称</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物料量</w:t>
                  </w:r>
                  <w:r>
                    <w:rPr>
                      <w:rFonts w:hint="default" w:ascii="Times New Roman" w:hAnsi="Times New Roman" w:cs="Times New Roman"/>
                      <w:b/>
                      <w:bCs/>
                      <w:color w:val="auto"/>
                      <w:sz w:val="21"/>
                      <w:szCs w:val="21"/>
                      <w:highlight w:val="none"/>
                      <w:u w:val="none" w:color="auto"/>
                      <w:lang w:val="en-US" w:eastAsia="zh-CN"/>
                    </w:rPr>
                    <w:t>(t/a)</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去向</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含量</w:t>
                  </w:r>
                  <w:r>
                    <w:rPr>
                      <w:rFonts w:hint="default" w:ascii="Times New Roman" w:hAnsi="Times New Roman" w:cs="Times New Roman"/>
                      <w:b/>
                      <w:bCs/>
                      <w:color w:val="auto"/>
                      <w:sz w:val="21"/>
                      <w:szCs w:val="21"/>
                      <w:highlight w:val="none"/>
                      <w:u w:val="none" w:color="auto"/>
                      <w:lang w:val="en-US" w:eastAsia="zh-CN"/>
                    </w:rPr>
                    <w:t>(t/a)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钢带</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rPr>
                  </w:pPr>
                  <w:r>
                    <w:rPr>
                      <w:rFonts w:hint="default" w:ascii="Times New Roman" w:hAnsi="Times New Roman" w:cs="Times New Roman"/>
                      <w:color w:val="auto"/>
                      <w:sz w:val="21"/>
                      <w:szCs w:val="21"/>
                      <w:highlight w:val="none"/>
                      <w:u w:val="none" w:color="auto"/>
                      <w:lang w:val="en-US" w:eastAsia="zh-CN"/>
                    </w:rPr>
                    <w:t>2622</w:t>
                  </w:r>
                  <w:r>
                    <w:rPr>
                      <w:rFonts w:hint="eastAsia" w:cs="Times New Roman"/>
                      <w:color w:val="auto"/>
                      <w:sz w:val="21"/>
                      <w:szCs w:val="21"/>
                      <w:highlight w:val="none"/>
                      <w:u w:val="none" w:color="auto"/>
                      <w:lang w:val="en-US" w:eastAsia="zh-CN"/>
                    </w:rPr>
                    <w:t>3.09</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焊丝</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金红石</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1500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废气</w:t>
                  </w:r>
                  <w:r>
                    <w:rPr>
                      <w:rFonts w:hint="eastAsia" w:cs="Times New Roman"/>
                      <w:color w:val="auto"/>
                      <w:sz w:val="21"/>
                      <w:szCs w:val="21"/>
                      <w:highlight w:val="none"/>
                      <w:u w:val="none" w:color="auto"/>
                      <w:lang w:val="en-US" w:eastAsia="zh-CN"/>
                    </w:rPr>
                    <w:t>排放</w:t>
                  </w:r>
                </w:p>
              </w:tc>
              <w:tc>
                <w:tcPr>
                  <w:tcW w:w="2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硅锰合金</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750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single" w:color="auto"/>
                      <w:lang w:eastAsia="zh-CN"/>
                    </w:rPr>
                  </w:pPr>
                  <w:r>
                    <w:rPr>
                      <w:rFonts w:hint="eastAsia" w:cs="Times New Roman"/>
                      <w:color w:val="auto"/>
                      <w:sz w:val="21"/>
                      <w:szCs w:val="21"/>
                      <w:highlight w:val="none"/>
                      <w:u w:val="single" w:color="auto"/>
                      <w:lang w:eastAsia="zh-CN"/>
                    </w:rPr>
                    <w:t>废金属</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低碳铬铁</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150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single" w:color="auto"/>
                      <w:lang w:eastAsia="zh-CN"/>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云母</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250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石英粉</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200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藻酸钠</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钾长石</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200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磁铁矿</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100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钛白粉</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80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萤石粉</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100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钛酸钾</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150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中碳锰铁</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200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大理石</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80</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投入总计</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rPr>
                  </w:pPr>
                  <w:r>
                    <w:rPr>
                      <w:rFonts w:hint="default" w:ascii="Times New Roman" w:hAnsi="Times New Roman" w:cs="Times New Roman"/>
                      <w:color w:val="auto"/>
                      <w:sz w:val="21"/>
                      <w:szCs w:val="21"/>
                      <w:highlight w:val="none"/>
                      <w:u w:val="none" w:color="auto"/>
                      <w:lang w:val="en-US" w:eastAsia="zh-CN"/>
                    </w:rPr>
                    <w:t>3000</w:t>
                  </w:r>
                  <w:r>
                    <w:rPr>
                      <w:rFonts w:hint="eastAsia" w:cs="Times New Roman"/>
                      <w:color w:val="auto"/>
                      <w:sz w:val="21"/>
                      <w:szCs w:val="21"/>
                      <w:highlight w:val="none"/>
                      <w:u w:val="none" w:color="auto"/>
                      <w:lang w:val="en-US" w:eastAsia="zh-CN"/>
                    </w:rPr>
                    <w:t>3.09</w:t>
                  </w:r>
                </w:p>
              </w:tc>
              <w:tc>
                <w:tcPr>
                  <w:tcW w:w="2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rPr>
                  </w:pPr>
                  <w:r>
                    <w:rPr>
                      <w:rFonts w:hint="eastAsia" w:ascii="Times New Roman" w:hAnsi="Times New Roman" w:cs="Times New Roman"/>
                      <w:color w:val="auto"/>
                      <w:sz w:val="21"/>
                      <w:szCs w:val="21"/>
                      <w:highlight w:val="none"/>
                      <w:u w:val="single" w:color="auto"/>
                      <w:lang w:val="en-US" w:eastAsia="zh-CN"/>
                    </w:rPr>
                    <w:t>产出总计</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lang w:val="en-US"/>
                    </w:rPr>
                  </w:pPr>
                  <w:r>
                    <w:rPr>
                      <w:rFonts w:hint="default" w:ascii="Times New Roman" w:hAnsi="Times New Roman" w:cs="Times New Roman"/>
                      <w:color w:val="auto"/>
                      <w:sz w:val="21"/>
                      <w:szCs w:val="21"/>
                      <w:highlight w:val="none"/>
                      <w:u w:val="single" w:color="auto"/>
                      <w:lang w:val="en-US" w:eastAsia="zh-CN"/>
                    </w:rPr>
                    <w:t>3000</w:t>
                  </w:r>
                  <w:r>
                    <w:rPr>
                      <w:rFonts w:hint="eastAsia" w:cs="Times New Roman"/>
                      <w:color w:val="auto"/>
                      <w:sz w:val="21"/>
                      <w:szCs w:val="21"/>
                      <w:highlight w:val="none"/>
                      <w:u w:val="single" w:color="auto"/>
                      <w:lang w:val="en-US" w:eastAsia="zh-CN"/>
                    </w:rPr>
                    <w:t>3.09</w:t>
                  </w:r>
                </w:p>
              </w:tc>
            </w:tr>
          </w:tbl>
          <w:p>
            <w:pPr>
              <w:spacing w:line="360" w:lineRule="auto"/>
              <w:ind w:firstLine="480" w:firstLineChars="200"/>
              <w:rPr>
                <w:rFonts w:hint="default" w:ascii="Times New Roman" w:hAnsi="Times New Roman" w:eastAsia="宋体" w:cs="Times New Roman"/>
                <w:color w:val="auto"/>
                <w:szCs w:val="21"/>
                <w:highlight w:val="none"/>
                <w:u w:val="none" w:color="auto"/>
                <w:lang w:eastAsia="zh-CN"/>
              </w:rPr>
            </w:pPr>
            <w:r>
              <w:rPr>
                <w:rFonts w:hint="eastAsia" w:cs="Times New Roman"/>
                <w:color w:val="auto"/>
                <w:sz w:val="24"/>
                <w:szCs w:val="24"/>
                <w:highlight w:val="none"/>
                <w:u w:val="none" w:color="auto"/>
                <w:lang w:eastAsia="zh-CN"/>
              </w:rPr>
              <w:t>特种电焊条</w:t>
            </w:r>
            <w:r>
              <w:rPr>
                <w:rFonts w:hint="default" w:ascii="Times New Roman" w:hAnsi="Times New Roman" w:eastAsia="宋体" w:cs="Times New Roman"/>
                <w:color w:val="auto"/>
                <w:sz w:val="24"/>
                <w:szCs w:val="24"/>
                <w:highlight w:val="none"/>
                <w:u w:val="none" w:color="auto"/>
                <w:lang w:eastAsia="zh-CN"/>
              </w:rPr>
              <w:t>平衡见表</w:t>
            </w:r>
            <w:r>
              <w:rPr>
                <w:rFonts w:hint="default" w:ascii="Times New Roman" w:hAnsi="Times New Roman" w:eastAsia="宋体" w:cs="Times New Roman"/>
                <w:color w:val="auto"/>
                <w:sz w:val="24"/>
                <w:szCs w:val="24"/>
                <w:highlight w:val="none"/>
                <w:u w:val="none" w:color="auto"/>
                <w:lang w:val="en-US" w:eastAsia="zh-CN"/>
              </w:rPr>
              <w:t>2.9-</w:t>
            </w:r>
            <w:r>
              <w:rPr>
                <w:rFonts w:hint="eastAsia"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lang w:eastAsia="zh-CN"/>
              </w:rPr>
              <w:t>。</w:t>
            </w:r>
          </w:p>
          <w:p>
            <w:pPr>
              <w:pStyle w:val="60"/>
              <w:bidi w:val="0"/>
              <w:spacing w:line="240" w:lineRule="auto"/>
              <w:rPr>
                <w:rFonts w:hint="default"/>
                <w:color w:val="auto"/>
                <w:sz w:val="24"/>
                <w:szCs w:val="24"/>
                <w:highlight w:val="none"/>
                <w:u w:val="single" w:color="auto"/>
                <w:lang w:val="en-US" w:eastAsia="zh-CN"/>
              </w:rPr>
            </w:pPr>
            <w:r>
              <w:rPr>
                <w:rFonts w:hint="default" w:ascii="Times New Roman" w:hAnsi="Times New Roman" w:eastAsia="宋体" w:cs="Times New Roman"/>
                <w:b/>
                <w:color w:val="auto"/>
                <w:sz w:val="24"/>
                <w:szCs w:val="24"/>
                <w:highlight w:val="none"/>
                <w:u w:val="single" w:color="auto"/>
                <w:lang w:val="en-US" w:eastAsia="zh-CN" w:bidi="ar"/>
              </w:rPr>
              <w:t>表2.9-</w:t>
            </w:r>
            <w:r>
              <w:rPr>
                <w:rFonts w:hint="eastAsia" w:cs="Times New Roman"/>
                <w:b/>
                <w:color w:val="auto"/>
                <w:sz w:val="24"/>
                <w:szCs w:val="24"/>
                <w:highlight w:val="none"/>
                <w:u w:val="single" w:color="auto"/>
                <w:lang w:val="en-US" w:eastAsia="zh-CN" w:bidi="ar"/>
              </w:rPr>
              <w:t>4</w:t>
            </w:r>
            <w:r>
              <w:rPr>
                <w:rFonts w:hint="eastAsia" w:cs="Times New Roman"/>
                <w:color w:val="auto"/>
                <w:sz w:val="24"/>
                <w:szCs w:val="24"/>
                <w:highlight w:val="none"/>
                <w:u w:val="single" w:color="auto"/>
                <w:lang w:eastAsia="zh-CN"/>
              </w:rPr>
              <w:t>特种电焊条</w:t>
            </w:r>
            <w:r>
              <w:rPr>
                <w:rFonts w:hint="default" w:ascii="Times New Roman" w:hAnsi="Times New Roman" w:eastAsia="宋体" w:cs="Times New Roman"/>
                <w:b/>
                <w:color w:val="auto"/>
                <w:sz w:val="24"/>
                <w:szCs w:val="24"/>
                <w:highlight w:val="none"/>
                <w:u w:val="single" w:color="auto"/>
                <w:lang w:val="en-US" w:eastAsia="zh-CN" w:bidi="ar"/>
              </w:rPr>
              <w:t>平衡一览表</w:t>
            </w:r>
          </w:p>
          <w:tbl>
            <w:tblPr>
              <w:tblStyle w:val="29"/>
              <w:tblW w:w="494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58"/>
              <w:gridCol w:w="2252"/>
              <w:gridCol w:w="2243"/>
              <w:gridCol w:w="3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投入</w:t>
                  </w:r>
                </w:p>
              </w:tc>
              <w:tc>
                <w:tcPr>
                  <w:tcW w:w="53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原辅材料名称</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物料量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去向</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b/>
                      <w:bCs/>
                      <w:color w:val="auto"/>
                      <w:sz w:val="21"/>
                      <w:szCs w:val="21"/>
                      <w:highlight w:val="none"/>
                      <w:u w:val="none" w:color="auto"/>
                    </w:rPr>
                  </w:pPr>
                  <w:r>
                    <w:rPr>
                      <w:rFonts w:hint="eastAsia" w:ascii="Times New Roman" w:hAnsi="Times New Roman" w:cs="Times New Roman"/>
                      <w:b/>
                      <w:bCs/>
                      <w:color w:val="auto"/>
                      <w:sz w:val="21"/>
                      <w:szCs w:val="21"/>
                      <w:highlight w:val="none"/>
                      <w:u w:val="none" w:color="auto"/>
                      <w:lang w:val="en-US" w:eastAsia="zh-CN"/>
                    </w:rPr>
                    <w:t>含量</w:t>
                  </w:r>
                  <w:r>
                    <w:rPr>
                      <w:rFonts w:hint="default" w:ascii="Times New Roman" w:hAnsi="Times New Roman" w:cs="Times New Roman"/>
                      <w:b/>
                      <w:bCs/>
                      <w:color w:val="auto"/>
                      <w:sz w:val="21"/>
                      <w:szCs w:val="21"/>
                      <w:highlight w:val="none"/>
                      <w:u w:val="none" w:color="auto"/>
                      <w:lang w:val="en-US" w:eastAsia="zh-CN"/>
                    </w:rPr>
                    <w:t>(t/a)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钢芯</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single"/>
                      <w:lang w:val="en-US"/>
                    </w:rPr>
                  </w:pPr>
                  <w:r>
                    <w:rPr>
                      <w:rFonts w:hint="eastAsia" w:ascii="Times New Roman" w:hAnsi="Times New Roman" w:cs="Times New Roman"/>
                      <w:color w:val="auto"/>
                      <w:kern w:val="2"/>
                      <w:sz w:val="21"/>
                      <w:szCs w:val="21"/>
                      <w:highlight w:val="none"/>
                      <w:u w:val="single"/>
                      <w:lang w:val="en-US" w:eastAsia="zh-CN" w:bidi="ar-SA"/>
                    </w:rPr>
                    <w:t>3200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焊丝</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金红石</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450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废气排放</w:t>
                  </w:r>
                </w:p>
              </w:tc>
              <w:tc>
                <w:tcPr>
                  <w:tcW w:w="3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金属锰</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75</w:t>
                  </w:r>
                </w:p>
              </w:tc>
              <w:tc>
                <w:tcPr>
                  <w:tcW w:w="2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rPr>
                  </w:pPr>
                  <w:r>
                    <w:rPr>
                      <w:rFonts w:hint="eastAsia" w:ascii="Times New Roman" w:hAnsi="Times New Roman" w:cs="Times New Roman"/>
                      <w:color w:val="auto"/>
                      <w:sz w:val="21"/>
                      <w:szCs w:val="21"/>
                      <w:highlight w:val="none"/>
                      <w:u w:val="single" w:color="auto"/>
                      <w:lang w:val="en-US" w:eastAsia="zh-CN"/>
                    </w:rPr>
                    <w:t>烘干</w:t>
                  </w:r>
                  <w:r>
                    <w:rPr>
                      <w:rFonts w:hint="eastAsia" w:cs="Times New Roman"/>
                      <w:color w:val="auto"/>
                      <w:sz w:val="21"/>
                      <w:szCs w:val="21"/>
                      <w:highlight w:val="none"/>
                      <w:u w:val="single" w:color="auto"/>
                      <w:lang w:val="en-US" w:eastAsia="zh-CN"/>
                    </w:rPr>
                    <w:t>水分</w:t>
                  </w:r>
                </w:p>
              </w:tc>
              <w:tc>
                <w:tcPr>
                  <w:tcW w:w="3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499.45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低碳铬铁</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75</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single" w:color="auto"/>
                      <w:lang w:eastAsia="zh-CN"/>
                    </w:rPr>
                  </w:pPr>
                  <w:r>
                    <w:rPr>
                      <w:rFonts w:hint="eastAsia" w:ascii="宋体" w:hAnsi="宋体" w:cs="宋体"/>
                      <w:i w:val="0"/>
                      <w:iCs w:val="0"/>
                      <w:color w:val="auto"/>
                      <w:sz w:val="21"/>
                      <w:szCs w:val="21"/>
                      <w:highlight w:val="none"/>
                      <w:u w:val="single" w:color="auto"/>
                      <w:lang w:eastAsia="zh-CN"/>
                    </w:rPr>
                    <w:t>废金属</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single" w:color="auto"/>
                      <w:lang w:val="en-US" w:eastAsia="zh-CN"/>
                    </w:rPr>
                  </w:pPr>
                  <w:r>
                    <w:rPr>
                      <w:rFonts w:hint="eastAsia" w:cs="Times New Roman"/>
                      <w:i w:val="0"/>
                      <w:iCs w:val="0"/>
                      <w:color w:val="auto"/>
                      <w:sz w:val="21"/>
                      <w:szCs w:val="21"/>
                      <w:highlight w:val="none"/>
                      <w:u w:val="single" w:color="auto"/>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云母</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75</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方解石</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150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藻酸钠</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50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钾长石</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200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磁铁矿</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100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钛白粉</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75</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萤石粉</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200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钛酸钾</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100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中碳硅铁</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100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大理石</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150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水玻璃</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r>
                    <w:rPr>
                      <w:rFonts w:hint="eastAsia" w:ascii="Times New Roman" w:hAnsi="Times New Roman" w:cs="Times New Roman"/>
                      <w:color w:val="auto"/>
                      <w:kern w:val="2"/>
                      <w:sz w:val="21"/>
                      <w:szCs w:val="21"/>
                      <w:highlight w:val="none"/>
                      <w:u w:val="single"/>
                      <w:lang w:val="en-US" w:eastAsia="zh-CN" w:bidi="ar-SA"/>
                    </w:rPr>
                    <w:t>500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single"/>
                    </w:rPr>
                  </w:pPr>
                  <w:r>
                    <w:rPr>
                      <w:rFonts w:hint="eastAsia" w:ascii="宋体" w:hAnsi="宋体" w:eastAsia="宋体" w:cs="宋体"/>
                      <w:i w:val="0"/>
                      <w:iCs w:val="0"/>
                      <w:color w:val="auto"/>
                      <w:kern w:val="0"/>
                      <w:sz w:val="21"/>
                      <w:szCs w:val="21"/>
                      <w:u w:val="single"/>
                      <w:lang w:val="en-US" w:eastAsia="zh-CN" w:bidi="ar"/>
                    </w:rPr>
                    <w:t>投入总计</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single"/>
                      <w:lang w:val="en-US"/>
                    </w:rPr>
                  </w:pPr>
                  <w:r>
                    <w:rPr>
                      <w:rFonts w:hint="eastAsia" w:cs="Times New Roman"/>
                      <w:i w:val="0"/>
                      <w:iCs w:val="0"/>
                      <w:color w:val="auto"/>
                      <w:kern w:val="0"/>
                      <w:sz w:val="21"/>
                      <w:szCs w:val="21"/>
                      <w:u w:val="single"/>
                      <w:lang w:val="en-US" w:eastAsia="zh-CN" w:bidi="ar"/>
                    </w:rPr>
                    <w:t>5500</w:t>
                  </w:r>
                </w:p>
              </w:tc>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single"/>
                    </w:rPr>
                  </w:pPr>
                  <w:r>
                    <w:rPr>
                      <w:rFonts w:hint="eastAsia" w:ascii="宋体" w:hAnsi="宋体" w:eastAsia="宋体" w:cs="宋体"/>
                      <w:i w:val="0"/>
                      <w:iCs w:val="0"/>
                      <w:color w:val="auto"/>
                      <w:kern w:val="0"/>
                      <w:sz w:val="21"/>
                      <w:szCs w:val="21"/>
                      <w:u w:val="single"/>
                      <w:lang w:val="en-US" w:eastAsia="zh-CN" w:bidi="ar"/>
                    </w:rPr>
                    <w:t>产出总计</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single"/>
                      <w:lang w:val="en-US"/>
                    </w:rPr>
                  </w:pPr>
                  <w:r>
                    <w:rPr>
                      <w:rFonts w:hint="eastAsia" w:cs="Times New Roman"/>
                      <w:i w:val="0"/>
                      <w:iCs w:val="0"/>
                      <w:color w:val="auto"/>
                      <w:kern w:val="0"/>
                      <w:sz w:val="21"/>
                      <w:szCs w:val="21"/>
                      <w:u w:val="single"/>
                      <w:lang w:val="en-US" w:eastAsia="zh-CN" w:bidi="ar"/>
                    </w:rPr>
                    <w:t>5500</w:t>
                  </w:r>
                </w:p>
              </w:tc>
            </w:tr>
          </w:tbl>
          <w:p>
            <w:pPr>
              <w:spacing w:line="360" w:lineRule="auto"/>
              <w:ind w:firstLine="480" w:firstLineChars="200"/>
              <w:rPr>
                <w:rFonts w:hint="default" w:ascii="Times New Roman" w:hAnsi="Times New Roman" w:eastAsia="宋体" w:cs="Times New Roman"/>
                <w:color w:val="auto"/>
                <w:szCs w:val="21"/>
                <w:highlight w:val="none"/>
                <w:u w:val="none" w:color="auto"/>
                <w:lang w:eastAsia="zh-CN"/>
              </w:rPr>
            </w:pPr>
            <w:r>
              <w:rPr>
                <w:rFonts w:hint="eastAsia" w:cs="Times New Roman"/>
                <w:color w:val="auto"/>
                <w:sz w:val="24"/>
                <w:szCs w:val="24"/>
                <w:highlight w:val="none"/>
                <w:u w:val="none" w:color="auto"/>
                <w:lang w:eastAsia="zh-CN"/>
              </w:rPr>
              <w:t>塑料盘</w:t>
            </w:r>
            <w:r>
              <w:rPr>
                <w:rFonts w:hint="eastAsia" w:cs="Times New Roman"/>
                <w:color w:val="auto"/>
                <w:sz w:val="24"/>
                <w:szCs w:val="24"/>
                <w:highlight w:val="none"/>
                <w:u w:val="none" w:color="auto"/>
                <w:lang w:val="en-US" w:eastAsia="zh-CN"/>
              </w:rPr>
              <w:t>VOCS</w:t>
            </w:r>
            <w:r>
              <w:rPr>
                <w:rFonts w:hint="default" w:ascii="Times New Roman" w:hAnsi="Times New Roman" w:eastAsia="宋体" w:cs="Times New Roman"/>
                <w:color w:val="auto"/>
                <w:sz w:val="24"/>
                <w:szCs w:val="24"/>
                <w:highlight w:val="none"/>
                <w:u w:val="none" w:color="auto"/>
                <w:lang w:eastAsia="zh-CN"/>
              </w:rPr>
              <w:t>平衡见表</w:t>
            </w:r>
            <w:r>
              <w:rPr>
                <w:rFonts w:hint="default" w:ascii="Times New Roman" w:hAnsi="Times New Roman" w:eastAsia="宋体" w:cs="Times New Roman"/>
                <w:color w:val="auto"/>
                <w:sz w:val="24"/>
                <w:szCs w:val="24"/>
                <w:highlight w:val="none"/>
                <w:u w:val="none" w:color="auto"/>
                <w:lang w:val="en-US" w:eastAsia="zh-CN"/>
              </w:rPr>
              <w:t>2.9-</w:t>
            </w:r>
            <w:r>
              <w:rPr>
                <w:rFonts w:hint="eastAsia"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lang w:eastAsia="zh-CN"/>
              </w:rPr>
              <w:t>。</w:t>
            </w:r>
          </w:p>
          <w:p>
            <w:pPr>
              <w:pStyle w:val="60"/>
              <w:bidi w:val="0"/>
              <w:spacing w:line="240" w:lineRule="auto"/>
              <w:rPr>
                <w:rFonts w:hint="default"/>
                <w:color w:val="auto"/>
                <w:sz w:val="24"/>
                <w:szCs w:val="24"/>
                <w:highlight w:val="none"/>
                <w:u w:val="single" w:color="auto"/>
                <w:lang w:val="en-US" w:eastAsia="zh-CN"/>
              </w:rPr>
            </w:pPr>
            <w:r>
              <w:rPr>
                <w:rFonts w:hint="default" w:ascii="Times New Roman" w:hAnsi="Times New Roman" w:eastAsia="宋体" w:cs="Times New Roman"/>
                <w:b/>
                <w:color w:val="auto"/>
                <w:sz w:val="24"/>
                <w:szCs w:val="24"/>
                <w:highlight w:val="none"/>
                <w:u w:val="single" w:color="auto"/>
                <w:lang w:val="en-US" w:eastAsia="zh-CN" w:bidi="ar"/>
              </w:rPr>
              <w:t>表2.9-</w:t>
            </w:r>
            <w:r>
              <w:rPr>
                <w:rFonts w:hint="eastAsia" w:cs="Times New Roman"/>
                <w:b/>
                <w:color w:val="auto"/>
                <w:sz w:val="24"/>
                <w:szCs w:val="24"/>
                <w:highlight w:val="none"/>
                <w:u w:val="single" w:color="auto"/>
                <w:lang w:val="en-US" w:eastAsia="zh-CN" w:bidi="ar"/>
              </w:rPr>
              <w:t>5</w:t>
            </w:r>
            <w:r>
              <w:rPr>
                <w:rFonts w:hint="eastAsia" w:cs="Times New Roman"/>
                <w:color w:val="auto"/>
                <w:sz w:val="24"/>
                <w:szCs w:val="24"/>
                <w:highlight w:val="none"/>
                <w:u w:val="single" w:color="auto"/>
                <w:lang w:eastAsia="zh-CN"/>
              </w:rPr>
              <w:t>塑料盘</w:t>
            </w:r>
            <w:r>
              <w:rPr>
                <w:rFonts w:hint="eastAsia" w:cs="Times New Roman"/>
                <w:color w:val="auto"/>
                <w:sz w:val="24"/>
                <w:szCs w:val="24"/>
                <w:highlight w:val="none"/>
                <w:u w:val="single" w:color="auto"/>
                <w:lang w:val="en-US" w:eastAsia="zh-CN"/>
              </w:rPr>
              <w:t>VOCS</w:t>
            </w:r>
            <w:r>
              <w:rPr>
                <w:rFonts w:hint="default" w:ascii="Times New Roman" w:hAnsi="Times New Roman" w:eastAsia="宋体" w:cs="Times New Roman"/>
                <w:b/>
                <w:color w:val="auto"/>
                <w:sz w:val="24"/>
                <w:szCs w:val="24"/>
                <w:highlight w:val="none"/>
                <w:u w:val="single" w:color="auto"/>
                <w:lang w:val="en-US" w:eastAsia="zh-CN" w:bidi="ar"/>
              </w:rPr>
              <w:t>平衡一览表</w:t>
            </w:r>
          </w:p>
          <w:tbl>
            <w:tblPr>
              <w:tblStyle w:val="29"/>
              <w:tblW w:w="495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61"/>
              <w:gridCol w:w="1128"/>
              <w:gridCol w:w="1128"/>
              <w:gridCol w:w="2247"/>
              <w:gridCol w:w="3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投入</w:t>
                  </w:r>
                </w:p>
              </w:tc>
              <w:tc>
                <w:tcPr>
                  <w:tcW w:w="5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原辅材料名称</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物料量(t/a)</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cs="Times New Roman"/>
                      <w:b/>
                      <w:bCs/>
                      <w:i w:val="0"/>
                      <w:iCs w:val="0"/>
                      <w:color w:val="auto"/>
                      <w:kern w:val="0"/>
                      <w:sz w:val="21"/>
                      <w:szCs w:val="21"/>
                      <w:highlight w:val="none"/>
                      <w:u w:val="none"/>
                      <w:lang w:val="en-US" w:eastAsia="zh-CN" w:bidi="ar"/>
                    </w:rPr>
                    <w:t>VOC</w:t>
                  </w:r>
                  <w:r>
                    <w:rPr>
                      <w:rFonts w:hint="default" w:ascii="Times New Roman" w:hAnsi="Times New Roman" w:cs="Times New Roman"/>
                      <w:b/>
                      <w:bCs/>
                      <w:i w:val="0"/>
                      <w:iCs w:val="0"/>
                      <w:color w:val="auto"/>
                      <w:kern w:val="0"/>
                      <w:sz w:val="21"/>
                      <w:szCs w:val="21"/>
                      <w:highlight w:val="none"/>
                      <w:u w:val="none"/>
                      <w:vertAlign w:val="subscript"/>
                      <w:lang w:val="en-US" w:eastAsia="zh-CN" w:bidi="ar"/>
                    </w:rPr>
                    <w:t>S</w:t>
                  </w:r>
                  <w:r>
                    <w:rPr>
                      <w:rFonts w:hint="default" w:ascii="Times New Roman" w:hAnsi="Times New Roman" w:cs="Times New Roman"/>
                      <w:b/>
                      <w:bCs/>
                      <w:i w:val="0"/>
                      <w:iCs w:val="0"/>
                      <w:color w:val="auto"/>
                      <w:kern w:val="0"/>
                      <w:sz w:val="21"/>
                      <w:szCs w:val="21"/>
                      <w:highlight w:val="none"/>
                      <w:u w:val="none"/>
                      <w:lang w:val="en-US" w:eastAsia="zh-CN" w:bidi="ar"/>
                    </w:rPr>
                    <w:t>含量</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lang w:val="en-US" w:eastAsia="zh-CN"/>
                    </w:rPr>
                    <w:t>去向</w:t>
                  </w:r>
                </w:p>
              </w:tc>
              <w:tc>
                <w:tcPr>
                  <w:tcW w:w="3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lang w:val="en-US" w:eastAsia="zh-CN"/>
                    </w:rPr>
                    <w:t>含量(t/a)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eastAsia="zh-CN"/>
                    </w:rPr>
                  </w:pPr>
                  <w:r>
                    <w:rPr>
                      <w:rFonts w:hint="default" w:ascii="Times New Roman" w:hAnsi="Times New Roman" w:cs="Times New Roman"/>
                      <w:i w:val="0"/>
                      <w:iCs w:val="0"/>
                      <w:color w:val="auto"/>
                      <w:sz w:val="21"/>
                      <w:szCs w:val="21"/>
                      <w:highlight w:val="none"/>
                      <w:u w:val="none"/>
                      <w:lang w:eastAsia="zh-CN"/>
                    </w:rPr>
                    <w:t>塑料粒</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single"/>
                      <w:lang w:val="en-US" w:eastAsia="zh-CN"/>
                    </w:rPr>
                  </w:pPr>
                  <w:r>
                    <w:rPr>
                      <w:rFonts w:hint="default" w:ascii="Times New Roman" w:hAnsi="Times New Roman" w:cs="Times New Roman"/>
                      <w:i w:val="0"/>
                      <w:iCs w:val="0"/>
                      <w:color w:val="auto"/>
                      <w:sz w:val="21"/>
                      <w:szCs w:val="21"/>
                      <w:highlight w:val="none"/>
                      <w:u w:val="single"/>
                      <w:lang w:val="en-US" w:eastAsia="zh-CN"/>
                    </w:rPr>
                    <w:t>3000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21"/>
                      <w:szCs w:val="21"/>
                      <w:highlight w:val="none"/>
                      <w:u w:val="single"/>
                      <w:lang w:val="en-US" w:eastAsia="zh-CN"/>
                    </w:rPr>
                  </w:pPr>
                  <w:r>
                    <w:rPr>
                      <w:rFonts w:hint="default" w:ascii="Times New Roman" w:hAnsi="Times New Roman" w:cs="Times New Roman"/>
                      <w:i w:val="0"/>
                      <w:iCs w:val="0"/>
                      <w:color w:val="auto"/>
                      <w:sz w:val="21"/>
                      <w:szCs w:val="21"/>
                      <w:highlight w:val="none"/>
                      <w:u w:val="single"/>
                      <w:lang w:val="en-US" w:eastAsia="zh-CN"/>
                    </w:rPr>
                    <w:t>4.5</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废气有组织排放</w:t>
                  </w:r>
                </w:p>
              </w:tc>
              <w:tc>
                <w:tcPr>
                  <w:tcW w:w="3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rPr>
                  </w:pPr>
                  <w:r>
                    <w:rPr>
                      <w:rFonts w:hint="default" w:ascii="Times New Roman" w:hAnsi="Times New Roman" w:cs="Times New Roman"/>
                      <w:color w:val="auto"/>
                      <w:sz w:val="21"/>
                      <w:szCs w:val="21"/>
                      <w:highlight w:val="none"/>
                      <w:u w:val="none" w:color="auto"/>
                      <w:lang w:val="en-US" w:eastAsia="zh-CN"/>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singl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废气无组织排放</w:t>
                  </w:r>
                </w:p>
              </w:tc>
              <w:tc>
                <w:tcPr>
                  <w:tcW w:w="3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rPr>
                  </w:pPr>
                  <w:r>
                    <w:rPr>
                      <w:rFonts w:hint="default" w:ascii="Times New Roman" w:hAnsi="Times New Roman" w:cs="Times New Roman"/>
                      <w:color w:val="auto"/>
                      <w:sz w:val="21"/>
                      <w:szCs w:val="21"/>
                      <w:highlight w:val="none"/>
                      <w:u w:val="none" w:color="auto"/>
                      <w:lang w:val="en-US" w:eastAsia="zh-CN"/>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autoSpaceDN/>
                    <w:spacing w:before="0" w:after="0" w:line="240" w:lineRule="auto"/>
                    <w:ind w:left="0" w:leftChars="0" w:right="0" w:rightChars="0"/>
                    <w:jc w:val="center"/>
                    <w:rPr>
                      <w:rFonts w:hint="default" w:ascii="Times New Roman" w:hAnsi="Times New Roman" w:eastAsia="宋体" w:cs="Times New Roman"/>
                      <w:i w:val="0"/>
                      <w:iCs w:val="0"/>
                      <w:color w:val="auto"/>
                      <w:sz w:val="21"/>
                      <w:szCs w:val="21"/>
                      <w:highlight w:val="none"/>
                      <w:u w:val="singl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活性炭吸附</w:t>
                  </w:r>
                </w:p>
              </w:tc>
              <w:tc>
                <w:tcPr>
                  <w:tcW w:w="3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7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single"/>
                    </w:rPr>
                  </w:pPr>
                  <w:r>
                    <w:rPr>
                      <w:rFonts w:hint="default" w:ascii="Times New Roman" w:hAnsi="Times New Roman" w:eastAsia="宋体" w:cs="Times New Roman"/>
                      <w:i w:val="0"/>
                      <w:iCs w:val="0"/>
                      <w:color w:val="auto"/>
                      <w:kern w:val="0"/>
                      <w:sz w:val="21"/>
                      <w:szCs w:val="21"/>
                      <w:u w:val="single"/>
                      <w:lang w:val="en-US" w:eastAsia="zh-CN" w:bidi="ar"/>
                    </w:rPr>
                    <w:t>投入总计</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single"/>
                      <w:lang w:val="en-US" w:eastAsia="zh-CN" w:bidi="ar"/>
                    </w:rPr>
                  </w:pPr>
                  <w:r>
                    <w:rPr>
                      <w:rFonts w:hint="eastAsia" w:cs="Times New Roman"/>
                      <w:i w:val="0"/>
                      <w:iCs w:val="0"/>
                      <w:color w:val="auto"/>
                      <w:kern w:val="0"/>
                      <w:sz w:val="21"/>
                      <w:szCs w:val="21"/>
                      <w:u w:val="single"/>
                      <w:lang w:val="en-US" w:eastAsia="zh-CN" w:bidi="ar"/>
                    </w:rPr>
                    <w:t>4.5</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single"/>
                      <w:lang w:val="en-US" w:eastAsia="zh-CN" w:bidi="ar"/>
                    </w:rPr>
                    <w:t>产出总计</w:t>
                  </w:r>
                </w:p>
              </w:tc>
              <w:tc>
                <w:tcPr>
                  <w:tcW w:w="30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4.5</w:t>
                  </w:r>
                </w:p>
              </w:tc>
            </w:tr>
          </w:tbl>
          <w:p>
            <w:pPr>
              <w:pStyle w:val="60"/>
              <w:bidi w:val="0"/>
              <w:rPr>
                <w:rFonts w:hint="default"/>
                <w:color w:val="auto"/>
                <w:sz w:val="24"/>
                <w:szCs w:val="24"/>
                <w:highlight w:val="yellow"/>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3" w:type="dxa"/>
            <w:vAlign w:val="center"/>
          </w:tcPr>
          <w:p>
            <w:pPr>
              <w:pStyle w:val="55"/>
              <w:bidi w:val="0"/>
              <w:jc w:val="center"/>
              <w:rPr>
                <w:rFonts w:hint="eastAsia"/>
                <w:color w:val="auto"/>
                <w:highlight w:val="none"/>
                <w:u w:val="none"/>
                <w:vertAlign w:val="baseline"/>
                <w:lang w:val="en-US" w:eastAsia="zh-CN"/>
              </w:rPr>
            </w:pPr>
            <w:r>
              <w:rPr>
                <w:rFonts w:hint="eastAsia"/>
                <w:color w:val="auto"/>
                <w:u w:val="none"/>
                <w:lang w:val="en-US" w:eastAsia="zh-CN"/>
              </w:rPr>
              <w:t>与项目有关的原有环境污染问题</w:t>
            </w:r>
          </w:p>
        </w:tc>
        <w:tc>
          <w:tcPr>
            <w:tcW w:w="9539" w:type="dxa"/>
          </w:tcPr>
          <w:p>
            <w:pPr>
              <w:spacing w:line="360" w:lineRule="auto"/>
              <w:ind w:firstLine="482" w:firstLineChars="200"/>
              <w:rPr>
                <w:b/>
                <w:bCs/>
                <w:color w:val="auto"/>
                <w:sz w:val="24"/>
                <w:szCs w:val="24"/>
                <w:u w:val="none"/>
              </w:rPr>
            </w:pPr>
            <w:r>
              <w:rPr>
                <w:rFonts w:hint="eastAsia"/>
                <w:b/>
                <w:bCs/>
                <w:color w:val="auto"/>
                <w:sz w:val="24"/>
                <w:szCs w:val="24"/>
                <w:u w:val="none"/>
                <w:lang w:val="en-US" w:eastAsia="zh-CN"/>
              </w:rPr>
              <w:t>2.</w:t>
            </w:r>
            <w:r>
              <w:rPr>
                <w:rFonts w:hint="eastAsia"/>
                <w:b/>
                <w:bCs/>
                <w:color w:val="auto"/>
                <w:sz w:val="24"/>
                <w:szCs w:val="24"/>
                <w:u w:val="none"/>
              </w:rPr>
              <w:t>1</w:t>
            </w:r>
            <w:r>
              <w:rPr>
                <w:rFonts w:hint="eastAsia"/>
                <w:b/>
                <w:bCs/>
                <w:color w:val="auto"/>
                <w:sz w:val="24"/>
                <w:szCs w:val="24"/>
                <w:u w:val="none"/>
                <w:lang w:val="en-US" w:eastAsia="zh-CN"/>
              </w:rPr>
              <w:t>0</w:t>
            </w:r>
            <w:r>
              <w:rPr>
                <w:rFonts w:hint="eastAsia"/>
                <w:b/>
                <w:bCs/>
                <w:color w:val="auto"/>
                <w:sz w:val="24"/>
                <w:szCs w:val="24"/>
                <w:u w:val="none"/>
                <w:lang w:eastAsia="zh-CN"/>
              </w:rPr>
              <w:t>现有</w:t>
            </w:r>
            <w:r>
              <w:rPr>
                <w:rFonts w:hint="eastAsia"/>
                <w:b/>
                <w:bCs/>
                <w:color w:val="auto"/>
                <w:sz w:val="24"/>
                <w:szCs w:val="24"/>
                <w:u w:val="none"/>
              </w:rPr>
              <w:t>工程情况</w:t>
            </w:r>
          </w:p>
          <w:p>
            <w:pPr>
              <w:spacing w:line="360" w:lineRule="auto"/>
              <w:ind w:firstLine="482" w:firstLineChars="200"/>
              <w:rPr>
                <w:rFonts w:hint="eastAsia" w:eastAsia="宋体"/>
                <w:b/>
                <w:bCs/>
                <w:color w:val="auto"/>
                <w:sz w:val="24"/>
                <w:szCs w:val="24"/>
                <w:highlight w:val="none"/>
                <w:u w:val="none" w:color="auto"/>
                <w:lang w:eastAsia="zh-CN"/>
              </w:rPr>
            </w:pPr>
            <w:r>
              <w:rPr>
                <w:rFonts w:hint="eastAsia"/>
                <w:b/>
                <w:bCs/>
                <w:color w:val="auto"/>
                <w:sz w:val="24"/>
                <w:szCs w:val="24"/>
                <w:highlight w:val="none"/>
                <w:u w:val="none" w:color="auto"/>
                <w:lang w:val="en-US" w:eastAsia="zh-CN"/>
              </w:rPr>
              <w:t>一、现有</w:t>
            </w:r>
            <w:r>
              <w:rPr>
                <w:rFonts w:hint="eastAsia"/>
                <w:b/>
                <w:bCs/>
                <w:color w:val="auto"/>
                <w:sz w:val="24"/>
                <w:szCs w:val="24"/>
                <w:highlight w:val="none"/>
                <w:u w:val="none" w:color="auto"/>
              </w:rPr>
              <w:t>工程</w:t>
            </w:r>
            <w:r>
              <w:rPr>
                <w:rFonts w:hint="eastAsia"/>
                <w:b/>
                <w:bCs/>
                <w:color w:val="auto"/>
                <w:sz w:val="24"/>
                <w:szCs w:val="24"/>
                <w:highlight w:val="none"/>
                <w:u w:val="none" w:color="auto"/>
                <w:lang w:eastAsia="zh-CN"/>
              </w:rPr>
              <w:t>概况</w:t>
            </w:r>
          </w:p>
          <w:p>
            <w:pPr>
              <w:spacing w:line="360" w:lineRule="auto"/>
              <w:ind w:firstLine="480" w:firstLineChars="200"/>
              <w:rPr>
                <w:rFonts w:hint="default" w:eastAsia="宋体"/>
                <w:b/>
                <w:bCs/>
                <w:color w:val="auto"/>
                <w:sz w:val="24"/>
                <w:szCs w:val="32"/>
                <w:lang w:val="en-US" w:eastAsia="zh-CN"/>
              </w:rPr>
            </w:pPr>
            <w:r>
              <w:rPr>
                <w:rFonts w:hint="eastAsia"/>
                <w:color w:val="auto"/>
                <w:kern w:val="0"/>
                <w:sz w:val="24"/>
                <w:szCs w:val="32"/>
                <w:lang w:bidi="ar"/>
              </w:rPr>
              <w:t>湖南西姆西科技有限公司</w:t>
            </w:r>
            <w:r>
              <w:rPr>
                <w:color w:val="auto"/>
                <w:kern w:val="0"/>
                <w:sz w:val="24"/>
                <w:szCs w:val="32"/>
                <w:lang w:bidi="ar"/>
              </w:rPr>
              <w:t>总面积约为</w:t>
            </w:r>
            <w:r>
              <w:rPr>
                <w:rFonts w:hint="eastAsia"/>
                <w:color w:val="auto"/>
                <w:sz w:val="24"/>
                <w:szCs w:val="24"/>
                <w:lang w:val="en-US" w:eastAsia="zh-CN"/>
              </w:rPr>
              <w:t>63815.84</w:t>
            </w:r>
            <w:r>
              <w:rPr>
                <w:color w:val="auto"/>
                <w:kern w:val="0"/>
                <w:sz w:val="24"/>
                <w:szCs w:val="32"/>
                <w:lang w:bidi="ar"/>
              </w:rPr>
              <w:t>平方米（约</w:t>
            </w:r>
            <w:r>
              <w:rPr>
                <w:rFonts w:hint="eastAsia"/>
                <w:color w:val="auto"/>
                <w:kern w:val="0"/>
                <w:sz w:val="24"/>
                <w:szCs w:val="32"/>
                <w:lang w:val="en-US" w:eastAsia="zh-CN" w:bidi="ar"/>
              </w:rPr>
              <w:t>104.78</w:t>
            </w:r>
            <w:r>
              <w:rPr>
                <w:color w:val="auto"/>
                <w:kern w:val="0"/>
                <w:sz w:val="24"/>
                <w:szCs w:val="32"/>
                <w:lang w:bidi="ar"/>
              </w:rPr>
              <w:t>亩）</w:t>
            </w:r>
            <w:r>
              <w:rPr>
                <w:rFonts w:hint="eastAsia"/>
                <w:color w:val="auto"/>
                <w:sz w:val="24"/>
                <w:szCs w:val="32"/>
              </w:rPr>
              <w:t>，</w:t>
            </w:r>
            <w:r>
              <w:rPr>
                <w:rFonts w:hAnsi="宋体"/>
                <w:color w:val="auto"/>
                <w:sz w:val="24"/>
                <w:szCs w:val="24"/>
              </w:rPr>
              <w:t>年生产气保焊丝</w:t>
            </w:r>
            <w:r>
              <w:rPr>
                <w:color w:val="auto"/>
                <w:sz w:val="24"/>
                <w:szCs w:val="24"/>
              </w:rPr>
              <w:t>8</w:t>
            </w:r>
            <w:r>
              <w:rPr>
                <w:rFonts w:hAnsi="宋体"/>
                <w:color w:val="auto"/>
                <w:sz w:val="24"/>
                <w:szCs w:val="24"/>
              </w:rPr>
              <w:t>万吨、</w:t>
            </w:r>
            <w:r>
              <w:rPr>
                <w:rFonts w:hAnsi="宋体"/>
                <w:color w:val="auto"/>
                <w:sz w:val="24"/>
                <w:szCs w:val="24"/>
                <w:lang w:val="zh-CN"/>
              </w:rPr>
              <w:t>高强钢焊丝</w:t>
            </w:r>
            <w:r>
              <w:rPr>
                <w:color w:val="auto"/>
                <w:sz w:val="24"/>
                <w:szCs w:val="24"/>
                <w:lang w:val="zh-CN"/>
              </w:rPr>
              <w:t>0.1</w:t>
            </w:r>
            <w:r>
              <w:rPr>
                <w:rFonts w:hAnsi="宋体"/>
                <w:color w:val="auto"/>
                <w:sz w:val="24"/>
                <w:szCs w:val="24"/>
                <w:lang w:val="zh-CN"/>
              </w:rPr>
              <w:t>万吨、埋弧焊丝</w:t>
            </w:r>
            <w:r>
              <w:rPr>
                <w:color w:val="auto"/>
                <w:sz w:val="24"/>
                <w:szCs w:val="24"/>
                <w:lang w:val="zh-CN"/>
              </w:rPr>
              <w:t>0.6</w:t>
            </w:r>
            <w:r>
              <w:rPr>
                <w:rFonts w:hAnsi="宋体"/>
                <w:color w:val="auto"/>
                <w:sz w:val="24"/>
                <w:szCs w:val="24"/>
                <w:lang w:val="zh-CN"/>
              </w:rPr>
              <w:t>万吨、不锈钢焊丝</w:t>
            </w:r>
            <w:r>
              <w:rPr>
                <w:color w:val="auto"/>
                <w:sz w:val="24"/>
                <w:szCs w:val="24"/>
                <w:lang w:val="zh-CN"/>
              </w:rPr>
              <w:t>0.1</w:t>
            </w:r>
            <w:r>
              <w:rPr>
                <w:rFonts w:hAnsi="宋体"/>
                <w:color w:val="auto"/>
                <w:sz w:val="24"/>
                <w:szCs w:val="24"/>
                <w:lang w:val="zh-CN"/>
              </w:rPr>
              <w:t>万吨、铝焊丝</w:t>
            </w:r>
            <w:r>
              <w:rPr>
                <w:color w:val="auto"/>
                <w:sz w:val="24"/>
                <w:szCs w:val="24"/>
                <w:lang w:val="zh-CN"/>
              </w:rPr>
              <w:t>0.1</w:t>
            </w:r>
            <w:r>
              <w:rPr>
                <w:rFonts w:hAnsi="宋体"/>
                <w:color w:val="auto"/>
                <w:sz w:val="24"/>
                <w:szCs w:val="24"/>
                <w:lang w:val="zh-CN"/>
              </w:rPr>
              <w:t>万吨、药芯焊丝</w:t>
            </w:r>
            <w:r>
              <w:rPr>
                <w:color w:val="auto"/>
                <w:sz w:val="24"/>
                <w:szCs w:val="24"/>
                <w:lang w:val="zh-CN"/>
              </w:rPr>
              <w:t>1</w:t>
            </w:r>
            <w:r>
              <w:rPr>
                <w:rFonts w:hAnsi="宋体"/>
                <w:color w:val="auto"/>
                <w:sz w:val="24"/>
                <w:szCs w:val="24"/>
                <w:lang w:val="zh-CN"/>
              </w:rPr>
              <w:t>万吨、特种电焊条</w:t>
            </w:r>
            <w:r>
              <w:rPr>
                <w:color w:val="auto"/>
                <w:sz w:val="24"/>
                <w:szCs w:val="24"/>
                <w:lang w:val="zh-CN"/>
              </w:rPr>
              <w:t>0.1</w:t>
            </w:r>
            <w:r>
              <w:rPr>
                <w:rFonts w:hAnsi="宋体"/>
                <w:color w:val="auto"/>
                <w:sz w:val="24"/>
                <w:szCs w:val="24"/>
                <w:lang w:val="zh-CN"/>
              </w:rPr>
              <w:t>万</w:t>
            </w:r>
            <w:r>
              <w:rPr>
                <w:rFonts w:hAnsi="宋体"/>
                <w:color w:val="auto"/>
                <w:sz w:val="24"/>
                <w:szCs w:val="24"/>
              </w:rPr>
              <w:t>吨</w:t>
            </w:r>
            <w:r>
              <w:rPr>
                <w:rFonts w:hint="eastAsia"/>
                <w:color w:val="auto"/>
                <w:sz w:val="24"/>
                <w:szCs w:val="32"/>
              </w:rPr>
              <w:t>。于</w:t>
            </w:r>
            <w:r>
              <w:rPr>
                <w:color w:val="auto"/>
                <w:sz w:val="24"/>
                <w:szCs w:val="32"/>
              </w:rPr>
              <w:t>20</w:t>
            </w:r>
            <w:r>
              <w:rPr>
                <w:rFonts w:hint="eastAsia"/>
                <w:color w:val="auto"/>
                <w:sz w:val="24"/>
                <w:szCs w:val="32"/>
                <w:lang w:val="en-US" w:eastAsia="zh-CN"/>
              </w:rPr>
              <w:t>12</w:t>
            </w:r>
            <w:r>
              <w:rPr>
                <w:rFonts w:hint="eastAsia"/>
                <w:color w:val="auto"/>
                <w:sz w:val="24"/>
                <w:szCs w:val="32"/>
              </w:rPr>
              <w:t>年开始建设，</w:t>
            </w:r>
            <w:r>
              <w:rPr>
                <w:color w:val="auto"/>
                <w:sz w:val="24"/>
                <w:szCs w:val="32"/>
              </w:rPr>
              <w:t>201</w:t>
            </w:r>
            <w:r>
              <w:rPr>
                <w:rFonts w:hint="eastAsia"/>
                <w:color w:val="auto"/>
                <w:sz w:val="24"/>
                <w:szCs w:val="32"/>
                <w:lang w:val="en-US" w:eastAsia="zh-CN"/>
              </w:rPr>
              <w:t>3</w:t>
            </w:r>
            <w:r>
              <w:rPr>
                <w:rFonts w:hint="eastAsia"/>
                <w:color w:val="auto"/>
                <w:sz w:val="24"/>
                <w:szCs w:val="32"/>
              </w:rPr>
              <w:t>年</w:t>
            </w:r>
            <w:r>
              <w:rPr>
                <w:rFonts w:hint="eastAsia"/>
                <w:color w:val="auto"/>
                <w:sz w:val="24"/>
                <w:szCs w:val="32"/>
                <w:lang w:eastAsia="zh-CN"/>
              </w:rPr>
              <w:t>进行变更</w:t>
            </w:r>
            <w:r>
              <w:rPr>
                <w:rFonts w:hint="eastAsia"/>
                <w:color w:val="auto"/>
                <w:sz w:val="24"/>
                <w:szCs w:val="32"/>
              </w:rPr>
              <w:t>，</w:t>
            </w:r>
            <w:r>
              <w:rPr>
                <w:rFonts w:hint="eastAsia"/>
                <w:color w:val="auto"/>
                <w:sz w:val="24"/>
                <w:szCs w:val="32"/>
                <w:lang w:eastAsia="zh-CN"/>
              </w:rPr>
              <w:t>废水处理</w:t>
            </w:r>
            <w:r>
              <w:rPr>
                <w:rFonts w:hint="eastAsia"/>
                <w:color w:val="auto"/>
                <w:sz w:val="24"/>
                <w:szCs w:val="32"/>
              </w:rPr>
              <w:t>方式由“</w:t>
            </w:r>
            <w:r>
              <w:rPr>
                <w:rFonts w:hint="eastAsia"/>
                <w:color w:val="auto"/>
                <w:sz w:val="24"/>
                <w:szCs w:val="32"/>
                <w:lang w:eastAsia="zh-CN"/>
              </w:rPr>
              <w:t>中和</w:t>
            </w:r>
            <w:r>
              <w:rPr>
                <w:rFonts w:hint="eastAsia"/>
                <w:color w:val="auto"/>
                <w:sz w:val="24"/>
                <w:szCs w:val="32"/>
                <w:lang w:val="en-US" w:eastAsia="zh-CN"/>
              </w:rPr>
              <w:t>+混凝+沉淀+陶瓷管过滤+反渗透</w:t>
            </w:r>
            <w:r>
              <w:rPr>
                <w:rFonts w:hint="eastAsia"/>
                <w:color w:val="auto"/>
                <w:sz w:val="24"/>
                <w:szCs w:val="32"/>
              </w:rPr>
              <w:t>”</w:t>
            </w:r>
            <w:r>
              <w:rPr>
                <w:rFonts w:hint="eastAsia"/>
                <w:color w:val="auto"/>
                <w:sz w:val="24"/>
                <w:szCs w:val="32"/>
                <w:lang w:eastAsia="zh-CN"/>
              </w:rPr>
              <w:t>改</w:t>
            </w:r>
            <w:r>
              <w:rPr>
                <w:rFonts w:hint="eastAsia"/>
                <w:color w:val="auto"/>
                <w:sz w:val="24"/>
                <w:szCs w:val="32"/>
              </w:rPr>
              <w:t>为“</w:t>
            </w:r>
            <w:r>
              <w:rPr>
                <w:rFonts w:hint="eastAsia"/>
                <w:color w:val="auto"/>
                <w:sz w:val="24"/>
                <w:szCs w:val="32"/>
                <w:lang w:eastAsia="zh-CN"/>
              </w:rPr>
              <w:t>中和</w:t>
            </w:r>
            <w:r>
              <w:rPr>
                <w:rFonts w:hint="eastAsia"/>
                <w:color w:val="auto"/>
                <w:sz w:val="24"/>
                <w:szCs w:val="32"/>
                <w:lang w:val="en-US" w:eastAsia="zh-CN"/>
              </w:rPr>
              <w:t>+混凝+沉淀+砂滤</w:t>
            </w:r>
            <w:r>
              <w:rPr>
                <w:rFonts w:hint="eastAsia"/>
                <w:color w:val="auto"/>
                <w:sz w:val="24"/>
                <w:szCs w:val="32"/>
              </w:rPr>
              <w:t>”，</w:t>
            </w:r>
            <w:r>
              <w:rPr>
                <w:rFonts w:hint="eastAsia"/>
                <w:color w:val="auto"/>
                <w:sz w:val="24"/>
                <w:szCs w:val="32"/>
                <w:lang w:eastAsia="zh-CN"/>
              </w:rPr>
              <w:t>“废水全部回用”改为“处理后生产废水大部分回用”，“</w:t>
            </w:r>
            <w:r>
              <w:rPr>
                <w:rFonts w:hint="eastAsia"/>
                <w:color w:val="auto"/>
                <w:sz w:val="24"/>
                <w:szCs w:val="32"/>
                <w:lang w:val="en-US" w:eastAsia="zh-CN"/>
              </w:rPr>
              <w:t>1台2t热水锅炉</w:t>
            </w:r>
            <w:r>
              <w:rPr>
                <w:rFonts w:hint="eastAsia"/>
                <w:color w:val="auto"/>
                <w:sz w:val="24"/>
                <w:szCs w:val="32"/>
                <w:lang w:eastAsia="zh-CN"/>
              </w:rPr>
              <w:t>”改为“</w:t>
            </w:r>
            <w:r>
              <w:rPr>
                <w:rFonts w:hint="eastAsia"/>
                <w:color w:val="auto"/>
                <w:sz w:val="24"/>
                <w:szCs w:val="32"/>
                <w:lang w:val="en-US" w:eastAsia="zh-CN"/>
              </w:rPr>
              <w:t>2台1t热水锅炉</w:t>
            </w:r>
            <w:r>
              <w:rPr>
                <w:rFonts w:hint="eastAsia"/>
                <w:color w:val="auto"/>
                <w:sz w:val="24"/>
                <w:szCs w:val="32"/>
                <w:lang w:eastAsia="zh-CN"/>
              </w:rPr>
              <w:t>”</w:t>
            </w:r>
            <w:r>
              <w:rPr>
                <w:rFonts w:hint="eastAsia"/>
                <w:color w:val="auto"/>
                <w:sz w:val="24"/>
                <w:szCs w:val="32"/>
              </w:rPr>
              <w:t>。</w:t>
            </w:r>
            <w:r>
              <w:rPr>
                <w:rFonts w:hint="eastAsia" w:ascii="Times New Roman" w:hAnsi="Times New Roman" w:eastAsia="宋体" w:cs="Times New Roman"/>
                <w:b w:val="0"/>
                <w:color w:val="auto"/>
                <w:sz w:val="24"/>
                <w:szCs w:val="24"/>
                <w:highlight w:val="none"/>
                <w:lang w:val="en-US" w:eastAsia="zh-CN" w:bidi="ar"/>
              </w:rPr>
              <w:t>2014年12</w:t>
            </w:r>
            <w:r>
              <w:rPr>
                <w:rFonts w:hint="eastAsia" w:ascii="Times New Roman" w:hAnsi="Times New Roman" w:eastAsia="宋体" w:cs="Times New Roman"/>
                <w:b w:val="0"/>
                <w:color w:val="auto"/>
                <w:sz w:val="24"/>
                <w:szCs w:val="24"/>
                <w:highlight w:val="none"/>
                <w:lang w:eastAsia="zh-CN" w:bidi="ar"/>
              </w:rPr>
              <w:t>月企业完成了</w:t>
            </w:r>
            <w:r>
              <w:rPr>
                <w:rFonts w:hAnsi="宋体"/>
                <w:color w:val="auto"/>
                <w:sz w:val="24"/>
                <w:szCs w:val="24"/>
              </w:rPr>
              <w:t>气保焊丝</w:t>
            </w:r>
            <w:r>
              <w:rPr>
                <w:color w:val="auto"/>
                <w:sz w:val="24"/>
                <w:szCs w:val="24"/>
              </w:rPr>
              <w:t>8</w:t>
            </w:r>
            <w:r>
              <w:rPr>
                <w:rFonts w:hAnsi="宋体"/>
                <w:color w:val="auto"/>
                <w:sz w:val="24"/>
                <w:szCs w:val="24"/>
              </w:rPr>
              <w:t>万吨、</w:t>
            </w:r>
            <w:r>
              <w:rPr>
                <w:rFonts w:hAnsi="宋体"/>
                <w:color w:val="auto"/>
                <w:sz w:val="24"/>
                <w:szCs w:val="24"/>
                <w:lang w:val="zh-CN"/>
              </w:rPr>
              <w:t>高强钢焊丝</w:t>
            </w:r>
            <w:r>
              <w:rPr>
                <w:color w:val="auto"/>
                <w:sz w:val="24"/>
                <w:szCs w:val="24"/>
                <w:lang w:val="zh-CN"/>
              </w:rPr>
              <w:t>0.1</w:t>
            </w:r>
            <w:r>
              <w:rPr>
                <w:rFonts w:hAnsi="宋体"/>
                <w:color w:val="auto"/>
                <w:sz w:val="24"/>
                <w:szCs w:val="24"/>
                <w:lang w:val="zh-CN"/>
              </w:rPr>
              <w:t>万吨、埋弧焊丝</w:t>
            </w:r>
            <w:r>
              <w:rPr>
                <w:color w:val="auto"/>
                <w:sz w:val="24"/>
                <w:szCs w:val="24"/>
                <w:lang w:val="zh-CN"/>
              </w:rPr>
              <w:t>0.6</w:t>
            </w:r>
            <w:r>
              <w:rPr>
                <w:rFonts w:hAnsi="宋体"/>
                <w:color w:val="auto"/>
                <w:sz w:val="24"/>
                <w:szCs w:val="24"/>
                <w:lang w:val="zh-CN"/>
              </w:rPr>
              <w:t>万吨、不锈钢焊丝</w:t>
            </w:r>
            <w:r>
              <w:rPr>
                <w:color w:val="auto"/>
                <w:sz w:val="24"/>
                <w:szCs w:val="24"/>
                <w:lang w:val="zh-CN"/>
              </w:rPr>
              <w:t>0.1</w:t>
            </w:r>
            <w:r>
              <w:rPr>
                <w:rFonts w:hAnsi="宋体"/>
                <w:color w:val="auto"/>
                <w:sz w:val="24"/>
                <w:szCs w:val="24"/>
                <w:lang w:val="zh-CN"/>
              </w:rPr>
              <w:t>万吨、铝焊丝</w:t>
            </w:r>
            <w:r>
              <w:rPr>
                <w:color w:val="auto"/>
                <w:sz w:val="24"/>
                <w:szCs w:val="24"/>
                <w:lang w:val="zh-CN"/>
              </w:rPr>
              <w:t>0.1</w:t>
            </w:r>
            <w:r>
              <w:rPr>
                <w:rFonts w:hAnsi="宋体"/>
                <w:color w:val="auto"/>
                <w:sz w:val="24"/>
                <w:szCs w:val="24"/>
                <w:lang w:val="zh-CN"/>
              </w:rPr>
              <w:t>万吨</w:t>
            </w:r>
            <w:r>
              <w:rPr>
                <w:rFonts w:hint="eastAsia" w:hAnsi="宋体"/>
                <w:color w:val="auto"/>
                <w:sz w:val="24"/>
                <w:szCs w:val="24"/>
                <w:lang w:val="zh-CN"/>
              </w:rPr>
              <w:t>生产线、生产车间及配电、给排水系统</w:t>
            </w:r>
            <w:r>
              <w:rPr>
                <w:rFonts w:hint="eastAsia" w:ascii="Times New Roman" w:hAnsi="Times New Roman" w:eastAsia="宋体" w:cs="Times New Roman"/>
                <w:b w:val="0"/>
                <w:color w:val="auto"/>
                <w:sz w:val="24"/>
                <w:szCs w:val="24"/>
                <w:highlight w:val="none"/>
                <w:lang w:eastAsia="zh-CN" w:bidi="ar"/>
              </w:rPr>
              <w:t>的建设，</w:t>
            </w:r>
            <w:r>
              <w:rPr>
                <w:rFonts w:hint="eastAsia" w:ascii="Times New Roman" w:hAnsi="Times New Roman" w:eastAsia="宋体" w:cs="Times New Roman"/>
                <w:b w:val="0"/>
                <w:color w:val="auto"/>
                <w:sz w:val="24"/>
                <w:szCs w:val="24"/>
                <w:highlight w:val="none"/>
                <w:u w:val="single"/>
                <w:lang w:eastAsia="zh-CN" w:bidi="ar"/>
              </w:rPr>
              <w:t>于</w:t>
            </w:r>
            <w:r>
              <w:rPr>
                <w:rFonts w:hint="eastAsia" w:ascii="Times New Roman" w:hAnsi="Times New Roman" w:eastAsia="宋体" w:cs="Times New Roman"/>
                <w:b w:val="0"/>
                <w:color w:val="auto"/>
                <w:sz w:val="24"/>
                <w:szCs w:val="24"/>
                <w:highlight w:val="none"/>
                <w:u w:val="single"/>
                <w:lang w:val="en-US" w:eastAsia="zh-CN" w:bidi="ar"/>
              </w:rPr>
              <w:t>2016年6月30日</w:t>
            </w:r>
            <w:r>
              <w:rPr>
                <w:rFonts w:hint="eastAsia" w:ascii="Times New Roman" w:hAnsi="Times New Roman" w:eastAsia="宋体" w:cs="Times New Roman"/>
                <w:b w:val="0"/>
                <w:color w:val="auto"/>
                <w:sz w:val="24"/>
                <w:szCs w:val="24"/>
                <w:highlight w:val="none"/>
                <w:u w:val="single"/>
                <w:lang w:eastAsia="zh-CN" w:bidi="ar"/>
              </w:rPr>
              <w:t>通过了原岳阳市环境保护局的竣工环保验收</w:t>
            </w:r>
            <w:r>
              <w:rPr>
                <w:rFonts w:hint="eastAsia" w:cs="Times New Roman"/>
                <w:b w:val="0"/>
                <w:color w:val="auto"/>
                <w:sz w:val="24"/>
                <w:szCs w:val="24"/>
                <w:highlight w:val="none"/>
                <w:u w:val="single"/>
                <w:lang w:eastAsia="zh-CN" w:bidi="ar"/>
              </w:rPr>
              <w:t>，其中</w:t>
            </w:r>
            <w:r>
              <w:rPr>
                <w:color w:val="auto"/>
                <w:sz w:val="24"/>
                <w:szCs w:val="24"/>
                <w:highlight w:val="none"/>
                <w:u w:val="single"/>
                <w:lang w:val="zh-CN"/>
              </w:rPr>
              <w:t>1</w:t>
            </w:r>
            <w:r>
              <w:rPr>
                <w:rFonts w:hAnsi="宋体"/>
                <w:color w:val="auto"/>
                <w:sz w:val="24"/>
                <w:szCs w:val="24"/>
                <w:highlight w:val="none"/>
                <w:u w:val="single"/>
                <w:lang w:val="zh-CN"/>
              </w:rPr>
              <w:t>万吨</w:t>
            </w:r>
            <w:r>
              <w:rPr>
                <w:rFonts w:hAnsi="宋体"/>
                <w:color w:val="auto"/>
                <w:sz w:val="24"/>
                <w:szCs w:val="24"/>
                <w:u w:val="single"/>
                <w:lang w:val="zh-CN"/>
              </w:rPr>
              <w:t>药芯焊</w:t>
            </w:r>
            <w:r>
              <w:rPr>
                <w:rFonts w:hAnsi="宋体"/>
                <w:color w:val="auto"/>
                <w:sz w:val="24"/>
                <w:szCs w:val="24"/>
                <w:highlight w:val="none"/>
                <w:u w:val="single"/>
                <w:lang w:val="zh-CN"/>
              </w:rPr>
              <w:t>丝</w:t>
            </w:r>
            <w:r>
              <w:rPr>
                <w:rFonts w:hint="eastAsia" w:hAnsi="宋体"/>
                <w:color w:val="auto"/>
                <w:sz w:val="24"/>
                <w:szCs w:val="24"/>
                <w:highlight w:val="none"/>
                <w:u w:val="single"/>
                <w:lang w:val="zh-CN"/>
              </w:rPr>
              <w:t>生产线</w:t>
            </w:r>
            <w:r>
              <w:rPr>
                <w:rFonts w:hAnsi="宋体"/>
                <w:color w:val="auto"/>
                <w:sz w:val="24"/>
                <w:szCs w:val="24"/>
                <w:highlight w:val="none"/>
                <w:u w:val="single"/>
                <w:lang w:val="zh-CN"/>
              </w:rPr>
              <w:t>、</w:t>
            </w:r>
            <w:r>
              <w:rPr>
                <w:color w:val="auto"/>
                <w:sz w:val="24"/>
                <w:szCs w:val="24"/>
                <w:highlight w:val="none"/>
                <w:u w:val="single"/>
                <w:lang w:val="zh-CN"/>
              </w:rPr>
              <w:t>0.1</w:t>
            </w:r>
            <w:r>
              <w:rPr>
                <w:rFonts w:hAnsi="宋体"/>
                <w:color w:val="auto"/>
                <w:sz w:val="24"/>
                <w:szCs w:val="24"/>
                <w:highlight w:val="none"/>
                <w:u w:val="single"/>
                <w:lang w:val="zh-CN"/>
              </w:rPr>
              <w:t>万</w:t>
            </w:r>
            <w:r>
              <w:rPr>
                <w:rFonts w:hAnsi="宋体"/>
                <w:color w:val="auto"/>
                <w:sz w:val="24"/>
                <w:szCs w:val="24"/>
                <w:highlight w:val="none"/>
                <w:u w:val="single"/>
              </w:rPr>
              <w:t>吨</w:t>
            </w:r>
            <w:r>
              <w:rPr>
                <w:rFonts w:hAnsi="宋体"/>
                <w:color w:val="auto"/>
                <w:sz w:val="24"/>
                <w:szCs w:val="24"/>
                <w:highlight w:val="none"/>
                <w:u w:val="single"/>
                <w:lang w:val="zh-CN"/>
              </w:rPr>
              <w:t>特种电焊条</w:t>
            </w:r>
            <w:r>
              <w:rPr>
                <w:rFonts w:hint="eastAsia" w:hAnsi="宋体"/>
                <w:color w:val="auto"/>
                <w:sz w:val="24"/>
                <w:szCs w:val="24"/>
                <w:highlight w:val="none"/>
                <w:u w:val="single"/>
                <w:lang w:eastAsia="zh-CN"/>
              </w:rPr>
              <w:t>生产线、食堂未建设，未纳入该验收范围，后由于市场原因未启动，</w:t>
            </w:r>
            <w:r>
              <w:rPr>
                <w:rFonts w:hint="eastAsia"/>
                <w:b w:val="0"/>
                <w:bCs w:val="0"/>
                <w:color w:val="auto"/>
                <w:sz w:val="24"/>
                <w:szCs w:val="24"/>
                <w:highlight w:val="none"/>
                <w:u w:val="single"/>
                <w:lang w:eastAsia="zh-CN"/>
              </w:rPr>
              <w:t>湖南西姆西科技有限公司决定取消原环评中</w:t>
            </w:r>
            <w:r>
              <w:rPr>
                <w:rFonts w:hint="eastAsia" w:cs="Times New Roman"/>
                <w:b w:val="0"/>
                <w:bCs w:val="0"/>
                <w:color w:val="auto"/>
                <w:sz w:val="24"/>
                <w:szCs w:val="24"/>
                <w:highlight w:val="none"/>
                <w:u w:val="single"/>
                <w:lang w:val="en-US" w:eastAsia="zh-CN" w:bidi="ar"/>
              </w:rPr>
              <w:t>药芯焊丝生产线和</w:t>
            </w:r>
            <w:r>
              <w:rPr>
                <w:rFonts w:hint="eastAsia" w:cs="宋体"/>
                <w:color w:val="auto"/>
                <w:sz w:val="24"/>
                <w:szCs w:val="24"/>
                <w:highlight w:val="none"/>
                <w:u w:val="single"/>
                <w:lang w:val="en-US" w:eastAsia="zh-CN"/>
              </w:rPr>
              <w:t>特种电焊生产线，见附件15</w:t>
            </w:r>
            <w:r>
              <w:rPr>
                <w:rFonts w:hint="eastAsia" w:hAnsi="宋体"/>
                <w:color w:val="auto"/>
                <w:sz w:val="24"/>
                <w:szCs w:val="24"/>
                <w:highlight w:val="none"/>
                <w:u w:val="single"/>
                <w:lang w:eastAsia="zh-CN"/>
              </w:rPr>
              <w:t>。</w:t>
            </w:r>
          </w:p>
          <w:p>
            <w:pPr>
              <w:spacing w:line="360" w:lineRule="auto"/>
              <w:ind w:firstLine="482" w:firstLineChars="200"/>
              <w:rPr>
                <w:b/>
                <w:bCs/>
                <w:color w:val="auto"/>
                <w:sz w:val="24"/>
                <w:szCs w:val="32"/>
              </w:rPr>
            </w:pPr>
            <w:r>
              <w:rPr>
                <w:rFonts w:hint="eastAsia"/>
                <w:b/>
                <w:bCs/>
                <w:color w:val="auto"/>
                <w:sz w:val="24"/>
                <w:szCs w:val="32"/>
                <w:lang w:val="en-US" w:eastAsia="zh-CN"/>
              </w:rPr>
              <w:t>二、相关环保手续履行情况</w:t>
            </w:r>
          </w:p>
          <w:p>
            <w:pPr>
              <w:spacing w:line="360" w:lineRule="auto"/>
              <w:ind w:firstLine="480" w:firstLineChars="200"/>
              <w:rPr>
                <w:rFonts w:hint="eastAsia" w:eastAsia="宋体"/>
                <w:color w:val="auto"/>
                <w:sz w:val="24"/>
                <w:szCs w:val="32"/>
                <w:lang w:eastAsia="zh-CN"/>
              </w:rPr>
            </w:pPr>
            <w:r>
              <w:rPr>
                <w:color w:val="auto"/>
                <w:sz w:val="24"/>
                <w:szCs w:val="32"/>
              </w:rPr>
              <w:t>环评情况汇总见表</w:t>
            </w:r>
            <w:r>
              <w:rPr>
                <w:rFonts w:hint="eastAsia"/>
                <w:color w:val="auto"/>
                <w:sz w:val="24"/>
                <w:szCs w:val="32"/>
              </w:rPr>
              <w:t>2</w:t>
            </w:r>
            <w:r>
              <w:rPr>
                <w:rFonts w:hint="eastAsia"/>
                <w:color w:val="auto"/>
                <w:sz w:val="24"/>
                <w:szCs w:val="32"/>
                <w:lang w:val="en-US" w:eastAsia="zh-CN"/>
              </w:rPr>
              <w:t>.10-1</w:t>
            </w:r>
            <w:r>
              <w:rPr>
                <w:rFonts w:hint="eastAsia"/>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szCs w:val="32"/>
              </w:rPr>
            </w:pPr>
            <w:r>
              <w:rPr>
                <w:b/>
                <w:bCs/>
                <w:color w:val="auto"/>
                <w:sz w:val="24"/>
                <w:szCs w:val="32"/>
              </w:rPr>
              <w:t>表</w:t>
            </w:r>
            <w:r>
              <w:rPr>
                <w:rFonts w:hint="eastAsia"/>
                <w:b/>
                <w:bCs/>
                <w:color w:val="auto"/>
                <w:sz w:val="24"/>
                <w:szCs w:val="32"/>
              </w:rPr>
              <w:t>2</w:t>
            </w:r>
            <w:r>
              <w:rPr>
                <w:rFonts w:hint="eastAsia"/>
                <w:b/>
                <w:bCs/>
                <w:color w:val="auto"/>
                <w:sz w:val="24"/>
                <w:szCs w:val="32"/>
                <w:lang w:val="en-US" w:eastAsia="zh-CN"/>
              </w:rPr>
              <w:t>.</w:t>
            </w:r>
            <w:r>
              <w:rPr>
                <w:b/>
                <w:bCs/>
                <w:color w:val="auto"/>
                <w:sz w:val="24"/>
                <w:szCs w:val="32"/>
              </w:rPr>
              <w:t>1</w:t>
            </w:r>
            <w:r>
              <w:rPr>
                <w:rFonts w:hint="eastAsia"/>
                <w:b/>
                <w:bCs/>
                <w:color w:val="auto"/>
                <w:sz w:val="24"/>
                <w:szCs w:val="32"/>
                <w:lang w:val="en-US" w:eastAsia="zh-CN"/>
              </w:rPr>
              <w:t>0-1</w:t>
            </w:r>
            <w:r>
              <w:rPr>
                <w:rFonts w:hint="eastAsia"/>
                <w:b/>
                <w:bCs/>
                <w:color w:val="auto"/>
                <w:sz w:val="24"/>
                <w:szCs w:val="32"/>
                <w:lang w:eastAsia="zh-CN"/>
              </w:rPr>
              <w:t>现有</w:t>
            </w:r>
            <w:r>
              <w:rPr>
                <w:b/>
                <w:bCs/>
                <w:color w:val="auto"/>
                <w:sz w:val="24"/>
                <w:szCs w:val="32"/>
              </w:rPr>
              <w:t>工程环境影响评价及“三同时”制度执行情况表</w:t>
            </w:r>
          </w:p>
          <w:tbl>
            <w:tblPr>
              <w:tblStyle w:val="29"/>
              <w:tblW w:w="4995"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4"/>
              <w:gridCol w:w="826"/>
              <w:gridCol w:w="1073"/>
              <w:gridCol w:w="731"/>
              <w:gridCol w:w="1600"/>
              <w:gridCol w:w="821"/>
              <w:gridCol w:w="694"/>
              <w:gridCol w:w="674"/>
              <w:gridCol w:w="675"/>
              <w:gridCol w:w="6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35" w:type="pct"/>
                  <w:vMerge w:val="restar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建设项目</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名称</w:t>
                  </w:r>
                </w:p>
              </w:tc>
              <w:tc>
                <w:tcPr>
                  <w:tcW w:w="2274" w:type="pct"/>
                  <w:gridSpan w:val="4"/>
                  <w:noWrap w:val="0"/>
                  <w:tcMar>
                    <w:left w:w="28" w:type="dxa"/>
                    <w:right w:w="28" w:type="dxa"/>
                  </w:tcMar>
                  <w:vAlign w:val="center"/>
                </w:tcPr>
                <w:p>
                  <w:pPr>
                    <w:adjustRightInd w:val="0"/>
                    <w:snapToGrid w:val="0"/>
                    <w:spacing w:line="240" w:lineRule="atLeast"/>
                    <w:ind w:firstLine="422"/>
                    <w:jc w:val="center"/>
                    <w:rPr>
                      <w:b/>
                      <w:bCs/>
                      <w:color w:val="auto"/>
                      <w:sz w:val="21"/>
                      <w:szCs w:val="21"/>
                      <w:highlight w:val="none"/>
                    </w:rPr>
                  </w:pPr>
                  <w:r>
                    <w:rPr>
                      <w:b/>
                      <w:bCs/>
                      <w:color w:val="auto"/>
                      <w:sz w:val="21"/>
                      <w:szCs w:val="21"/>
                      <w:highlight w:val="none"/>
                    </w:rPr>
                    <w:t>环境影响评价</w:t>
                  </w:r>
                </w:p>
              </w:tc>
              <w:tc>
                <w:tcPr>
                  <w:tcW w:w="1539" w:type="pct"/>
                  <w:gridSpan w:val="4"/>
                  <w:noWrap w:val="0"/>
                  <w:tcMar>
                    <w:left w:w="28" w:type="dxa"/>
                    <w:right w:w="28" w:type="dxa"/>
                  </w:tcMar>
                  <w:vAlign w:val="center"/>
                </w:tcPr>
                <w:p>
                  <w:pPr>
                    <w:adjustRightInd w:val="0"/>
                    <w:snapToGrid w:val="0"/>
                    <w:spacing w:line="240" w:lineRule="atLeast"/>
                    <w:ind w:firstLine="422"/>
                    <w:jc w:val="center"/>
                    <w:rPr>
                      <w:b/>
                      <w:bCs/>
                      <w:color w:val="auto"/>
                      <w:sz w:val="21"/>
                      <w:szCs w:val="21"/>
                      <w:highlight w:val="none"/>
                    </w:rPr>
                  </w:pPr>
                  <w:r>
                    <w:rPr>
                      <w:b/>
                      <w:bCs/>
                      <w:color w:val="auto"/>
                      <w:sz w:val="21"/>
                      <w:szCs w:val="21"/>
                      <w:highlight w:val="none"/>
                    </w:rPr>
                    <w:t>竣工环境保护验收</w:t>
                  </w:r>
                </w:p>
              </w:tc>
              <w:tc>
                <w:tcPr>
                  <w:tcW w:w="350" w:type="pct"/>
                  <w:vMerge w:val="restart"/>
                  <w:noWrap w:val="0"/>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运行</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状态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35" w:type="pct"/>
                  <w:vMerge w:val="continue"/>
                  <w:noWrap w:val="0"/>
                  <w:tcMar>
                    <w:left w:w="28" w:type="dxa"/>
                    <w:right w:w="28" w:type="dxa"/>
                  </w:tcMar>
                  <w:vAlign w:val="center"/>
                </w:tcPr>
                <w:p>
                  <w:pPr>
                    <w:adjustRightInd w:val="0"/>
                    <w:snapToGrid w:val="0"/>
                    <w:spacing w:line="240" w:lineRule="atLeast"/>
                    <w:ind w:firstLine="420"/>
                    <w:jc w:val="center"/>
                    <w:rPr>
                      <w:color w:val="auto"/>
                      <w:sz w:val="21"/>
                      <w:szCs w:val="21"/>
                      <w:highlight w:val="none"/>
                    </w:rPr>
                  </w:pPr>
                </w:p>
              </w:tc>
              <w:tc>
                <w:tcPr>
                  <w:tcW w:w="444"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审批</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单位</w:t>
                  </w:r>
                </w:p>
              </w:tc>
              <w:tc>
                <w:tcPr>
                  <w:tcW w:w="576"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批准</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文号</w:t>
                  </w:r>
                </w:p>
              </w:tc>
              <w:tc>
                <w:tcPr>
                  <w:tcW w:w="393"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批准</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时间</w:t>
                  </w:r>
                </w:p>
              </w:tc>
              <w:tc>
                <w:tcPr>
                  <w:tcW w:w="860"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生产规模</w:t>
                  </w:r>
                </w:p>
              </w:tc>
              <w:tc>
                <w:tcPr>
                  <w:tcW w:w="441"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审批</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单位</w:t>
                  </w:r>
                </w:p>
              </w:tc>
              <w:tc>
                <w:tcPr>
                  <w:tcW w:w="373"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批准</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文号/编号</w:t>
                  </w:r>
                </w:p>
              </w:tc>
              <w:tc>
                <w:tcPr>
                  <w:tcW w:w="362" w:type="pct"/>
                  <w:noWrap w:val="0"/>
                  <w:tcMar>
                    <w:left w:w="28" w:type="dxa"/>
                    <w:right w:w="28" w:type="dxa"/>
                  </w:tcMar>
                  <w:vAlign w:val="center"/>
                </w:tcPr>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批准</w:t>
                  </w:r>
                </w:p>
                <w:p>
                  <w:pPr>
                    <w:adjustRightInd w:val="0"/>
                    <w:snapToGrid w:val="0"/>
                    <w:spacing w:line="240" w:lineRule="atLeast"/>
                    <w:ind w:firstLine="0" w:firstLineChars="0"/>
                    <w:jc w:val="center"/>
                    <w:rPr>
                      <w:b/>
                      <w:bCs/>
                      <w:color w:val="auto"/>
                      <w:sz w:val="21"/>
                      <w:szCs w:val="21"/>
                      <w:highlight w:val="none"/>
                    </w:rPr>
                  </w:pPr>
                  <w:r>
                    <w:rPr>
                      <w:b/>
                      <w:bCs/>
                      <w:color w:val="auto"/>
                      <w:sz w:val="21"/>
                      <w:szCs w:val="21"/>
                      <w:highlight w:val="none"/>
                    </w:rPr>
                    <w:t>时间</w:t>
                  </w:r>
                </w:p>
              </w:tc>
              <w:tc>
                <w:tcPr>
                  <w:tcW w:w="362" w:type="pct"/>
                  <w:noWrap w:val="0"/>
                  <w:tcMar>
                    <w:left w:w="28" w:type="dxa"/>
                    <w:right w:w="28" w:type="dxa"/>
                  </w:tcMar>
                  <w:vAlign w:val="center"/>
                </w:tcPr>
                <w:p>
                  <w:pPr>
                    <w:adjustRightInd w:val="0"/>
                    <w:snapToGrid w:val="0"/>
                    <w:spacing w:line="240" w:lineRule="atLeast"/>
                    <w:ind w:firstLine="0" w:firstLineChars="0"/>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验收内容</w:t>
                  </w:r>
                </w:p>
              </w:tc>
              <w:tc>
                <w:tcPr>
                  <w:tcW w:w="350" w:type="pct"/>
                  <w:vMerge w:val="continue"/>
                  <w:noWrap w:val="0"/>
                  <w:vAlign w:val="center"/>
                </w:tcPr>
                <w:p>
                  <w:pPr>
                    <w:adjustRightInd w:val="0"/>
                    <w:snapToGrid w:val="0"/>
                    <w:spacing w:line="240" w:lineRule="atLeast"/>
                    <w:ind w:firstLine="420"/>
                    <w:jc w:val="center"/>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35" w:type="pct"/>
                  <w:noWrap w:val="0"/>
                  <w:tcMar>
                    <w:left w:w="28" w:type="dxa"/>
                    <w:right w:w="28" w:type="dxa"/>
                  </w:tcMar>
                  <w:vAlign w:val="center"/>
                </w:tcPr>
                <w:p>
                  <w:pPr>
                    <w:adjustRightInd w:val="0"/>
                    <w:snapToGrid w:val="0"/>
                    <w:spacing w:line="24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湖南西姆西科技有限公司焊材制造项目</w:t>
                  </w:r>
                </w:p>
              </w:tc>
              <w:tc>
                <w:tcPr>
                  <w:tcW w:w="444" w:type="pct"/>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r>
                    <w:rPr>
                      <w:color w:val="auto"/>
                      <w:sz w:val="21"/>
                      <w:szCs w:val="21"/>
                      <w:highlight w:val="none"/>
                    </w:rPr>
                    <w:t>原</w:t>
                  </w:r>
                  <w:r>
                    <w:rPr>
                      <w:rFonts w:hint="eastAsia"/>
                      <w:color w:val="auto"/>
                      <w:sz w:val="21"/>
                      <w:szCs w:val="21"/>
                      <w:highlight w:val="none"/>
                      <w:lang w:eastAsia="zh-CN"/>
                    </w:rPr>
                    <w:t>岳阳市</w:t>
                  </w:r>
                  <w:r>
                    <w:rPr>
                      <w:color w:val="auto"/>
                      <w:sz w:val="21"/>
                      <w:szCs w:val="21"/>
                      <w:highlight w:val="none"/>
                    </w:rPr>
                    <w:t>环境保护局</w:t>
                  </w:r>
                </w:p>
              </w:tc>
              <w:tc>
                <w:tcPr>
                  <w:tcW w:w="576" w:type="pct"/>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r>
                    <w:rPr>
                      <w:rFonts w:hint="eastAsia"/>
                      <w:color w:val="auto"/>
                      <w:sz w:val="21"/>
                      <w:szCs w:val="21"/>
                      <w:highlight w:val="none"/>
                      <w:lang w:eastAsia="zh-CN"/>
                    </w:rPr>
                    <w:t>岳环评批</w:t>
                  </w:r>
                  <w:r>
                    <w:rPr>
                      <w:color w:val="auto"/>
                      <w:sz w:val="21"/>
                      <w:szCs w:val="21"/>
                      <w:highlight w:val="none"/>
                    </w:rPr>
                    <w:t>［20</w:t>
                  </w:r>
                  <w:r>
                    <w:rPr>
                      <w:rFonts w:hint="eastAsia"/>
                      <w:color w:val="auto"/>
                      <w:sz w:val="21"/>
                      <w:szCs w:val="21"/>
                      <w:highlight w:val="none"/>
                      <w:lang w:val="en-US" w:eastAsia="zh-CN"/>
                    </w:rPr>
                    <w:t>11</w:t>
                  </w:r>
                  <w:r>
                    <w:rPr>
                      <w:color w:val="auto"/>
                      <w:sz w:val="21"/>
                      <w:szCs w:val="21"/>
                      <w:highlight w:val="none"/>
                    </w:rPr>
                    <w:t>］</w:t>
                  </w:r>
                  <w:r>
                    <w:rPr>
                      <w:rFonts w:hint="eastAsia"/>
                      <w:color w:val="auto"/>
                      <w:sz w:val="21"/>
                      <w:szCs w:val="21"/>
                      <w:highlight w:val="none"/>
                      <w:lang w:val="en-US" w:eastAsia="zh-CN"/>
                    </w:rPr>
                    <w:t>101</w:t>
                  </w:r>
                  <w:r>
                    <w:rPr>
                      <w:color w:val="auto"/>
                      <w:sz w:val="21"/>
                      <w:szCs w:val="21"/>
                      <w:highlight w:val="none"/>
                    </w:rPr>
                    <w:t>号</w:t>
                  </w:r>
                </w:p>
              </w:tc>
              <w:tc>
                <w:tcPr>
                  <w:tcW w:w="393" w:type="pct"/>
                  <w:noWrap w:val="0"/>
                  <w:tcMar>
                    <w:left w:w="28" w:type="dxa"/>
                    <w:right w:w="28" w:type="dxa"/>
                  </w:tcMar>
                  <w:vAlign w:val="center"/>
                </w:tcPr>
                <w:p>
                  <w:pPr>
                    <w:adjustRightInd w:val="0"/>
                    <w:snapToGrid w:val="0"/>
                    <w:spacing w:line="24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2011.12.16</w:t>
                  </w:r>
                </w:p>
              </w:tc>
              <w:tc>
                <w:tcPr>
                  <w:tcW w:w="860" w:type="pct"/>
                  <w:vMerge w:val="restart"/>
                  <w:noWrap w:val="0"/>
                  <w:tcMar>
                    <w:left w:w="28" w:type="dxa"/>
                    <w:right w:w="28" w:type="dxa"/>
                  </w:tcMar>
                  <w:vAlign w:val="center"/>
                </w:tcPr>
                <w:p>
                  <w:pPr>
                    <w:adjustRightInd w:val="0"/>
                    <w:snapToGrid w:val="0"/>
                    <w:spacing w:line="24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rPr>
                    <w:t>年生产气保焊丝8万吨、高强钢焊丝0.1万吨、埋弧焊丝0.6万吨、不锈钢焊丝0.1万吨、铝焊丝0.1万吨</w:t>
                  </w:r>
                  <w:r>
                    <w:rPr>
                      <w:rFonts w:hint="eastAsia"/>
                      <w:color w:val="auto"/>
                      <w:lang w:eastAsia="zh-CN"/>
                    </w:rPr>
                    <w:t>、</w:t>
                  </w:r>
                  <w:r>
                    <w:rPr>
                      <w:rFonts w:hint="eastAsia"/>
                      <w:color w:val="auto"/>
                      <w:lang w:val="zh-CN" w:eastAsia="zh-CN"/>
                    </w:rPr>
                    <w:t>1万吨药芯焊丝、0.1万</w:t>
                  </w:r>
                  <w:r>
                    <w:rPr>
                      <w:rFonts w:hint="eastAsia"/>
                      <w:color w:val="auto"/>
                      <w:lang w:eastAsia="zh-CN"/>
                    </w:rPr>
                    <w:t>吨</w:t>
                  </w:r>
                  <w:r>
                    <w:rPr>
                      <w:rFonts w:hint="eastAsia"/>
                      <w:color w:val="auto"/>
                      <w:lang w:val="zh-CN" w:eastAsia="zh-CN"/>
                    </w:rPr>
                    <w:t>特种电焊条</w:t>
                  </w:r>
                </w:p>
              </w:tc>
              <w:tc>
                <w:tcPr>
                  <w:tcW w:w="441" w:type="pct"/>
                  <w:vMerge w:val="restart"/>
                  <w:noWrap w:val="0"/>
                  <w:tcMar>
                    <w:left w:w="28" w:type="dxa"/>
                    <w:right w:w="28" w:type="dxa"/>
                  </w:tcMar>
                  <w:vAlign w:val="center"/>
                </w:tcPr>
                <w:p>
                  <w:pPr>
                    <w:adjustRightInd w:val="0"/>
                    <w:snapToGrid w:val="0"/>
                    <w:spacing w:line="240" w:lineRule="atLeast"/>
                    <w:ind w:firstLine="0" w:firstLineChars="0"/>
                    <w:jc w:val="center"/>
                    <w:rPr>
                      <w:rFonts w:hint="eastAsia" w:eastAsia="宋体"/>
                      <w:color w:val="auto"/>
                      <w:sz w:val="21"/>
                      <w:szCs w:val="21"/>
                      <w:highlight w:val="none"/>
                      <w:lang w:eastAsia="zh-CN"/>
                    </w:rPr>
                  </w:pPr>
                  <w:r>
                    <w:rPr>
                      <w:color w:val="auto"/>
                      <w:sz w:val="21"/>
                      <w:szCs w:val="21"/>
                      <w:highlight w:val="none"/>
                    </w:rPr>
                    <w:t>原</w:t>
                  </w:r>
                  <w:r>
                    <w:rPr>
                      <w:rFonts w:hint="eastAsia"/>
                      <w:color w:val="auto"/>
                      <w:sz w:val="21"/>
                      <w:szCs w:val="21"/>
                      <w:highlight w:val="none"/>
                      <w:lang w:eastAsia="zh-CN"/>
                    </w:rPr>
                    <w:t>岳阳市环境保护局</w:t>
                  </w:r>
                </w:p>
              </w:tc>
              <w:tc>
                <w:tcPr>
                  <w:tcW w:w="373" w:type="pct"/>
                  <w:vMerge w:val="restart"/>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r>
                    <w:rPr>
                      <w:rFonts w:hint="eastAsia"/>
                      <w:color w:val="auto"/>
                      <w:sz w:val="21"/>
                      <w:szCs w:val="21"/>
                      <w:highlight w:val="none"/>
                      <w:lang w:eastAsia="zh-CN"/>
                    </w:rPr>
                    <w:t>岳环评验</w:t>
                  </w:r>
                  <w:r>
                    <w:rPr>
                      <w:color w:val="auto"/>
                      <w:sz w:val="21"/>
                      <w:szCs w:val="21"/>
                      <w:highlight w:val="none"/>
                    </w:rPr>
                    <w:t>［20</w:t>
                  </w:r>
                  <w:r>
                    <w:rPr>
                      <w:rFonts w:hint="eastAsia"/>
                      <w:color w:val="auto"/>
                      <w:sz w:val="21"/>
                      <w:szCs w:val="21"/>
                      <w:highlight w:val="none"/>
                      <w:lang w:val="en-US" w:eastAsia="zh-CN"/>
                    </w:rPr>
                    <w:t>1</w:t>
                  </w:r>
                  <w:r>
                    <w:rPr>
                      <w:color w:val="auto"/>
                      <w:sz w:val="21"/>
                      <w:szCs w:val="21"/>
                      <w:highlight w:val="none"/>
                    </w:rPr>
                    <w:t>6］</w:t>
                  </w:r>
                  <w:r>
                    <w:rPr>
                      <w:rFonts w:hint="eastAsia"/>
                      <w:color w:val="auto"/>
                      <w:sz w:val="21"/>
                      <w:szCs w:val="21"/>
                      <w:highlight w:val="none"/>
                      <w:lang w:val="en-US" w:eastAsia="zh-CN"/>
                    </w:rPr>
                    <w:t>5</w:t>
                  </w:r>
                  <w:r>
                    <w:rPr>
                      <w:color w:val="auto"/>
                      <w:sz w:val="21"/>
                      <w:szCs w:val="21"/>
                      <w:highlight w:val="none"/>
                    </w:rPr>
                    <w:t>号</w:t>
                  </w:r>
                </w:p>
              </w:tc>
              <w:tc>
                <w:tcPr>
                  <w:tcW w:w="362" w:type="pct"/>
                  <w:vMerge w:val="restart"/>
                  <w:noWrap w:val="0"/>
                  <w:tcMar>
                    <w:left w:w="28" w:type="dxa"/>
                    <w:right w:w="28" w:type="dxa"/>
                  </w:tcMar>
                  <w:vAlign w:val="center"/>
                </w:tcPr>
                <w:p>
                  <w:pPr>
                    <w:adjustRightInd w:val="0"/>
                    <w:snapToGrid w:val="0"/>
                    <w:spacing w:line="240" w:lineRule="atLeast"/>
                    <w:ind w:firstLine="0" w:firstLineChars="0"/>
                    <w:jc w:val="center"/>
                    <w:rPr>
                      <w:rFonts w:hint="default" w:eastAsia="宋体"/>
                      <w:color w:val="auto"/>
                      <w:sz w:val="21"/>
                      <w:szCs w:val="21"/>
                      <w:highlight w:val="none"/>
                      <w:lang w:val="en-US" w:eastAsia="zh-CN"/>
                    </w:rPr>
                  </w:pPr>
                  <w:r>
                    <w:rPr>
                      <w:color w:val="auto"/>
                      <w:sz w:val="21"/>
                      <w:szCs w:val="21"/>
                      <w:highlight w:val="none"/>
                    </w:rPr>
                    <w:t>20</w:t>
                  </w:r>
                  <w:r>
                    <w:rPr>
                      <w:rFonts w:hint="eastAsia"/>
                      <w:color w:val="auto"/>
                      <w:sz w:val="21"/>
                      <w:szCs w:val="21"/>
                      <w:highlight w:val="none"/>
                      <w:lang w:val="en-US" w:eastAsia="zh-CN"/>
                    </w:rPr>
                    <w:t>16.6.30</w:t>
                  </w:r>
                </w:p>
              </w:tc>
              <w:tc>
                <w:tcPr>
                  <w:tcW w:w="362" w:type="pct"/>
                  <w:vMerge w:val="restart"/>
                  <w:noWrap w:val="0"/>
                  <w:tcMar>
                    <w:left w:w="28" w:type="dxa"/>
                    <w:right w:w="28" w:type="dxa"/>
                  </w:tcMar>
                  <w:vAlign w:val="center"/>
                </w:tcPr>
                <w:p>
                  <w:pPr>
                    <w:adjustRightInd w:val="0"/>
                    <w:snapToGrid w:val="0"/>
                    <w:spacing w:line="24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不包括药芯焊丝、特种电焊条</w:t>
                  </w:r>
                </w:p>
              </w:tc>
              <w:tc>
                <w:tcPr>
                  <w:tcW w:w="350" w:type="pct"/>
                  <w:vMerge w:val="restart"/>
                  <w:noWrap w:val="0"/>
                  <w:vAlign w:val="center"/>
                </w:tcPr>
                <w:p>
                  <w:pPr>
                    <w:adjustRightInd w:val="0"/>
                    <w:snapToGrid w:val="0"/>
                    <w:spacing w:line="24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正常运行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835" w:type="pct"/>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r>
                    <w:rPr>
                      <w:rFonts w:hint="eastAsia"/>
                      <w:color w:val="auto"/>
                      <w:sz w:val="21"/>
                      <w:szCs w:val="21"/>
                      <w:highlight w:val="none"/>
                      <w:lang w:eastAsia="zh-CN"/>
                    </w:rPr>
                    <w:t>湖南西姆西科技有限公司焊材制造项目环境影响评价补充说明</w:t>
                  </w:r>
                </w:p>
              </w:tc>
              <w:tc>
                <w:tcPr>
                  <w:tcW w:w="444" w:type="pct"/>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r>
                    <w:rPr>
                      <w:color w:val="auto"/>
                      <w:sz w:val="21"/>
                      <w:szCs w:val="21"/>
                      <w:highlight w:val="none"/>
                    </w:rPr>
                    <w:t>原</w:t>
                  </w:r>
                  <w:r>
                    <w:rPr>
                      <w:rFonts w:hint="eastAsia"/>
                      <w:color w:val="auto"/>
                      <w:sz w:val="21"/>
                      <w:szCs w:val="21"/>
                      <w:highlight w:val="none"/>
                      <w:lang w:eastAsia="zh-CN"/>
                    </w:rPr>
                    <w:t>岳阳市</w:t>
                  </w:r>
                  <w:r>
                    <w:rPr>
                      <w:color w:val="auto"/>
                      <w:sz w:val="21"/>
                      <w:szCs w:val="21"/>
                      <w:highlight w:val="none"/>
                    </w:rPr>
                    <w:t>环境保护局</w:t>
                  </w:r>
                </w:p>
              </w:tc>
              <w:tc>
                <w:tcPr>
                  <w:tcW w:w="576" w:type="pct"/>
                  <w:noWrap w:val="0"/>
                  <w:tcMar>
                    <w:left w:w="28" w:type="dxa"/>
                    <w:right w:w="28" w:type="dxa"/>
                  </w:tcMar>
                  <w:vAlign w:val="center"/>
                </w:tcPr>
                <w:p>
                  <w:pPr>
                    <w:adjustRightInd w:val="0"/>
                    <w:snapToGrid w:val="0"/>
                    <w:spacing w:line="24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393" w:type="pct"/>
                  <w:noWrap w:val="0"/>
                  <w:tcMar>
                    <w:left w:w="28" w:type="dxa"/>
                    <w:right w:w="28" w:type="dxa"/>
                  </w:tcMar>
                  <w:vAlign w:val="center"/>
                </w:tcPr>
                <w:p>
                  <w:pPr>
                    <w:adjustRightInd w:val="0"/>
                    <w:snapToGrid w:val="0"/>
                    <w:spacing w:line="240" w:lineRule="atLeas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2013.5.20</w:t>
                  </w:r>
                </w:p>
              </w:tc>
              <w:tc>
                <w:tcPr>
                  <w:tcW w:w="860" w:type="pct"/>
                  <w:vMerge w:val="continue"/>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p>
              </w:tc>
              <w:tc>
                <w:tcPr>
                  <w:tcW w:w="441" w:type="pct"/>
                  <w:vMerge w:val="continue"/>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p>
              </w:tc>
              <w:tc>
                <w:tcPr>
                  <w:tcW w:w="373" w:type="pct"/>
                  <w:vMerge w:val="continue"/>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p>
              </w:tc>
              <w:tc>
                <w:tcPr>
                  <w:tcW w:w="362" w:type="pct"/>
                  <w:vMerge w:val="continue"/>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p>
              </w:tc>
              <w:tc>
                <w:tcPr>
                  <w:tcW w:w="362" w:type="pct"/>
                  <w:vMerge w:val="continue"/>
                  <w:noWrap w:val="0"/>
                  <w:tcMar>
                    <w:left w:w="28" w:type="dxa"/>
                    <w:right w:w="28" w:type="dxa"/>
                  </w:tcMar>
                  <w:vAlign w:val="center"/>
                </w:tcPr>
                <w:p>
                  <w:pPr>
                    <w:adjustRightInd w:val="0"/>
                    <w:snapToGrid w:val="0"/>
                    <w:spacing w:line="240" w:lineRule="atLeast"/>
                    <w:ind w:firstLine="0" w:firstLineChars="0"/>
                    <w:jc w:val="center"/>
                    <w:rPr>
                      <w:color w:val="auto"/>
                      <w:sz w:val="21"/>
                      <w:szCs w:val="21"/>
                      <w:highlight w:val="none"/>
                    </w:rPr>
                  </w:pPr>
                </w:p>
              </w:tc>
              <w:tc>
                <w:tcPr>
                  <w:tcW w:w="350" w:type="pct"/>
                  <w:vMerge w:val="continue"/>
                  <w:noWrap w:val="0"/>
                  <w:vAlign w:val="center"/>
                </w:tcPr>
                <w:p>
                  <w:pPr>
                    <w:adjustRightInd w:val="0"/>
                    <w:snapToGrid w:val="0"/>
                    <w:spacing w:line="240" w:lineRule="atLeast"/>
                    <w:ind w:firstLine="420"/>
                    <w:jc w:val="center"/>
                    <w:rPr>
                      <w:color w:val="auto"/>
                      <w:sz w:val="21"/>
                      <w:szCs w:val="21"/>
                      <w:highlight w:val="none"/>
                    </w:rPr>
                  </w:pPr>
                </w:p>
              </w:tc>
            </w:tr>
          </w:tbl>
          <w:p>
            <w:pPr>
              <w:spacing w:line="360" w:lineRule="auto"/>
              <w:ind w:firstLine="482" w:firstLineChars="200"/>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三、排污许可执行情况</w:t>
            </w:r>
          </w:p>
          <w:p>
            <w:pPr>
              <w:numPr>
                <w:ilvl w:val="0"/>
                <w:numId w:val="0"/>
              </w:numPr>
              <w:spacing w:line="360" w:lineRule="auto"/>
              <w:ind w:firstLine="480" w:firstLineChars="200"/>
              <w:rPr>
                <w:rFonts w:hint="eastAsia"/>
                <w:b/>
                <w:bCs/>
                <w:color w:val="auto"/>
                <w:sz w:val="24"/>
                <w:szCs w:val="24"/>
                <w:u w:val="none"/>
              </w:rPr>
            </w:pPr>
            <w:r>
              <w:rPr>
                <w:rFonts w:hint="eastAsia" w:ascii="Times New Roman" w:hAnsi="Times New Roman" w:eastAsia="宋体" w:cs="Times New Roman"/>
                <w:b w:val="0"/>
                <w:bCs/>
                <w:color w:val="auto"/>
                <w:sz w:val="24"/>
                <w:szCs w:val="24"/>
                <w:highlight w:val="none"/>
                <w:u w:val="none" w:color="auto"/>
                <w:lang w:val="en-US" w:eastAsia="zh-CN"/>
              </w:rPr>
              <w:t>湖南西姆西科技有限公司</w:t>
            </w:r>
            <w:r>
              <w:rPr>
                <w:rFonts w:hint="eastAsia" w:ascii="Times New Roman" w:hAnsi="Times New Roman" w:cs="Times New Roman"/>
                <w:b w:val="0"/>
                <w:bCs/>
                <w:color w:val="auto"/>
                <w:sz w:val="24"/>
                <w:szCs w:val="24"/>
                <w:highlight w:val="none"/>
                <w:u w:val="none" w:color="auto"/>
                <w:lang w:val="en-US" w:eastAsia="zh-CN"/>
              </w:rPr>
              <w:t>于</w:t>
            </w:r>
            <w:r>
              <w:rPr>
                <w:rFonts w:hint="eastAsia" w:cs="Times New Roman"/>
                <w:b w:val="0"/>
                <w:bCs/>
                <w:color w:val="auto"/>
                <w:sz w:val="24"/>
                <w:szCs w:val="24"/>
                <w:highlight w:val="none"/>
                <w:u w:val="none" w:color="auto"/>
                <w:lang w:val="en-US" w:eastAsia="zh-CN"/>
              </w:rPr>
              <w:t>2020</w:t>
            </w:r>
            <w:r>
              <w:rPr>
                <w:rFonts w:hint="eastAsia" w:ascii="Times New Roman" w:hAnsi="Times New Roman" w:eastAsia="宋体" w:cs="Times New Roman"/>
                <w:b w:val="0"/>
                <w:bCs/>
                <w:color w:val="auto"/>
                <w:sz w:val="24"/>
                <w:szCs w:val="24"/>
                <w:highlight w:val="none"/>
                <w:u w:val="none" w:color="auto"/>
                <w:lang w:val="en-US" w:eastAsia="zh-CN"/>
              </w:rPr>
              <w:t>年</w:t>
            </w:r>
            <w:r>
              <w:rPr>
                <w:rFonts w:hint="eastAsia" w:cs="Times New Roman"/>
                <w:b w:val="0"/>
                <w:bCs/>
                <w:color w:val="auto"/>
                <w:sz w:val="24"/>
                <w:szCs w:val="24"/>
                <w:highlight w:val="none"/>
                <w:u w:val="none" w:color="auto"/>
                <w:lang w:val="en-US" w:eastAsia="zh-CN"/>
              </w:rPr>
              <w:t>6</w:t>
            </w:r>
            <w:r>
              <w:rPr>
                <w:rFonts w:hint="eastAsia" w:ascii="Times New Roman" w:hAnsi="Times New Roman" w:eastAsia="宋体" w:cs="Times New Roman"/>
                <w:b w:val="0"/>
                <w:bCs/>
                <w:color w:val="auto"/>
                <w:sz w:val="24"/>
                <w:szCs w:val="24"/>
                <w:highlight w:val="none"/>
                <w:u w:val="none" w:color="auto"/>
                <w:lang w:val="en-US" w:eastAsia="zh-CN"/>
              </w:rPr>
              <w:t>月1</w:t>
            </w:r>
            <w:r>
              <w:rPr>
                <w:rFonts w:hint="eastAsia" w:cs="Times New Roman"/>
                <w:b w:val="0"/>
                <w:bCs/>
                <w:color w:val="auto"/>
                <w:sz w:val="24"/>
                <w:szCs w:val="24"/>
                <w:highlight w:val="none"/>
                <w:u w:val="none" w:color="auto"/>
                <w:lang w:val="en-US" w:eastAsia="zh-CN"/>
              </w:rPr>
              <w:t>7</w:t>
            </w:r>
            <w:r>
              <w:rPr>
                <w:rFonts w:hint="eastAsia" w:ascii="Times New Roman" w:hAnsi="Times New Roman" w:eastAsia="宋体" w:cs="Times New Roman"/>
                <w:b w:val="0"/>
                <w:bCs/>
                <w:color w:val="auto"/>
                <w:sz w:val="24"/>
                <w:szCs w:val="24"/>
                <w:highlight w:val="none"/>
                <w:u w:val="none" w:color="auto"/>
                <w:lang w:val="en-US" w:eastAsia="zh-CN"/>
              </w:rPr>
              <w:t>日办理排污许可证编号91430624587039878W001Q</w:t>
            </w:r>
            <w:r>
              <w:rPr>
                <w:rFonts w:hint="eastAsia" w:cs="Times New Roman"/>
                <w:b w:val="0"/>
                <w:bCs/>
                <w:color w:val="auto"/>
                <w:sz w:val="24"/>
                <w:szCs w:val="24"/>
                <w:highlight w:val="none"/>
                <w:u w:val="none" w:color="auto"/>
                <w:lang w:val="en-US" w:eastAsia="zh-CN"/>
              </w:rPr>
              <w:t>，</w:t>
            </w:r>
            <w:r>
              <w:rPr>
                <w:rFonts w:hint="eastAsia" w:ascii="Times New Roman" w:hAnsi="Times New Roman" w:eastAsia="宋体" w:cs="Times New Roman"/>
                <w:b w:val="0"/>
                <w:bCs/>
                <w:color w:val="auto"/>
                <w:sz w:val="24"/>
                <w:szCs w:val="24"/>
                <w:highlight w:val="none"/>
                <w:u w:val="none" w:color="auto"/>
                <w:lang w:val="en-US" w:eastAsia="zh-CN"/>
              </w:rPr>
              <w:t>于2023年6月17日</w:t>
            </w:r>
            <w:r>
              <w:rPr>
                <w:rFonts w:hint="eastAsia" w:cs="Times New Roman"/>
                <w:b w:val="0"/>
                <w:bCs/>
                <w:color w:val="auto"/>
                <w:sz w:val="24"/>
                <w:szCs w:val="24"/>
                <w:highlight w:val="none"/>
                <w:u w:val="none" w:color="auto"/>
                <w:lang w:val="en-US" w:eastAsia="zh-CN"/>
              </w:rPr>
              <w:t>变更</w:t>
            </w:r>
            <w:r>
              <w:rPr>
                <w:rFonts w:hint="eastAsia" w:ascii="Times New Roman" w:hAnsi="Times New Roman" w:eastAsia="宋体" w:cs="Times New Roman"/>
                <w:b w:val="0"/>
                <w:bCs/>
                <w:color w:val="auto"/>
                <w:sz w:val="24"/>
                <w:szCs w:val="24"/>
                <w:highlight w:val="none"/>
                <w:u w:val="none" w:color="auto"/>
                <w:lang w:val="en-US" w:eastAsia="zh-CN"/>
              </w:rPr>
              <w:t>排污许可证，</w:t>
            </w:r>
            <w:r>
              <w:rPr>
                <w:rFonts w:hint="eastAsia" w:cs="Times New Roman"/>
                <w:b w:val="0"/>
                <w:bCs/>
                <w:color w:val="auto"/>
                <w:sz w:val="24"/>
                <w:szCs w:val="24"/>
                <w:highlight w:val="none"/>
                <w:u w:val="none" w:color="auto"/>
                <w:lang w:val="en-US" w:eastAsia="zh-CN"/>
              </w:rPr>
              <w:t>企业</w:t>
            </w:r>
            <w:r>
              <w:rPr>
                <w:rFonts w:hint="eastAsia" w:ascii="Times New Roman" w:hAnsi="Times New Roman" w:eastAsia="宋体" w:cs="Times New Roman"/>
                <w:b w:val="0"/>
                <w:bCs/>
                <w:color w:val="auto"/>
                <w:sz w:val="24"/>
                <w:szCs w:val="24"/>
                <w:highlight w:val="none"/>
                <w:u w:val="none" w:color="auto"/>
                <w:lang w:val="en-US" w:eastAsia="zh-CN"/>
              </w:rPr>
              <w:t>不属于非法排污企业。</w:t>
            </w:r>
            <w:r>
              <w:rPr>
                <w:rStyle w:val="35"/>
                <w:rFonts w:hint="eastAsia" w:ascii="Times New Roman" w:hAnsi="Times New Roman" w:eastAsia="宋体" w:cs="Times New Roman"/>
                <w:b w:val="0"/>
                <w:color w:val="auto"/>
                <w:kern w:val="0"/>
                <w:sz w:val="24"/>
                <w:szCs w:val="24"/>
                <w:highlight w:val="none"/>
                <w:u w:val="none" w:color="auto"/>
                <w:lang w:eastAsia="zh-CN"/>
              </w:rPr>
              <w:t>已按排污许可要求进行</w:t>
            </w:r>
            <w:r>
              <w:rPr>
                <w:rStyle w:val="35"/>
                <w:rFonts w:hint="eastAsia" w:ascii="Times New Roman" w:hAnsi="Times New Roman" w:eastAsia="宋体" w:cs="Times New Roman"/>
                <w:b w:val="0"/>
                <w:color w:val="auto"/>
                <w:kern w:val="0"/>
                <w:sz w:val="24"/>
                <w:szCs w:val="24"/>
                <w:highlight w:val="none"/>
                <w:u w:val="none" w:color="auto"/>
                <w:lang w:val="en-US" w:eastAsia="zh-CN"/>
              </w:rPr>
              <w:t>202</w:t>
            </w:r>
            <w:r>
              <w:rPr>
                <w:rStyle w:val="35"/>
                <w:rFonts w:hint="eastAsia" w:cs="Times New Roman"/>
                <w:b w:val="0"/>
                <w:color w:val="auto"/>
                <w:kern w:val="0"/>
                <w:sz w:val="24"/>
                <w:szCs w:val="24"/>
                <w:highlight w:val="none"/>
                <w:u w:val="none" w:color="auto"/>
                <w:lang w:val="en-US" w:eastAsia="zh-CN"/>
              </w:rPr>
              <w:t>3</w:t>
            </w:r>
            <w:r>
              <w:rPr>
                <w:rStyle w:val="35"/>
                <w:rFonts w:hint="eastAsia" w:ascii="Times New Roman" w:hAnsi="Times New Roman" w:eastAsia="宋体" w:cs="Times New Roman"/>
                <w:b w:val="0"/>
                <w:color w:val="auto"/>
                <w:kern w:val="0"/>
                <w:sz w:val="24"/>
                <w:szCs w:val="24"/>
                <w:highlight w:val="none"/>
                <w:u w:val="none" w:color="auto"/>
                <w:lang w:val="en-US" w:eastAsia="zh-CN"/>
              </w:rPr>
              <w:t>年度</w:t>
            </w:r>
            <w:r>
              <w:rPr>
                <w:rStyle w:val="35"/>
                <w:rFonts w:hint="default" w:ascii="Times New Roman" w:hAnsi="Times New Roman" w:eastAsia="宋体" w:cs="Times New Roman"/>
                <w:b w:val="0"/>
                <w:color w:val="auto"/>
                <w:kern w:val="0"/>
                <w:sz w:val="24"/>
                <w:szCs w:val="24"/>
                <w:highlight w:val="none"/>
                <w:u w:val="none" w:color="auto"/>
              </w:rPr>
              <w:t>执行报告</w:t>
            </w:r>
            <w:r>
              <w:rPr>
                <w:rStyle w:val="35"/>
                <w:rFonts w:hint="eastAsia" w:ascii="Times New Roman" w:hAnsi="Times New Roman" w:eastAsia="宋体" w:cs="Times New Roman"/>
                <w:b w:val="0"/>
                <w:bCs w:val="0"/>
                <w:color w:val="auto"/>
                <w:kern w:val="0"/>
                <w:sz w:val="24"/>
                <w:szCs w:val="24"/>
                <w:highlight w:val="none"/>
                <w:u w:val="none" w:color="auto"/>
                <w:lang w:eastAsia="zh-CN"/>
              </w:rPr>
              <w:t>。已按排污许可证自行监测方案，对废水排放口、厂区无组织进行监测</w:t>
            </w:r>
            <w:r>
              <w:rPr>
                <w:rStyle w:val="35"/>
                <w:rFonts w:hint="eastAsia" w:ascii="Times New Roman" w:hAnsi="Times New Roman" w:eastAsia="宋体" w:cs="Times New Roman"/>
                <w:b w:val="0"/>
                <w:bCs w:val="0"/>
                <w:color w:val="auto"/>
                <w:kern w:val="0"/>
                <w:sz w:val="24"/>
                <w:szCs w:val="24"/>
                <w:highlight w:val="none"/>
                <w:u w:val="none" w:color="auto"/>
                <w:lang w:val="en-US" w:eastAsia="zh-CN"/>
              </w:rPr>
              <w:t>。</w:t>
            </w:r>
          </w:p>
          <w:p>
            <w:pPr>
              <w:numPr>
                <w:ilvl w:val="0"/>
                <w:numId w:val="0"/>
              </w:numPr>
              <w:spacing w:line="360" w:lineRule="auto"/>
              <w:ind w:firstLine="482" w:firstLineChars="200"/>
              <w:rPr>
                <w:rFonts w:hint="eastAsia" w:cs="Times New Roman"/>
                <w:b/>
                <w:bCs/>
                <w:color w:val="auto"/>
                <w:sz w:val="24"/>
                <w:szCs w:val="24"/>
                <w:u w:val="single"/>
                <w:lang w:val="en-US" w:eastAsia="zh-CN"/>
              </w:rPr>
            </w:pPr>
            <w:r>
              <w:rPr>
                <w:rFonts w:hint="eastAsia" w:cs="Times New Roman"/>
                <w:b/>
                <w:bCs/>
                <w:color w:val="auto"/>
                <w:sz w:val="24"/>
                <w:szCs w:val="24"/>
                <w:u w:val="single"/>
                <w:lang w:val="en-US" w:eastAsia="zh-CN"/>
              </w:rPr>
              <w:t>四、现有工程建设规模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32"/>
                <w:lang w:eastAsia="zh-CN"/>
              </w:rPr>
            </w:pPr>
            <w:r>
              <w:rPr>
                <w:rFonts w:ascii="Times New Roman" w:hAnsi="Times New Roman" w:eastAsia="宋体" w:cs="Times New Roman"/>
                <w:b/>
                <w:bCs/>
                <w:color w:val="auto"/>
                <w:sz w:val="24"/>
                <w:szCs w:val="32"/>
              </w:rPr>
              <w:t>表2.1</w:t>
            </w:r>
            <w:r>
              <w:rPr>
                <w:rFonts w:hint="eastAsia" w:ascii="Times New Roman" w:hAnsi="Times New Roman" w:eastAsia="宋体" w:cs="Times New Roman"/>
                <w:b/>
                <w:bCs/>
                <w:color w:val="auto"/>
                <w:sz w:val="24"/>
                <w:szCs w:val="32"/>
                <w:lang w:val="en-US" w:eastAsia="zh-CN"/>
              </w:rPr>
              <w:t>0</w:t>
            </w:r>
            <w:r>
              <w:rPr>
                <w:rFonts w:ascii="Times New Roman" w:hAnsi="Times New Roman" w:eastAsia="宋体" w:cs="Times New Roman"/>
                <w:b/>
                <w:bCs/>
                <w:color w:val="auto"/>
                <w:sz w:val="24"/>
                <w:szCs w:val="32"/>
              </w:rPr>
              <w:t>-</w:t>
            </w:r>
            <w:r>
              <w:rPr>
                <w:rFonts w:hint="eastAsia" w:ascii="Times New Roman" w:hAnsi="Times New Roman" w:eastAsia="宋体" w:cs="Times New Roman"/>
                <w:b/>
                <w:bCs/>
                <w:color w:val="auto"/>
                <w:sz w:val="24"/>
                <w:szCs w:val="32"/>
                <w:lang w:val="en-US" w:eastAsia="zh-CN"/>
              </w:rPr>
              <w:t>2</w:t>
            </w:r>
            <w:r>
              <w:rPr>
                <w:rFonts w:ascii="Times New Roman" w:hAnsi="Times New Roman" w:eastAsia="宋体" w:cs="Times New Roman"/>
                <w:b/>
                <w:bCs/>
                <w:color w:val="auto"/>
                <w:sz w:val="24"/>
                <w:szCs w:val="32"/>
              </w:rPr>
              <w:t xml:space="preserve">  </w:t>
            </w:r>
            <w:r>
              <w:rPr>
                <w:rFonts w:hint="eastAsia" w:ascii="Times New Roman" w:hAnsi="Times New Roman" w:eastAsia="宋体" w:cs="Times New Roman"/>
                <w:b/>
                <w:bCs/>
                <w:color w:val="auto"/>
                <w:sz w:val="24"/>
                <w:szCs w:val="32"/>
                <w:lang w:eastAsia="zh-CN"/>
              </w:rPr>
              <w:t>现有</w:t>
            </w:r>
            <w:r>
              <w:rPr>
                <w:rFonts w:hint="eastAsia" w:cs="Times New Roman"/>
                <w:b/>
                <w:bCs/>
                <w:color w:val="auto"/>
                <w:sz w:val="24"/>
                <w:szCs w:val="32"/>
                <w:lang w:eastAsia="zh-CN"/>
              </w:rPr>
              <w:t>工程</w:t>
            </w:r>
            <w:r>
              <w:rPr>
                <w:rFonts w:hint="eastAsia" w:ascii="Times New Roman" w:hAnsi="Times New Roman" w:eastAsia="宋体" w:cs="Times New Roman"/>
                <w:b/>
                <w:bCs/>
                <w:color w:val="auto"/>
                <w:sz w:val="24"/>
                <w:szCs w:val="32"/>
                <w:lang w:eastAsia="zh-CN"/>
              </w:rPr>
              <w:t>实际</w:t>
            </w:r>
            <w:r>
              <w:rPr>
                <w:rFonts w:ascii="Times New Roman" w:hAnsi="Times New Roman" w:eastAsia="宋体" w:cs="Times New Roman"/>
                <w:b/>
                <w:bCs/>
                <w:color w:val="auto"/>
                <w:sz w:val="24"/>
                <w:szCs w:val="32"/>
              </w:rPr>
              <w:t>产品量</w:t>
            </w:r>
            <w:r>
              <w:rPr>
                <w:rFonts w:hint="eastAsia" w:ascii="Times New Roman" w:hAnsi="Times New Roman" w:eastAsia="宋体" w:cs="Times New Roman"/>
                <w:b/>
                <w:bCs/>
                <w:color w:val="auto"/>
                <w:sz w:val="24"/>
                <w:szCs w:val="32"/>
                <w:lang w:eastAsia="zh-CN"/>
              </w:rPr>
              <w:t>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2641"/>
              <w:gridCol w:w="1481"/>
              <w:gridCol w:w="148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pPr>
                    <w:autoSpaceDE w:val="0"/>
                    <w:autoSpaceDN w:val="0"/>
                    <w:adjustRightInd w:val="0"/>
                    <w:snapToGrid w:val="0"/>
                    <w:spacing w:line="400" w:lineRule="exact"/>
                    <w:jc w:val="center"/>
                    <w:rPr>
                      <w:b/>
                      <w:bCs/>
                      <w:color w:val="auto"/>
                      <w:sz w:val="21"/>
                      <w:szCs w:val="21"/>
                      <w:lang w:val="zh-CN"/>
                    </w:rPr>
                  </w:pPr>
                  <w:r>
                    <w:rPr>
                      <w:rFonts w:hAnsi="宋体"/>
                      <w:b/>
                      <w:bCs/>
                      <w:color w:val="auto"/>
                      <w:sz w:val="21"/>
                      <w:szCs w:val="21"/>
                      <w:lang w:val="zh-CN"/>
                    </w:rPr>
                    <w:t>序号</w:t>
                  </w:r>
                </w:p>
              </w:tc>
              <w:tc>
                <w:tcPr>
                  <w:tcW w:w="2569" w:type="dxa"/>
                  <w:noWrap w:val="0"/>
                  <w:vAlign w:val="center"/>
                </w:tcPr>
                <w:p>
                  <w:pPr>
                    <w:autoSpaceDE w:val="0"/>
                    <w:autoSpaceDN w:val="0"/>
                    <w:adjustRightInd w:val="0"/>
                    <w:snapToGrid w:val="0"/>
                    <w:spacing w:line="400" w:lineRule="exact"/>
                    <w:jc w:val="center"/>
                    <w:rPr>
                      <w:b/>
                      <w:bCs/>
                      <w:color w:val="auto"/>
                      <w:sz w:val="21"/>
                      <w:szCs w:val="21"/>
                      <w:lang w:val="zh-CN"/>
                    </w:rPr>
                  </w:pPr>
                  <w:r>
                    <w:rPr>
                      <w:rFonts w:hAnsi="宋体"/>
                      <w:b/>
                      <w:bCs/>
                      <w:color w:val="auto"/>
                      <w:sz w:val="21"/>
                      <w:szCs w:val="21"/>
                      <w:lang w:val="zh-CN"/>
                    </w:rPr>
                    <w:t>产品品种</w:t>
                  </w:r>
                </w:p>
              </w:tc>
              <w:tc>
                <w:tcPr>
                  <w:tcW w:w="1441" w:type="dxa"/>
                  <w:noWrap w:val="0"/>
                  <w:vAlign w:val="center"/>
                </w:tcPr>
                <w:p>
                  <w:pPr>
                    <w:autoSpaceDE w:val="0"/>
                    <w:autoSpaceDN w:val="0"/>
                    <w:adjustRightInd w:val="0"/>
                    <w:snapToGrid w:val="0"/>
                    <w:spacing w:line="400" w:lineRule="exact"/>
                    <w:jc w:val="center"/>
                    <w:rPr>
                      <w:b/>
                      <w:bCs/>
                      <w:color w:val="auto"/>
                      <w:sz w:val="21"/>
                      <w:szCs w:val="21"/>
                      <w:lang w:val="zh-CN"/>
                    </w:rPr>
                  </w:pPr>
                  <w:r>
                    <w:rPr>
                      <w:rFonts w:hAnsi="宋体"/>
                      <w:b/>
                      <w:bCs/>
                      <w:color w:val="auto"/>
                      <w:sz w:val="21"/>
                      <w:szCs w:val="21"/>
                      <w:lang w:val="zh-CN"/>
                    </w:rPr>
                    <w:t>单位</w:t>
                  </w:r>
                </w:p>
              </w:tc>
              <w:tc>
                <w:tcPr>
                  <w:tcW w:w="1441" w:type="dxa"/>
                  <w:noWrap w:val="0"/>
                  <w:vAlign w:val="center"/>
                </w:tcPr>
                <w:p>
                  <w:pPr>
                    <w:autoSpaceDE w:val="0"/>
                    <w:autoSpaceDN w:val="0"/>
                    <w:adjustRightInd w:val="0"/>
                    <w:snapToGrid w:val="0"/>
                    <w:spacing w:line="400" w:lineRule="exact"/>
                    <w:jc w:val="center"/>
                    <w:rPr>
                      <w:b/>
                      <w:bCs/>
                      <w:color w:val="auto"/>
                      <w:sz w:val="21"/>
                      <w:szCs w:val="21"/>
                      <w:lang w:val="zh-CN"/>
                    </w:rPr>
                  </w:pPr>
                  <w:r>
                    <w:rPr>
                      <w:rFonts w:hAnsi="宋体"/>
                      <w:b/>
                      <w:bCs/>
                      <w:color w:val="auto"/>
                      <w:sz w:val="21"/>
                      <w:szCs w:val="21"/>
                      <w:lang w:val="zh-CN"/>
                    </w:rPr>
                    <w:t>数量</w:t>
                  </w:r>
                </w:p>
              </w:tc>
              <w:tc>
                <w:tcPr>
                  <w:tcW w:w="2292" w:type="dxa"/>
                  <w:noWrap w:val="0"/>
                  <w:vAlign w:val="center"/>
                </w:tcPr>
                <w:p>
                  <w:pPr>
                    <w:autoSpaceDE w:val="0"/>
                    <w:autoSpaceDN w:val="0"/>
                    <w:adjustRightInd w:val="0"/>
                    <w:snapToGrid w:val="0"/>
                    <w:spacing w:line="400" w:lineRule="exact"/>
                    <w:jc w:val="center"/>
                    <w:rPr>
                      <w:b/>
                      <w:bCs/>
                      <w:color w:val="auto"/>
                      <w:sz w:val="21"/>
                      <w:szCs w:val="21"/>
                      <w:lang w:val="zh-CN"/>
                    </w:rPr>
                  </w:pPr>
                  <w:r>
                    <w:rPr>
                      <w:rFonts w:hAnsi="宋体"/>
                      <w:b/>
                      <w:bCs/>
                      <w:color w:val="auto"/>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1</w:t>
                  </w:r>
                </w:p>
              </w:tc>
              <w:tc>
                <w:tcPr>
                  <w:tcW w:w="2569"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气保焊丝</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万</w:t>
                  </w:r>
                  <w:r>
                    <w:rPr>
                      <w:color w:val="auto"/>
                      <w:sz w:val="21"/>
                      <w:szCs w:val="21"/>
                      <w:lang w:val="zh-CN"/>
                    </w:rPr>
                    <w:t>t/a</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8</w:t>
                  </w:r>
                </w:p>
              </w:tc>
              <w:tc>
                <w:tcPr>
                  <w:tcW w:w="2292" w:type="dxa"/>
                  <w:vMerge w:val="restart"/>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焊丝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2</w:t>
                  </w:r>
                </w:p>
              </w:tc>
              <w:tc>
                <w:tcPr>
                  <w:tcW w:w="2569"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高强钢焊丝</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万</w:t>
                  </w:r>
                  <w:r>
                    <w:rPr>
                      <w:color w:val="auto"/>
                      <w:sz w:val="21"/>
                      <w:szCs w:val="21"/>
                      <w:lang w:val="zh-CN"/>
                    </w:rPr>
                    <w:t>t/a</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0.1</w:t>
                  </w:r>
                </w:p>
              </w:tc>
              <w:tc>
                <w:tcPr>
                  <w:tcW w:w="2292" w:type="dxa"/>
                  <w:vMerge w:val="continue"/>
                  <w:noWrap w:val="0"/>
                  <w:vAlign w:val="center"/>
                </w:tcPr>
                <w:p>
                  <w:pPr>
                    <w:autoSpaceDE w:val="0"/>
                    <w:autoSpaceDN w:val="0"/>
                    <w:adjustRightInd w:val="0"/>
                    <w:snapToGrid w:val="0"/>
                    <w:spacing w:line="400" w:lineRule="exact"/>
                    <w:jc w:val="center"/>
                    <w:rPr>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3</w:t>
                  </w:r>
                </w:p>
              </w:tc>
              <w:tc>
                <w:tcPr>
                  <w:tcW w:w="2569"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埋弧焊丝</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万</w:t>
                  </w:r>
                  <w:r>
                    <w:rPr>
                      <w:color w:val="auto"/>
                      <w:sz w:val="21"/>
                      <w:szCs w:val="21"/>
                      <w:lang w:val="zh-CN"/>
                    </w:rPr>
                    <w:t>t/a</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0.6</w:t>
                  </w:r>
                </w:p>
              </w:tc>
              <w:tc>
                <w:tcPr>
                  <w:tcW w:w="2292" w:type="dxa"/>
                  <w:vMerge w:val="continue"/>
                  <w:noWrap w:val="0"/>
                  <w:vAlign w:val="center"/>
                </w:tcPr>
                <w:p>
                  <w:pPr>
                    <w:autoSpaceDE w:val="0"/>
                    <w:autoSpaceDN w:val="0"/>
                    <w:adjustRightInd w:val="0"/>
                    <w:snapToGrid w:val="0"/>
                    <w:spacing w:line="400" w:lineRule="exact"/>
                    <w:jc w:val="center"/>
                    <w:rPr>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4</w:t>
                  </w:r>
                </w:p>
              </w:tc>
              <w:tc>
                <w:tcPr>
                  <w:tcW w:w="2569"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不锈钢焊丝</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万</w:t>
                  </w:r>
                  <w:r>
                    <w:rPr>
                      <w:color w:val="auto"/>
                      <w:sz w:val="21"/>
                      <w:szCs w:val="21"/>
                      <w:lang w:val="zh-CN"/>
                    </w:rPr>
                    <w:t>t/a</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0.1</w:t>
                  </w:r>
                </w:p>
              </w:tc>
              <w:tc>
                <w:tcPr>
                  <w:tcW w:w="2292" w:type="dxa"/>
                  <w:vMerge w:val="continue"/>
                  <w:noWrap w:val="0"/>
                  <w:vAlign w:val="center"/>
                </w:tcPr>
                <w:p>
                  <w:pPr>
                    <w:autoSpaceDE w:val="0"/>
                    <w:autoSpaceDN w:val="0"/>
                    <w:adjustRightInd w:val="0"/>
                    <w:snapToGrid w:val="0"/>
                    <w:spacing w:line="400" w:lineRule="exact"/>
                    <w:jc w:val="center"/>
                    <w:rPr>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5</w:t>
                  </w:r>
                </w:p>
              </w:tc>
              <w:tc>
                <w:tcPr>
                  <w:tcW w:w="2569"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铝焊丝</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rFonts w:hAnsi="宋体"/>
                      <w:color w:val="auto"/>
                      <w:sz w:val="21"/>
                      <w:szCs w:val="21"/>
                      <w:lang w:val="zh-CN"/>
                    </w:rPr>
                    <w:t>万</w:t>
                  </w:r>
                  <w:r>
                    <w:rPr>
                      <w:color w:val="auto"/>
                      <w:sz w:val="21"/>
                      <w:szCs w:val="21"/>
                      <w:lang w:val="zh-CN"/>
                    </w:rPr>
                    <w:t>t/a</w:t>
                  </w:r>
                </w:p>
              </w:tc>
              <w:tc>
                <w:tcPr>
                  <w:tcW w:w="1441" w:type="dxa"/>
                  <w:noWrap w:val="0"/>
                  <w:vAlign w:val="center"/>
                </w:tcPr>
                <w:p>
                  <w:pPr>
                    <w:autoSpaceDE w:val="0"/>
                    <w:autoSpaceDN w:val="0"/>
                    <w:adjustRightInd w:val="0"/>
                    <w:snapToGrid w:val="0"/>
                    <w:spacing w:line="400" w:lineRule="exact"/>
                    <w:jc w:val="center"/>
                    <w:rPr>
                      <w:color w:val="auto"/>
                      <w:sz w:val="21"/>
                      <w:szCs w:val="21"/>
                      <w:lang w:val="zh-CN"/>
                    </w:rPr>
                  </w:pPr>
                  <w:r>
                    <w:rPr>
                      <w:color w:val="auto"/>
                      <w:sz w:val="21"/>
                      <w:szCs w:val="21"/>
                      <w:lang w:val="zh-CN"/>
                    </w:rPr>
                    <w:t>0.1</w:t>
                  </w:r>
                </w:p>
              </w:tc>
              <w:tc>
                <w:tcPr>
                  <w:tcW w:w="2292" w:type="dxa"/>
                  <w:vMerge w:val="continue"/>
                  <w:noWrap w:val="0"/>
                  <w:vAlign w:val="center"/>
                </w:tcPr>
                <w:p>
                  <w:pPr>
                    <w:autoSpaceDE w:val="0"/>
                    <w:autoSpaceDN w:val="0"/>
                    <w:adjustRightInd w:val="0"/>
                    <w:snapToGrid w:val="0"/>
                    <w:spacing w:line="400" w:lineRule="exact"/>
                    <w:jc w:val="center"/>
                    <w:rPr>
                      <w:color w:val="auto"/>
                      <w:sz w:val="21"/>
                      <w:szCs w:val="21"/>
                      <w:lang w:val="zh-CN"/>
                    </w:rPr>
                  </w:pPr>
                </w:p>
              </w:tc>
            </w:tr>
          </w:tbl>
          <w:p>
            <w:pPr>
              <w:numPr>
                <w:ilvl w:val="0"/>
                <w:numId w:val="21"/>
              </w:numPr>
              <w:spacing w:line="360" w:lineRule="auto"/>
              <w:ind w:firstLine="482" w:firstLineChars="200"/>
              <w:rPr>
                <w:rFonts w:hint="eastAsia" w:cs="Times New Roman"/>
                <w:b/>
                <w:bCs/>
                <w:color w:val="auto"/>
                <w:sz w:val="24"/>
                <w:szCs w:val="24"/>
                <w:u w:val="single"/>
                <w:lang w:val="en-US" w:eastAsia="zh-CN"/>
              </w:rPr>
            </w:pPr>
            <w:r>
              <w:rPr>
                <w:rFonts w:hint="eastAsia" w:cs="Times New Roman"/>
                <w:b/>
                <w:bCs/>
                <w:color w:val="auto"/>
                <w:sz w:val="24"/>
                <w:szCs w:val="24"/>
                <w:u w:val="single"/>
                <w:lang w:val="en-US" w:eastAsia="zh-CN"/>
              </w:rPr>
              <w:t>建设内容</w:t>
            </w:r>
          </w:p>
          <w:p>
            <w:pPr>
              <w:pStyle w:val="60"/>
              <w:bidi w:val="0"/>
              <w:spacing w:line="240" w:lineRule="auto"/>
              <w:rPr>
                <w:color w:val="auto"/>
                <w:sz w:val="24"/>
                <w:szCs w:val="24"/>
                <w:highlight w:val="none"/>
                <w:u w:val="single"/>
              </w:rPr>
            </w:pPr>
            <w:r>
              <w:rPr>
                <w:color w:val="auto"/>
                <w:sz w:val="24"/>
                <w:szCs w:val="24"/>
                <w:highlight w:val="none"/>
                <w:u w:val="single"/>
              </w:rPr>
              <w:t>表</w:t>
            </w:r>
            <w:r>
              <w:rPr>
                <w:rFonts w:hint="eastAsia"/>
                <w:color w:val="auto"/>
                <w:sz w:val="24"/>
                <w:szCs w:val="24"/>
                <w:highlight w:val="none"/>
                <w:u w:val="single"/>
              </w:rPr>
              <w:t>2</w:t>
            </w:r>
            <w:r>
              <w:rPr>
                <w:rFonts w:hint="eastAsia"/>
                <w:color w:val="auto"/>
                <w:sz w:val="24"/>
                <w:szCs w:val="24"/>
                <w:highlight w:val="none"/>
                <w:u w:val="single"/>
                <w:lang w:val="en-US" w:eastAsia="zh-CN"/>
              </w:rPr>
              <w:t>.2</w:t>
            </w:r>
            <w:r>
              <w:rPr>
                <w:color w:val="auto"/>
                <w:sz w:val="24"/>
                <w:szCs w:val="24"/>
                <w:highlight w:val="none"/>
                <w:u w:val="single"/>
              </w:rPr>
              <w:t>-1</w:t>
            </w:r>
            <w:r>
              <w:rPr>
                <w:rFonts w:hint="eastAsia"/>
                <w:color w:val="auto"/>
                <w:sz w:val="24"/>
                <w:szCs w:val="24"/>
                <w:highlight w:val="none"/>
                <w:u w:val="single"/>
                <w:lang w:eastAsia="zh-CN"/>
              </w:rPr>
              <w:t>现有建设</w:t>
            </w:r>
            <w:r>
              <w:rPr>
                <w:color w:val="auto"/>
                <w:sz w:val="24"/>
                <w:szCs w:val="24"/>
                <w:highlight w:val="none"/>
                <w:u w:val="single"/>
              </w:rPr>
              <w:t>内容一览表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980"/>
              <w:gridCol w:w="1144"/>
              <w:gridCol w:w="6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b/>
                      <w:color w:val="auto"/>
                      <w:kern w:val="2"/>
                      <w:sz w:val="21"/>
                      <w:szCs w:val="21"/>
                      <w:highlight w:val="none"/>
                      <w:u w:val="single"/>
                    </w:rPr>
                  </w:pPr>
                  <w:r>
                    <w:rPr>
                      <w:rFonts w:hint="eastAsia"/>
                      <w:b/>
                      <w:color w:val="auto"/>
                      <w:kern w:val="2"/>
                      <w:sz w:val="21"/>
                      <w:szCs w:val="21"/>
                      <w:highlight w:val="none"/>
                      <w:u w:val="single"/>
                    </w:rPr>
                    <w:t>类别</w:t>
                  </w: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b/>
                      <w:color w:val="auto"/>
                      <w:kern w:val="2"/>
                      <w:sz w:val="21"/>
                      <w:szCs w:val="21"/>
                      <w:highlight w:val="none"/>
                      <w:u w:val="single"/>
                    </w:rPr>
                  </w:pPr>
                  <w:r>
                    <w:rPr>
                      <w:rFonts w:hint="eastAsia"/>
                      <w:b/>
                      <w:color w:val="auto"/>
                      <w:kern w:val="2"/>
                      <w:sz w:val="21"/>
                      <w:szCs w:val="21"/>
                      <w:highlight w:val="none"/>
                      <w:u w:val="single"/>
                    </w:rPr>
                    <w:t>工程名称</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b/>
                      <w:color w:val="auto"/>
                      <w:kern w:val="2"/>
                      <w:sz w:val="21"/>
                      <w:szCs w:val="21"/>
                      <w:highlight w:val="none"/>
                      <w:u w:val="single"/>
                      <w:lang w:eastAsia="zh-CN"/>
                    </w:rPr>
                  </w:pPr>
                  <w:r>
                    <w:rPr>
                      <w:rFonts w:hint="eastAsia"/>
                      <w:b/>
                      <w:color w:val="auto"/>
                      <w:kern w:val="2"/>
                      <w:sz w:val="21"/>
                      <w:szCs w:val="21"/>
                      <w:highlight w:val="none"/>
                      <w:u w:val="single"/>
                      <w:lang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kern w:val="2"/>
                      <w:sz w:val="21"/>
                      <w:szCs w:val="21"/>
                      <w:u w:val="single"/>
                    </w:rPr>
                  </w:pPr>
                  <w:r>
                    <w:rPr>
                      <w:rFonts w:hint="eastAsia"/>
                      <w:color w:val="auto"/>
                      <w:kern w:val="2"/>
                      <w:sz w:val="21"/>
                      <w:szCs w:val="21"/>
                      <w:u w:val="single"/>
                    </w:rPr>
                    <w:t>主体工程</w:t>
                  </w:r>
                </w:p>
              </w:tc>
              <w:tc>
                <w:tcPr>
                  <w:tcW w:w="980"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single"/>
                      <w:lang w:eastAsia="zh-CN"/>
                    </w:rPr>
                  </w:pPr>
                  <w:r>
                    <w:rPr>
                      <w:rFonts w:hint="eastAsia"/>
                      <w:color w:val="auto"/>
                      <w:sz w:val="21"/>
                      <w:szCs w:val="21"/>
                      <w:u w:val="single"/>
                      <w:lang w:val="en-US" w:eastAsia="zh-CN"/>
                    </w:rPr>
                    <w:t>1#</w:t>
                  </w:r>
                  <w:r>
                    <w:rPr>
                      <w:rFonts w:hint="eastAsia"/>
                      <w:color w:val="auto"/>
                      <w:sz w:val="21"/>
                      <w:szCs w:val="21"/>
                      <w:u w:val="single"/>
                      <w:lang w:eastAsia="zh-CN"/>
                    </w:rPr>
                    <w:t>生产厂房</w:t>
                  </w:r>
                </w:p>
              </w:tc>
              <w:tc>
                <w:tcPr>
                  <w:tcW w:w="1144"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single"/>
                      <w:lang w:val="en-US" w:eastAsia="zh-CN"/>
                    </w:rPr>
                  </w:pPr>
                  <w:r>
                    <w:rPr>
                      <w:rFonts w:hint="eastAsia"/>
                      <w:color w:val="auto"/>
                      <w:sz w:val="21"/>
                      <w:szCs w:val="21"/>
                      <w:u w:val="single"/>
                      <w:lang w:val="en-US" w:eastAsia="zh-CN"/>
                    </w:rPr>
                    <w:t>不锈钢车间</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single"/>
                      <w:lang w:eastAsia="zh-CN"/>
                    </w:rPr>
                  </w:pPr>
                  <w:r>
                    <w:rPr>
                      <w:rFonts w:hint="eastAsia"/>
                      <w:color w:val="auto"/>
                      <w:kern w:val="2"/>
                      <w:sz w:val="21"/>
                      <w:szCs w:val="21"/>
                      <w:u w:val="none"/>
                      <w:lang w:eastAsia="zh-CN"/>
                    </w:rPr>
                    <w:t>1栋1</w:t>
                  </w:r>
                  <w:r>
                    <w:rPr>
                      <w:rFonts w:hint="eastAsia"/>
                      <w:color w:val="auto"/>
                      <w:kern w:val="2"/>
                      <w:sz w:val="21"/>
                      <w:szCs w:val="21"/>
                      <w:u w:val="none"/>
                      <w:lang w:val="en-US" w:eastAsia="zh-CN"/>
                    </w:rPr>
                    <w:t>F</w:t>
                  </w:r>
                  <w:r>
                    <w:rPr>
                      <w:rFonts w:hint="eastAsia"/>
                      <w:color w:val="auto"/>
                      <w:kern w:val="2"/>
                      <w:sz w:val="21"/>
                      <w:szCs w:val="21"/>
                      <w:u w:val="none"/>
                      <w:lang w:eastAsia="zh-CN"/>
                    </w:rPr>
                    <w:t>，</w:t>
                  </w:r>
                  <w:r>
                    <w:rPr>
                      <w:rFonts w:hint="eastAsia"/>
                      <w:color w:val="auto"/>
                      <w:kern w:val="2"/>
                      <w:sz w:val="21"/>
                      <w:szCs w:val="21"/>
                      <w:u w:val="none"/>
                      <w:vertAlign w:val="baseline"/>
                      <w:lang w:eastAsia="zh-CN"/>
                    </w:rPr>
                    <w:t>占地面积约</w:t>
                  </w:r>
                  <w:r>
                    <w:rPr>
                      <w:rFonts w:hint="eastAsia"/>
                      <w:color w:val="auto"/>
                      <w:kern w:val="2"/>
                      <w:sz w:val="21"/>
                      <w:szCs w:val="21"/>
                      <w:u w:val="none"/>
                      <w:lang w:val="en-US" w:eastAsia="zh-CN"/>
                    </w:rPr>
                    <w:t>5015.3</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vertAlign w:val="baseline"/>
                      <w:lang w:eastAsia="zh-CN"/>
                    </w:rPr>
                    <w:t>，建筑面积</w:t>
                  </w:r>
                  <w:r>
                    <w:rPr>
                      <w:rFonts w:hint="eastAsia"/>
                      <w:color w:val="auto"/>
                      <w:kern w:val="2"/>
                      <w:sz w:val="21"/>
                      <w:szCs w:val="21"/>
                      <w:u w:val="none"/>
                      <w:lang w:val="en-US" w:eastAsia="zh-CN"/>
                    </w:rPr>
                    <w:t>5015.3</w:t>
                  </w:r>
                  <w:r>
                    <w:rPr>
                      <w:rFonts w:hint="eastAsia"/>
                      <w:color w:val="auto"/>
                      <w:kern w:val="2"/>
                      <w:sz w:val="21"/>
                      <w:szCs w:val="21"/>
                      <w:u w:val="none"/>
                    </w:rPr>
                    <w:t>m</w:t>
                  </w:r>
                  <w:r>
                    <w:rPr>
                      <w:rFonts w:hint="eastAsia"/>
                      <w:color w:val="auto"/>
                      <w:kern w:val="2"/>
                      <w:sz w:val="21"/>
                      <w:szCs w:val="21"/>
                      <w:u w:val="none"/>
                      <w:vertAlign w:val="superscript"/>
                    </w:rPr>
                    <w:t>2</w:t>
                  </w:r>
                  <w:r>
                    <w:rPr>
                      <w:rFonts w:hint="eastAsia"/>
                      <w:color w:val="auto"/>
                      <w:kern w:val="2"/>
                      <w:sz w:val="21"/>
                      <w:szCs w:val="21"/>
                      <w:u w:val="none"/>
                      <w:vertAlign w:val="baseline"/>
                      <w:lang w:eastAsia="zh-CN"/>
                    </w:rPr>
                    <w:t>，位于厂区中部，布设不锈钢焊丝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980"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single"/>
                      <w:lang w:val="en-US" w:eastAsia="zh-CN"/>
                    </w:rPr>
                  </w:pPr>
                </w:p>
              </w:tc>
              <w:tc>
                <w:tcPr>
                  <w:tcW w:w="1144"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sz w:val="21"/>
                      <w:szCs w:val="21"/>
                      <w:u w:val="single"/>
                      <w:lang w:val="en-US" w:eastAsia="zh-CN"/>
                    </w:rPr>
                  </w:pPr>
                  <w:r>
                    <w:rPr>
                      <w:rFonts w:hint="eastAsia"/>
                      <w:color w:val="auto"/>
                      <w:sz w:val="21"/>
                      <w:szCs w:val="21"/>
                      <w:u w:val="single"/>
                      <w:lang w:val="en-US" w:eastAsia="zh-CN"/>
                    </w:rPr>
                    <w:t>气保焊丝车间</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eastAsia"/>
                      <w:color w:val="auto"/>
                      <w:kern w:val="2"/>
                      <w:sz w:val="21"/>
                      <w:szCs w:val="21"/>
                      <w:u w:val="single"/>
                      <w:lang w:eastAsia="zh-CN"/>
                    </w:rPr>
                  </w:pPr>
                  <w:r>
                    <w:rPr>
                      <w:rFonts w:hint="eastAsia"/>
                      <w:color w:val="auto"/>
                      <w:kern w:val="2"/>
                      <w:sz w:val="21"/>
                      <w:szCs w:val="21"/>
                      <w:u w:val="single"/>
                      <w:lang w:val="en-US" w:eastAsia="zh-CN"/>
                    </w:rPr>
                    <w:t>1栋1F，</w:t>
                  </w:r>
                  <w:r>
                    <w:rPr>
                      <w:rFonts w:hint="eastAsia"/>
                      <w:color w:val="auto"/>
                      <w:kern w:val="2"/>
                      <w:sz w:val="21"/>
                      <w:szCs w:val="21"/>
                      <w:u w:val="single"/>
                      <w:lang w:eastAsia="zh-CN"/>
                    </w:rPr>
                    <w:t>占地</w:t>
                  </w:r>
                  <w:r>
                    <w:rPr>
                      <w:rFonts w:hint="eastAsia"/>
                      <w:color w:val="auto"/>
                      <w:kern w:val="2"/>
                      <w:sz w:val="21"/>
                      <w:szCs w:val="21"/>
                      <w:u w:val="single"/>
                    </w:rPr>
                    <w:t>面积约为</w:t>
                  </w:r>
                  <w:r>
                    <w:rPr>
                      <w:rFonts w:hint="eastAsia"/>
                      <w:color w:val="auto"/>
                      <w:kern w:val="2"/>
                      <w:sz w:val="21"/>
                      <w:szCs w:val="21"/>
                      <w:u w:val="single"/>
                      <w:lang w:val="en-US" w:eastAsia="zh-CN"/>
                    </w:rPr>
                    <w:t>10000</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rPr>
                    <w:t>，</w:t>
                  </w:r>
                  <w:r>
                    <w:rPr>
                      <w:rFonts w:hint="eastAsia"/>
                      <w:color w:val="auto"/>
                      <w:kern w:val="2"/>
                      <w:sz w:val="21"/>
                      <w:szCs w:val="21"/>
                      <w:u w:val="single"/>
                      <w:vertAlign w:val="baseline"/>
                      <w:lang w:eastAsia="zh-CN"/>
                    </w:rPr>
                    <w:t>布设气保焊丝、</w:t>
                  </w:r>
                  <w:r>
                    <w:rPr>
                      <w:rFonts w:hint="eastAsia"/>
                      <w:color w:val="auto"/>
                      <w:kern w:val="2"/>
                      <w:sz w:val="21"/>
                      <w:szCs w:val="21"/>
                      <w:u w:val="single"/>
                      <w:vertAlign w:val="baseline"/>
                      <w:lang w:val="zh-CN" w:eastAsia="zh-CN"/>
                    </w:rPr>
                    <w:t>高强钢焊丝、埋弧焊丝、铝焊丝等生产线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default"/>
                      <w:color w:val="auto"/>
                      <w:sz w:val="21"/>
                      <w:szCs w:val="21"/>
                      <w:u w:val="single"/>
                      <w:lang w:val="en-US" w:eastAsia="zh-CN"/>
                    </w:rPr>
                  </w:pPr>
                  <w:r>
                    <w:rPr>
                      <w:rFonts w:hint="eastAsia"/>
                      <w:color w:val="auto"/>
                      <w:sz w:val="21"/>
                      <w:szCs w:val="21"/>
                      <w:u w:val="single"/>
                      <w:lang w:val="en-US" w:eastAsia="zh-CN"/>
                    </w:rPr>
                    <w:t>2#生产厂房</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single"/>
                      <w:lang w:val="en-US" w:eastAsia="zh-CN"/>
                    </w:rPr>
                  </w:pPr>
                  <w:r>
                    <w:rPr>
                      <w:rFonts w:hint="eastAsia"/>
                      <w:color w:val="auto"/>
                      <w:kern w:val="2"/>
                      <w:sz w:val="21"/>
                      <w:szCs w:val="21"/>
                      <w:u w:val="single"/>
                      <w:lang w:val="en-US" w:eastAsia="zh-CN"/>
                    </w:rPr>
                    <w:t>1栋</w:t>
                  </w:r>
                  <w:r>
                    <w:rPr>
                      <w:rFonts w:hint="eastAsia"/>
                      <w:color w:val="auto"/>
                      <w:kern w:val="2"/>
                      <w:sz w:val="21"/>
                      <w:szCs w:val="21"/>
                      <w:u w:val="single"/>
                      <w:lang w:eastAsia="zh-CN"/>
                    </w:rPr>
                    <w:t>1</w:t>
                  </w:r>
                  <w:r>
                    <w:rPr>
                      <w:rFonts w:hint="eastAsia"/>
                      <w:color w:val="auto"/>
                      <w:kern w:val="2"/>
                      <w:sz w:val="21"/>
                      <w:szCs w:val="21"/>
                      <w:u w:val="single"/>
                      <w:lang w:val="en-US" w:eastAsia="zh-CN"/>
                    </w:rPr>
                    <w:t>F</w:t>
                  </w:r>
                  <w:r>
                    <w:rPr>
                      <w:rFonts w:hint="eastAsia"/>
                      <w:color w:val="auto"/>
                      <w:kern w:val="2"/>
                      <w:sz w:val="21"/>
                      <w:szCs w:val="21"/>
                      <w:u w:val="single"/>
                      <w:lang w:eastAsia="zh-CN"/>
                    </w:rPr>
                    <w:t>，</w:t>
                  </w:r>
                  <w:r>
                    <w:rPr>
                      <w:rFonts w:hint="eastAsia"/>
                      <w:color w:val="auto"/>
                      <w:kern w:val="2"/>
                      <w:sz w:val="21"/>
                      <w:szCs w:val="21"/>
                      <w:u w:val="single"/>
                      <w:vertAlign w:val="baseline"/>
                      <w:lang w:eastAsia="zh-CN"/>
                    </w:rPr>
                    <w:t>占地面积约</w:t>
                  </w:r>
                  <w:r>
                    <w:rPr>
                      <w:rFonts w:hint="eastAsia"/>
                      <w:color w:val="auto"/>
                      <w:kern w:val="2"/>
                      <w:sz w:val="21"/>
                      <w:szCs w:val="21"/>
                      <w:u w:val="single"/>
                      <w:lang w:val="en-US" w:eastAsia="zh-CN"/>
                    </w:rPr>
                    <w:t>7392.2</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rPr>
                    <w:t>，</w:t>
                  </w:r>
                  <w:r>
                    <w:rPr>
                      <w:rFonts w:hint="eastAsia"/>
                      <w:color w:val="auto"/>
                      <w:kern w:val="2"/>
                      <w:sz w:val="21"/>
                      <w:szCs w:val="21"/>
                      <w:u w:val="single"/>
                      <w:vertAlign w:val="baseline"/>
                      <w:lang w:eastAsia="zh-CN"/>
                    </w:rPr>
                    <w:t>设层绕机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辅助工程</w:t>
                  </w: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single"/>
                      <w:lang w:eastAsia="zh-CN"/>
                    </w:rPr>
                  </w:pPr>
                  <w:r>
                    <w:rPr>
                      <w:rFonts w:hint="eastAsia"/>
                      <w:color w:val="auto"/>
                      <w:kern w:val="2"/>
                      <w:sz w:val="21"/>
                      <w:szCs w:val="21"/>
                      <w:u w:val="single"/>
                    </w:rPr>
                    <w:t>办公</w:t>
                  </w:r>
                  <w:r>
                    <w:rPr>
                      <w:rFonts w:hint="eastAsia"/>
                      <w:color w:val="auto"/>
                      <w:kern w:val="2"/>
                      <w:sz w:val="21"/>
                      <w:szCs w:val="21"/>
                      <w:u w:val="single"/>
                      <w:lang w:eastAsia="zh-CN"/>
                    </w:rPr>
                    <w:t>楼</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1栋</w:t>
                  </w:r>
                  <w:r>
                    <w:rPr>
                      <w:rFonts w:hint="eastAsia"/>
                      <w:color w:val="auto"/>
                      <w:kern w:val="2"/>
                      <w:sz w:val="21"/>
                      <w:szCs w:val="21"/>
                      <w:u w:val="single"/>
                      <w:lang w:val="en-US" w:eastAsia="zh-CN"/>
                    </w:rPr>
                    <w:t>2F</w:t>
                  </w:r>
                  <w:r>
                    <w:rPr>
                      <w:rFonts w:hint="eastAsia"/>
                      <w:color w:val="auto"/>
                      <w:kern w:val="2"/>
                      <w:sz w:val="21"/>
                      <w:szCs w:val="21"/>
                      <w:u w:val="single"/>
                    </w:rPr>
                    <w:t>，</w:t>
                  </w:r>
                  <w:r>
                    <w:rPr>
                      <w:rFonts w:hint="eastAsia"/>
                      <w:color w:val="auto"/>
                      <w:kern w:val="2"/>
                      <w:sz w:val="21"/>
                      <w:szCs w:val="21"/>
                      <w:u w:val="single"/>
                      <w:lang w:eastAsia="zh-CN"/>
                    </w:rPr>
                    <w:t>占地</w:t>
                  </w:r>
                  <w:r>
                    <w:rPr>
                      <w:rFonts w:hint="eastAsia"/>
                      <w:color w:val="auto"/>
                      <w:kern w:val="2"/>
                      <w:sz w:val="21"/>
                      <w:szCs w:val="21"/>
                      <w:u w:val="single"/>
                    </w:rPr>
                    <w:t>面积</w:t>
                  </w:r>
                  <w:r>
                    <w:rPr>
                      <w:rFonts w:hint="eastAsia"/>
                      <w:color w:val="auto"/>
                      <w:kern w:val="2"/>
                      <w:sz w:val="21"/>
                      <w:szCs w:val="21"/>
                      <w:u w:val="single"/>
                      <w:lang w:val="en-US" w:eastAsia="zh-CN"/>
                    </w:rPr>
                    <w:t>272.14</w:t>
                  </w:r>
                  <w:r>
                    <w:rPr>
                      <w:rFonts w:hint="eastAsia"/>
                      <w:color w:val="auto"/>
                      <w:kern w:val="2"/>
                      <w:sz w:val="21"/>
                      <w:szCs w:val="21"/>
                      <w:u w:val="single"/>
                    </w:rPr>
                    <w:t>m</w:t>
                  </w:r>
                  <w:r>
                    <w:rPr>
                      <w:rFonts w:hint="eastAsia"/>
                      <w:color w:val="auto"/>
                      <w:kern w:val="2"/>
                      <w:sz w:val="21"/>
                      <w:szCs w:val="21"/>
                      <w:u w:val="singl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ascii="Times New Roman" w:hAnsi="Times New Roman" w:eastAsia="宋体" w:cs="Times New Roman"/>
                      <w:color w:val="auto"/>
                      <w:kern w:val="2"/>
                      <w:sz w:val="21"/>
                      <w:szCs w:val="21"/>
                      <w:u w:val="single"/>
                      <w:lang w:eastAsia="zh-CN"/>
                    </w:rPr>
                  </w:pPr>
                  <w:r>
                    <w:rPr>
                      <w:rFonts w:hint="eastAsia"/>
                      <w:color w:val="auto"/>
                      <w:kern w:val="2"/>
                      <w:sz w:val="21"/>
                      <w:szCs w:val="21"/>
                      <w:u w:val="single"/>
                      <w:lang w:eastAsia="zh-CN"/>
                    </w:rPr>
                    <w:t>锅炉房</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single"/>
                    </w:rPr>
                  </w:pPr>
                  <w:r>
                    <w:rPr>
                      <w:rFonts w:hint="eastAsia"/>
                      <w:color w:val="auto"/>
                      <w:kern w:val="2"/>
                      <w:sz w:val="21"/>
                      <w:szCs w:val="21"/>
                      <w:u w:val="single"/>
                      <w:lang w:eastAsia="zh-CN"/>
                    </w:rPr>
                    <w:t>位于生产厂房中部，布置</w:t>
                  </w:r>
                  <w:r>
                    <w:rPr>
                      <w:rFonts w:hint="eastAsia"/>
                      <w:color w:val="auto"/>
                      <w:kern w:val="2"/>
                      <w:sz w:val="21"/>
                      <w:szCs w:val="21"/>
                      <w:u w:val="single"/>
                      <w:lang w:val="en-US" w:eastAsia="zh-CN"/>
                    </w:rPr>
                    <w:t>3台燃生物质锅炉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ascii="Times New Roman" w:hAnsi="Times New Roman" w:eastAsia="宋体" w:cs="Times New Roman"/>
                      <w:color w:val="auto"/>
                      <w:kern w:val="2"/>
                      <w:sz w:val="21"/>
                      <w:szCs w:val="21"/>
                      <w:u w:val="single"/>
                      <w:lang w:eastAsia="zh-CN"/>
                    </w:rPr>
                  </w:pPr>
                  <w:r>
                    <w:rPr>
                      <w:rFonts w:hint="eastAsia"/>
                      <w:color w:val="auto"/>
                      <w:kern w:val="2"/>
                      <w:sz w:val="21"/>
                      <w:szCs w:val="21"/>
                      <w:u w:val="single"/>
                      <w:lang w:val="en-US" w:eastAsia="zh-CN"/>
                    </w:rPr>
                    <w:t>修模间</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single"/>
                    </w:rPr>
                  </w:pPr>
                  <w:r>
                    <w:rPr>
                      <w:rFonts w:hint="eastAsia"/>
                      <w:color w:val="auto"/>
                      <w:kern w:val="2"/>
                      <w:sz w:val="21"/>
                      <w:szCs w:val="21"/>
                      <w:u w:val="single"/>
                    </w:rPr>
                    <w:t>面积约为</w:t>
                  </w:r>
                  <w:r>
                    <w:rPr>
                      <w:rFonts w:hint="eastAsia"/>
                      <w:color w:val="auto"/>
                      <w:kern w:val="2"/>
                      <w:sz w:val="21"/>
                      <w:szCs w:val="21"/>
                      <w:u w:val="single"/>
                      <w:lang w:val="en-US" w:eastAsia="zh-CN"/>
                    </w:rPr>
                    <w:t>170</w:t>
                  </w:r>
                  <w:r>
                    <w:rPr>
                      <w:rFonts w:hint="eastAsia"/>
                      <w:color w:val="auto"/>
                      <w:kern w:val="2"/>
                      <w:sz w:val="21"/>
                      <w:szCs w:val="21"/>
                      <w:u w:val="single"/>
                    </w:rPr>
                    <w:t>m</w:t>
                  </w:r>
                  <w:r>
                    <w:rPr>
                      <w:rFonts w:hint="eastAsia"/>
                      <w:color w:val="auto"/>
                      <w:kern w:val="2"/>
                      <w:sz w:val="21"/>
                      <w:szCs w:val="21"/>
                      <w:u w:val="single"/>
                      <w:vertAlign w:val="superscript"/>
                    </w:rPr>
                    <w:t>2</w:t>
                  </w:r>
                  <w:r>
                    <w:rPr>
                      <w:rFonts w:hint="eastAsia"/>
                      <w:color w:val="auto"/>
                      <w:kern w:val="2"/>
                      <w:sz w:val="21"/>
                      <w:szCs w:val="21"/>
                      <w:u w:val="single"/>
                    </w:rPr>
                    <w:t>，</w:t>
                  </w:r>
                  <w:r>
                    <w:rPr>
                      <w:rFonts w:hint="eastAsia"/>
                      <w:color w:val="auto"/>
                      <w:kern w:val="2"/>
                      <w:sz w:val="21"/>
                      <w:szCs w:val="21"/>
                      <w:u w:val="single"/>
                      <w:lang w:eastAsia="zh-CN"/>
                    </w:rPr>
                    <w:t>放置抛光设备</w:t>
                  </w:r>
                  <w:r>
                    <w:rPr>
                      <w:rFonts w:hint="eastAsia"/>
                      <w:color w:val="auto"/>
                      <w:kern w:val="2"/>
                      <w:sz w:val="21"/>
                      <w:szCs w:val="21"/>
                      <w:u w:val="single"/>
                      <w:lang w:val="en-US" w:eastAsia="zh-CN"/>
                    </w:rPr>
                    <w:t>16台</w:t>
                  </w:r>
                  <w:r>
                    <w:rPr>
                      <w:rFonts w:hint="eastAsia"/>
                      <w:color w:val="auto"/>
                      <w:sz w:val="21"/>
                      <w:szCs w:val="21"/>
                      <w:u w:val="single"/>
                      <w:lang w:eastAsia="zh-CN"/>
                    </w:rPr>
                    <w:t>，用于生产设备配件维修打磨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储运工程</w:t>
                  </w:r>
                </w:p>
              </w:tc>
              <w:tc>
                <w:tcPr>
                  <w:tcW w:w="2124"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eastAsia="宋体"/>
                      <w:color w:val="auto"/>
                      <w:szCs w:val="21"/>
                      <w:u w:val="single"/>
                      <w:lang w:eastAsia="zh-CN"/>
                    </w:rPr>
                  </w:pPr>
                  <w:r>
                    <w:rPr>
                      <w:rFonts w:hint="eastAsia"/>
                      <w:color w:val="auto"/>
                      <w:szCs w:val="21"/>
                      <w:u w:val="single"/>
                      <w:lang w:eastAsia="zh-CN"/>
                    </w:rPr>
                    <w:t>产品堆场</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eastAsia="宋体"/>
                      <w:color w:val="auto"/>
                      <w:kern w:val="2"/>
                      <w:sz w:val="21"/>
                      <w:szCs w:val="21"/>
                      <w:u w:val="single"/>
                      <w:lang w:val="en-US" w:eastAsia="zh-CN"/>
                    </w:rPr>
                  </w:pPr>
                  <w:r>
                    <w:rPr>
                      <w:rFonts w:hint="eastAsia"/>
                      <w:color w:val="auto"/>
                      <w:kern w:val="2"/>
                      <w:sz w:val="21"/>
                      <w:szCs w:val="21"/>
                      <w:u w:val="single"/>
                    </w:rPr>
                    <w:t>面积约为</w:t>
                  </w:r>
                  <w:r>
                    <w:rPr>
                      <w:rFonts w:hint="eastAsia"/>
                      <w:color w:val="auto"/>
                      <w:kern w:val="2"/>
                      <w:sz w:val="21"/>
                      <w:szCs w:val="21"/>
                      <w:u w:val="single"/>
                      <w:lang w:val="en-US" w:eastAsia="zh-CN"/>
                    </w:rPr>
                    <w:t>29</w:t>
                  </w:r>
                  <w:r>
                    <w:rPr>
                      <w:rFonts w:hint="eastAsia"/>
                      <w:color w:val="auto"/>
                      <w:kern w:val="2"/>
                      <w:sz w:val="21"/>
                      <w:szCs w:val="21"/>
                      <w:u w:val="single"/>
                    </w:rPr>
                    <w:t>00m</w:t>
                  </w:r>
                  <w:r>
                    <w:rPr>
                      <w:rFonts w:hint="eastAsia"/>
                      <w:color w:val="auto"/>
                      <w:kern w:val="2"/>
                      <w:sz w:val="21"/>
                      <w:szCs w:val="21"/>
                      <w:u w:val="single"/>
                      <w:vertAlign w:val="superscript"/>
                    </w:rPr>
                    <w:t>2</w:t>
                  </w:r>
                  <w:r>
                    <w:rPr>
                      <w:rFonts w:hint="eastAsia"/>
                      <w:color w:val="auto"/>
                      <w:kern w:val="2"/>
                      <w:sz w:val="21"/>
                      <w:szCs w:val="21"/>
                      <w:u w:val="single"/>
                    </w:rPr>
                    <w:t>，</w:t>
                  </w:r>
                  <w:r>
                    <w:rPr>
                      <w:rFonts w:hint="eastAsia"/>
                      <w:color w:val="auto"/>
                      <w:kern w:val="2"/>
                      <w:sz w:val="21"/>
                      <w:szCs w:val="21"/>
                      <w:u w:val="single"/>
                      <w:lang w:eastAsia="zh-CN"/>
                    </w:rPr>
                    <w:t>放置产品堆场、自动包装机</w:t>
                  </w:r>
                  <w:r>
                    <w:rPr>
                      <w:rFonts w:hint="eastAsia"/>
                      <w:color w:val="auto"/>
                      <w:kern w:val="2"/>
                      <w:sz w:val="21"/>
                      <w:szCs w:val="21"/>
                      <w:u w:val="singl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eastAsia="宋体"/>
                      <w:color w:val="auto"/>
                      <w:szCs w:val="21"/>
                      <w:u w:val="single"/>
                      <w:lang w:eastAsia="zh-CN"/>
                    </w:rPr>
                  </w:pPr>
                  <w:r>
                    <w:rPr>
                      <w:rFonts w:hint="eastAsia"/>
                      <w:color w:val="auto"/>
                      <w:szCs w:val="21"/>
                      <w:u w:val="single"/>
                    </w:rPr>
                    <w:t>原料</w:t>
                  </w:r>
                  <w:r>
                    <w:rPr>
                      <w:rFonts w:hint="eastAsia"/>
                      <w:color w:val="auto"/>
                      <w:szCs w:val="21"/>
                      <w:u w:val="single"/>
                      <w:lang w:eastAsia="zh-CN"/>
                    </w:rPr>
                    <w:t>堆场</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eastAsia="宋体"/>
                      <w:color w:val="auto"/>
                      <w:kern w:val="2"/>
                      <w:sz w:val="21"/>
                      <w:szCs w:val="21"/>
                      <w:u w:val="single"/>
                      <w:lang w:val="en-US" w:eastAsia="zh-CN"/>
                    </w:rPr>
                  </w:pPr>
                  <w:r>
                    <w:rPr>
                      <w:rFonts w:hint="eastAsia"/>
                      <w:color w:val="auto"/>
                      <w:kern w:val="2"/>
                      <w:sz w:val="21"/>
                      <w:szCs w:val="21"/>
                      <w:u w:val="single"/>
                    </w:rPr>
                    <w:t>面积约为</w:t>
                  </w:r>
                  <w:r>
                    <w:rPr>
                      <w:rFonts w:hint="eastAsia"/>
                      <w:color w:val="auto"/>
                      <w:kern w:val="2"/>
                      <w:sz w:val="21"/>
                      <w:szCs w:val="21"/>
                      <w:u w:val="single"/>
                      <w:lang w:val="en-US" w:eastAsia="zh-CN"/>
                    </w:rPr>
                    <w:t>100</w:t>
                  </w:r>
                  <w:r>
                    <w:rPr>
                      <w:rFonts w:hint="eastAsia"/>
                      <w:color w:val="auto"/>
                      <w:kern w:val="2"/>
                      <w:sz w:val="21"/>
                      <w:szCs w:val="21"/>
                      <w:u w:val="single"/>
                    </w:rPr>
                    <w:t>0m</w:t>
                  </w:r>
                  <w:r>
                    <w:rPr>
                      <w:rFonts w:hint="eastAsia"/>
                      <w:color w:val="auto"/>
                      <w:kern w:val="2"/>
                      <w:sz w:val="21"/>
                      <w:szCs w:val="21"/>
                      <w:u w:val="single"/>
                      <w:vertAlign w:val="superscript"/>
                    </w:rPr>
                    <w:t>2</w:t>
                  </w:r>
                  <w:r>
                    <w:rPr>
                      <w:rFonts w:hint="eastAsia"/>
                      <w:color w:val="auto"/>
                      <w:kern w:val="2"/>
                      <w:sz w:val="21"/>
                      <w:szCs w:val="21"/>
                      <w:u w:val="single"/>
                    </w:rPr>
                    <w:t>，在原料</w:t>
                  </w:r>
                  <w:r>
                    <w:rPr>
                      <w:rFonts w:hint="eastAsia"/>
                      <w:color w:val="auto"/>
                      <w:kern w:val="2"/>
                      <w:sz w:val="21"/>
                      <w:szCs w:val="21"/>
                      <w:u w:val="single"/>
                      <w:lang w:eastAsia="zh-CN"/>
                    </w:rPr>
                    <w:t>区</w:t>
                  </w:r>
                  <w:r>
                    <w:rPr>
                      <w:rFonts w:hint="eastAsia"/>
                      <w:color w:val="auto"/>
                      <w:kern w:val="2"/>
                      <w:sz w:val="21"/>
                      <w:szCs w:val="21"/>
                      <w:u w:val="single"/>
                    </w:rPr>
                    <w:t>内放置</w:t>
                  </w:r>
                  <w:r>
                    <w:rPr>
                      <w:rFonts w:hint="eastAsia"/>
                      <w:color w:val="auto"/>
                      <w:kern w:val="2"/>
                      <w:sz w:val="21"/>
                      <w:szCs w:val="21"/>
                      <w:u w:val="single"/>
                      <w:lang w:eastAsia="zh-CN"/>
                    </w:rPr>
                    <w:t>钢丝、不锈钢丝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eastAsia="宋体"/>
                      <w:color w:val="auto"/>
                      <w:szCs w:val="21"/>
                      <w:u w:val="single"/>
                      <w:lang w:eastAsia="zh-CN"/>
                    </w:rPr>
                  </w:pPr>
                  <w:r>
                    <w:rPr>
                      <w:rFonts w:hint="eastAsia"/>
                      <w:color w:val="auto"/>
                      <w:szCs w:val="21"/>
                      <w:u w:val="single"/>
                      <w:lang w:eastAsia="zh-CN"/>
                    </w:rPr>
                    <w:t>车间内暂存区</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default"/>
                      <w:color w:val="auto"/>
                      <w:kern w:val="2"/>
                      <w:sz w:val="21"/>
                      <w:szCs w:val="21"/>
                      <w:u w:val="single"/>
                      <w:lang w:val="en-US" w:eastAsia="zh-CN"/>
                    </w:rPr>
                  </w:pPr>
                  <w:r>
                    <w:rPr>
                      <w:rFonts w:hint="eastAsia"/>
                      <w:color w:val="auto"/>
                      <w:kern w:val="2"/>
                      <w:sz w:val="21"/>
                      <w:szCs w:val="21"/>
                      <w:u w:val="single"/>
                      <w:lang w:eastAsia="zh-CN"/>
                    </w:rPr>
                    <w:t>位于</w:t>
                  </w:r>
                  <w:r>
                    <w:rPr>
                      <w:rFonts w:hint="eastAsia"/>
                      <w:color w:val="auto"/>
                      <w:kern w:val="2"/>
                      <w:sz w:val="21"/>
                      <w:szCs w:val="21"/>
                      <w:u w:val="single"/>
                      <w:lang w:val="en-US" w:eastAsia="zh-CN"/>
                    </w:rPr>
                    <w:t>1#</w:t>
                  </w:r>
                  <w:r>
                    <w:rPr>
                      <w:rFonts w:hint="eastAsia"/>
                      <w:color w:val="auto"/>
                      <w:kern w:val="2"/>
                      <w:sz w:val="21"/>
                      <w:szCs w:val="21"/>
                      <w:u w:val="single"/>
                      <w:lang w:eastAsia="zh-CN"/>
                    </w:rPr>
                    <w:t>生产车间内东侧，放置涂膜剂等原料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color w:val="auto"/>
                      <w:szCs w:val="21"/>
                      <w:u w:val="single"/>
                      <w:lang w:eastAsia="zh-CN"/>
                    </w:rPr>
                  </w:pPr>
                  <w:r>
                    <w:rPr>
                      <w:rFonts w:hint="eastAsia"/>
                      <w:color w:val="auto"/>
                      <w:szCs w:val="21"/>
                      <w:u w:val="single"/>
                      <w:lang w:eastAsia="zh-CN"/>
                    </w:rPr>
                    <w:t>硫酸罐区</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single"/>
                      <w:lang w:eastAsia="zh-CN"/>
                    </w:rPr>
                  </w:pPr>
                  <w:r>
                    <w:rPr>
                      <w:rFonts w:hint="eastAsia"/>
                      <w:color w:val="auto"/>
                      <w:kern w:val="2"/>
                      <w:sz w:val="21"/>
                      <w:szCs w:val="21"/>
                      <w:u w:val="single"/>
                      <w:lang w:eastAsia="zh-CN"/>
                    </w:rPr>
                    <w:t>位于</w:t>
                  </w:r>
                  <w:r>
                    <w:rPr>
                      <w:rFonts w:hint="eastAsia"/>
                      <w:color w:val="auto"/>
                      <w:kern w:val="2"/>
                      <w:sz w:val="21"/>
                      <w:szCs w:val="21"/>
                      <w:u w:val="single"/>
                      <w:lang w:val="en-US" w:eastAsia="zh-CN"/>
                    </w:rPr>
                    <w:t>1#</w:t>
                  </w:r>
                  <w:r>
                    <w:rPr>
                      <w:rFonts w:hint="eastAsia"/>
                      <w:color w:val="auto"/>
                      <w:kern w:val="2"/>
                      <w:sz w:val="21"/>
                      <w:szCs w:val="21"/>
                      <w:u w:val="single"/>
                      <w:lang w:eastAsia="zh-CN"/>
                    </w:rPr>
                    <w:t>生产车间内西侧，放置</w:t>
                  </w:r>
                  <w:r>
                    <w:rPr>
                      <w:rFonts w:hint="eastAsia"/>
                      <w:color w:val="auto"/>
                      <w:kern w:val="2"/>
                      <w:sz w:val="21"/>
                      <w:szCs w:val="21"/>
                      <w:u w:val="single"/>
                      <w:lang w:val="en-US" w:eastAsia="zh-CN"/>
                    </w:rPr>
                    <w:t>20m</w:t>
                  </w:r>
                  <w:r>
                    <w:rPr>
                      <w:rFonts w:hint="eastAsia"/>
                      <w:color w:val="auto"/>
                      <w:kern w:val="2"/>
                      <w:sz w:val="21"/>
                      <w:szCs w:val="21"/>
                      <w:u w:val="single"/>
                      <w:vertAlign w:val="superscript"/>
                      <w:lang w:val="en-US" w:eastAsia="zh-CN"/>
                    </w:rPr>
                    <w:t>3</w:t>
                  </w:r>
                  <w:r>
                    <w:rPr>
                      <w:rFonts w:hint="eastAsia"/>
                      <w:color w:val="auto"/>
                      <w:kern w:val="2"/>
                      <w:sz w:val="21"/>
                      <w:szCs w:val="21"/>
                      <w:u w:val="single"/>
                      <w:lang w:eastAsia="zh-CN"/>
                    </w:rPr>
                    <w:t>硫酸罐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keepNext w:val="0"/>
                    <w:keepLines w:val="0"/>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color w:val="auto"/>
                      <w:szCs w:val="21"/>
                      <w:u w:val="single"/>
                      <w:lang w:eastAsia="zh-CN"/>
                    </w:rPr>
                  </w:pPr>
                  <w:r>
                    <w:rPr>
                      <w:rFonts w:hint="eastAsia"/>
                      <w:color w:val="auto"/>
                      <w:szCs w:val="21"/>
                      <w:u w:val="single"/>
                      <w:lang w:eastAsia="zh-CN"/>
                    </w:rPr>
                    <w:t>液氨罐</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default"/>
                      <w:color w:val="auto"/>
                      <w:kern w:val="2"/>
                      <w:sz w:val="21"/>
                      <w:szCs w:val="21"/>
                      <w:u w:val="single"/>
                      <w:lang w:val="en-US" w:eastAsia="zh-CN"/>
                    </w:rPr>
                  </w:pPr>
                  <w:r>
                    <w:rPr>
                      <w:rFonts w:hint="eastAsia"/>
                      <w:color w:val="auto"/>
                      <w:kern w:val="2"/>
                      <w:sz w:val="21"/>
                      <w:szCs w:val="21"/>
                      <w:u w:val="single"/>
                      <w:lang w:eastAsia="zh-CN"/>
                    </w:rPr>
                    <w:t>位于</w:t>
                  </w:r>
                  <w:r>
                    <w:rPr>
                      <w:rFonts w:hint="eastAsia"/>
                      <w:color w:val="auto"/>
                      <w:kern w:val="2"/>
                      <w:sz w:val="21"/>
                      <w:szCs w:val="21"/>
                      <w:u w:val="single"/>
                      <w:lang w:val="en-US" w:eastAsia="zh-CN"/>
                    </w:rPr>
                    <w:t>1#</w:t>
                  </w:r>
                  <w:r>
                    <w:rPr>
                      <w:rFonts w:hint="eastAsia"/>
                      <w:color w:val="auto"/>
                      <w:kern w:val="2"/>
                      <w:sz w:val="21"/>
                      <w:szCs w:val="21"/>
                      <w:u w:val="single"/>
                      <w:lang w:eastAsia="zh-CN"/>
                    </w:rPr>
                    <w:t>生产车间外南侧，放置</w:t>
                  </w:r>
                  <w:r>
                    <w:rPr>
                      <w:rFonts w:hint="eastAsia"/>
                      <w:color w:val="auto"/>
                      <w:kern w:val="2"/>
                      <w:sz w:val="21"/>
                      <w:szCs w:val="21"/>
                      <w:u w:val="single"/>
                      <w:lang w:val="en-US" w:eastAsia="zh-CN"/>
                    </w:rPr>
                    <w:t>2瓶800L液氨罐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公用工程</w:t>
                  </w: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供水</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single"/>
                    </w:rPr>
                  </w:pPr>
                  <w:r>
                    <w:rPr>
                      <w:rFonts w:hint="eastAsia"/>
                      <w:color w:val="auto"/>
                      <w:kern w:val="2"/>
                      <w:sz w:val="21"/>
                      <w:szCs w:val="21"/>
                      <w:u w:val="single"/>
                    </w:rPr>
                    <w:t>市政自来水管网</w:t>
                  </w:r>
                  <w:r>
                    <w:rPr>
                      <w:rFonts w:hint="eastAsia"/>
                      <w:color w:val="auto"/>
                      <w:kern w:val="2"/>
                      <w:sz w:val="21"/>
                      <w:szCs w:val="21"/>
                      <w:u w:val="single"/>
                      <w:lang w:eastAsia="zh-CN"/>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排水</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Ansi="宋体"/>
                      <w:bCs/>
                      <w:color w:val="auto"/>
                      <w:sz w:val="21"/>
                      <w:szCs w:val="21"/>
                      <w:highlight w:val="none"/>
                      <w:u w:val="single"/>
                      <w:lang w:bidi="ar"/>
                    </w:rPr>
                  </w:pPr>
                  <w:r>
                    <w:rPr>
                      <w:rFonts w:hAnsi="宋体"/>
                      <w:bCs/>
                      <w:color w:val="auto"/>
                      <w:sz w:val="21"/>
                      <w:szCs w:val="21"/>
                      <w:highlight w:val="none"/>
                      <w:u w:val="single"/>
                      <w:lang w:bidi="ar"/>
                    </w:rPr>
                    <w:t>雨污分流，</w:t>
                  </w:r>
                  <w:r>
                    <w:rPr>
                      <w:rFonts w:hint="eastAsia" w:hAnsi="宋体"/>
                      <w:bCs/>
                      <w:color w:val="auto"/>
                      <w:sz w:val="21"/>
                      <w:szCs w:val="21"/>
                      <w:highlight w:val="none"/>
                      <w:u w:val="single"/>
                      <w:lang w:eastAsia="zh-CN" w:bidi="ar"/>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供电</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textAlignment w:val="auto"/>
                    <w:rPr>
                      <w:rFonts w:hint="eastAsia"/>
                      <w:color w:val="auto"/>
                      <w:kern w:val="2"/>
                      <w:sz w:val="21"/>
                      <w:szCs w:val="21"/>
                      <w:u w:val="single"/>
                    </w:rPr>
                  </w:pPr>
                  <w:r>
                    <w:rPr>
                      <w:rFonts w:hint="eastAsia"/>
                      <w:color w:val="auto"/>
                      <w:kern w:val="2"/>
                      <w:sz w:val="21"/>
                      <w:szCs w:val="21"/>
                      <w:u w:val="single"/>
                    </w:rPr>
                    <w:t>供电</w:t>
                  </w:r>
                  <w:r>
                    <w:rPr>
                      <w:rFonts w:hint="eastAsia"/>
                      <w:color w:val="auto"/>
                      <w:kern w:val="2"/>
                      <w:sz w:val="21"/>
                      <w:szCs w:val="21"/>
                      <w:u w:val="single"/>
                      <w:lang w:eastAsia="zh-CN"/>
                    </w:rPr>
                    <w:t>由</w:t>
                  </w:r>
                  <w:r>
                    <w:rPr>
                      <w:rFonts w:hint="eastAsia"/>
                      <w:color w:val="auto"/>
                      <w:kern w:val="2"/>
                      <w:sz w:val="21"/>
                      <w:szCs w:val="21"/>
                      <w:u w:val="single"/>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环保</w:t>
                  </w:r>
                </w:p>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kern w:val="2"/>
                      <w:sz w:val="21"/>
                      <w:szCs w:val="21"/>
                      <w:u w:val="single"/>
                    </w:rPr>
                  </w:pPr>
                  <w:r>
                    <w:rPr>
                      <w:rFonts w:hint="eastAsia"/>
                      <w:color w:val="auto"/>
                      <w:kern w:val="2"/>
                      <w:sz w:val="21"/>
                      <w:szCs w:val="21"/>
                      <w:u w:val="single"/>
                    </w:rPr>
                    <w:t>工程</w:t>
                  </w:r>
                </w:p>
              </w:tc>
              <w:tc>
                <w:tcPr>
                  <w:tcW w:w="2124" w:type="dxa"/>
                  <w:gridSpan w:val="2"/>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废气处理</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right="0" w:rightChars="0" w:firstLine="0" w:firstLineChars="0"/>
                    <w:jc w:val="center"/>
                    <w:textAlignment w:val="auto"/>
                    <w:rPr>
                      <w:rFonts w:hint="eastAsia"/>
                      <w:color w:val="auto"/>
                      <w:kern w:val="2"/>
                      <w:sz w:val="21"/>
                      <w:szCs w:val="21"/>
                      <w:highlight w:val="none"/>
                      <w:u w:val="single"/>
                      <w:lang w:eastAsia="zh-CN"/>
                    </w:rPr>
                  </w:pPr>
                  <w:r>
                    <w:rPr>
                      <w:rFonts w:hint="eastAsia"/>
                      <w:color w:val="auto"/>
                      <w:kern w:val="2"/>
                      <w:sz w:val="21"/>
                      <w:szCs w:val="21"/>
                      <w:highlight w:val="none"/>
                      <w:u w:val="single"/>
                      <w:lang w:val="en-US" w:eastAsia="zh-CN"/>
                    </w:rPr>
                    <w:t>气保焊丝车间内酸洗废气经4套碱喷淋装置处理后经4根15m高排气筒排放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u w:val="single"/>
                    </w:rPr>
                  </w:pPr>
                </w:p>
              </w:tc>
              <w:tc>
                <w:tcPr>
                  <w:tcW w:w="2124"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u w:val="single"/>
                    </w:rPr>
                  </w:pP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highlight w:val="none"/>
                      <w:u w:val="single"/>
                      <w:vertAlign w:val="baseline"/>
                      <w:lang w:val="en-US" w:eastAsia="zh-CN"/>
                    </w:rPr>
                  </w:pPr>
                  <w:r>
                    <w:rPr>
                      <w:rFonts w:hint="eastAsia"/>
                      <w:color w:val="auto"/>
                      <w:kern w:val="2"/>
                      <w:sz w:val="21"/>
                      <w:szCs w:val="21"/>
                      <w:highlight w:val="none"/>
                      <w:u w:val="single"/>
                      <w:vertAlign w:val="baseline"/>
                      <w:lang w:val="en-US" w:eastAsia="zh-CN"/>
                    </w:rPr>
                    <w:t>不锈钢焊丝酸洗废气无组织排放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u w:val="single"/>
                    </w:rPr>
                  </w:pPr>
                </w:p>
              </w:tc>
              <w:tc>
                <w:tcPr>
                  <w:tcW w:w="2124"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color w:val="auto"/>
                      <w:u w:val="single"/>
                    </w:rPr>
                  </w:pP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highlight w:val="none"/>
                      <w:u w:val="single"/>
                      <w:vertAlign w:val="baseline"/>
                      <w:lang w:val="en-US" w:eastAsia="zh-CN"/>
                    </w:rPr>
                  </w:pPr>
                  <w:r>
                    <w:rPr>
                      <w:rFonts w:hint="eastAsia"/>
                      <w:color w:val="auto"/>
                      <w:kern w:val="2"/>
                      <w:sz w:val="21"/>
                      <w:szCs w:val="21"/>
                      <w:highlight w:val="none"/>
                      <w:u w:val="single"/>
                      <w:vertAlign w:val="baseline"/>
                      <w:lang w:val="en-US" w:eastAsia="zh-CN"/>
                    </w:rPr>
                    <w:t>燃烧废气经2套水喷淋处理锅炉烟气后经2根15m高排气筒外排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废水处理</w:t>
                  </w:r>
                </w:p>
              </w:tc>
              <w:tc>
                <w:tcPr>
                  <w:tcW w:w="6135"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u w:val="single"/>
                      <w:lang w:eastAsia="zh-CN"/>
                    </w:rPr>
                    <w:t>①雨污分流；</w:t>
                  </w:r>
                </w:p>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single"/>
                      <w:lang w:bidi="ar"/>
                    </w:rPr>
                  </w:pPr>
                  <w:r>
                    <w:rPr>
                      <w:rFonts w:hint="eastAsia" w:ascii="Times New Roman" w:hAnsi="Times New Roman" w:eastAsia="宋体" w:cs="Times New Roman"/>
                      <w:color w:val="auto"/>
                      <w:szCs w:val="21"/>
                      <w:highlight w:val="none"/>
                      <w:u w:val="single"/>
                      <w:lang w:eastAsia="zh-CN"/>
                    </w:rPr>
                    <w:t>②</w:t>
                  </w:r>
                  <w:r>
                    <w:rPr>
                      <w:rFonts w:hint="eastAsia" w:cs="Times New Roman"/>
                      <w:color w:val="auto"/>
                      <w:szCs w:val="21"/>
                      <w:highlight w:val="none"/>
                      <w:u w:val="single"/>
                      <w:lang w:eastAsia="zh-CN"/>
                    </w:rPr>
                    <w:t>生产废水</w:t>
                  </w:r>
                  <w:r>
                    <w:rPr>
                      <w:rFonts w:hint="eastAsia" w:ascii="Times New Roman" w:hAnsi="Times New Roman" w:eastAsia="宋体" w:cs="Times New Roman"/>
                      <w:color w:val="auto"/>
                      <w:szCs w:val="21"/>
                      <w:highlight w:val="none"/>
                      <w:u w:val="single"/>
                      <w:lang w:eastAsia="zh-CN"/>
                    </w:rPr>
                    <w:t>：经依托现有污水处理系统（</w:t>
                  </w:r>
                  <w:r>
                    <w:rPr>
                      <w:rFonts w:hint="eastAsia" w:ascii="Times New Roman" w:hAnsi="Times New Roman" w:eastAsia="宋体" w:cs="Times New Roman"/>
                      <w:color w:val="auto"/>
                      <w:szCs w:val="21"/>
                      <w:highlight w:val="none"/>
                      <w:u w:val="single"/>
                      <w:lang w:val="en-US" w:eastAsia="zh-CN"/>
                    </w:rPr>
                    <w:t>位于厂区西北侧，设计处理规模200t/d，处理工艺为：</w:t>
                  </w:r>
                  <w:r>
                    <w:rPr>
                      <w:rFonts w:hint="eastAsia" w:ascii="Times New Roman" w:hAnsi="Times New Roman" w:eastAsia="宋体" w:cs="Times New Roman"/>
                      <w:color w:val="auto"/>
                      <w:szCs w:val="21"/>
                      <w:highlight w:val="none"/>
                      <w:u w:val="single"/>
                      <w:lang w:eastAsia="zh-CN"/>
                    </w:rPr>
                    <w:t>中和</w:t>
                  </w:r>
                  <w:r>
                    <w:rPr>
                      <w:rFonts w:hint="eastAsia" w:ascii="Times New Roman" w:hAnsi="Times New Roman" w:eastAsia="宋体" w:cs="Times New Roman"/>
                      <w:color w:val="auto"/>
                      <w:szCs w:val="21"/>
                      <w:highlight w:val="none"/>
                      <w:u w:val="single"/>
                      <w:lang w:val="en-US" w:eastAsia="zh-CN"/>
                    </w:rPr>
                    <w:t>+混凝+沉淀+砂滤</w:t>
                  </w:r>
                  <w:r>
                    <w:rPr>
                      <w:rFonts w:hint="eastAsia" w:ascii="Times New Roman" w:hAnsi="Times New Roman" w:eastAsia="宋体" w:cs="Times New Roman"/>
                      <w:color w:val="auto"/>
                      <w:szCs w:val="21"/>
                      <w:highlight w:val="none"/>
                      <w:u w:val="single"/>
                      <w:lang w:eastAsia="zh-CN"/>
                    </w:rPr>
                    <w:t>）处理后，大部分回用，小部分依托现有污水管网进入湘阴县第三污水处理厂处理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6135"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ascii="Times New Roman" w:hAnsi="Times New Roman" w:eastAsia="宋体" w:cs="Times New Roman"/>
                      <w:color w:val="auto"/>
                      <w:szCs w:val="21"/>
                      <w:highlight w:val="none"/>
                      <w:u w:val="single"/>
                      <w:lang w:eastAsia="zh-CN"/>
                    </w:rPr>
                  </w:pPr>
                  <w:r>
                    <w:rPr>
                      <w:rFonts w:hint="eastAsia" w:cs="Times New Roman"/>
                      <w:color w:val="auto"/>
                      <w:szCs w:val="21"/>
                      <w:highlight w:val="none"/>
                      <w:u w:val="none"/>
                      <w:lang w:eastAsia="zh-CN"/>
                    </w:rPr>
                    <w:t>生活污水经化粪池处理后排</w:t>
                  </w:r>
                  <w:r>
                    <w:rPr>
                      <w:rFonts w:hint="eastAsia" w:ascii="Times New Roman" w:hAnsi="Times New Roman" w:eastAsia="宋体" w:cs="Times New Roman"/>
                      <w:color w:val="auto"/>
                      <w:szCs w:val="21"/>
                      <w:highlight w:val="none"/>
                      <w:u w:val="none"/>
                      <w:lang w:eastAsia="zh-CN"/>
                    </w:rPr>
                    <w:t>湘阴县第三污水处理厂处理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single"/>
                      <w:lang w:eastAsia="zh-CN"/>
                    </w:rPr>
                  </w:pPr>
                </w:p>
              </w:tc>
              <w:tc>
                <w:tcPr>
                  <w:tcW w:w="2124" w:type="dxa"/>
                  <w:gridSpan w:val="2"/>
                  <w:vMerge w:val="continue"/>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eastAsia" w:ascii="宋体" w:hAnsi="宋体" w:eastAsia="宋体" w:cs="宋体"/>
                      <w:color w:val="auto"/>
                      <w:szCs w:val="21"/>
                      <w:highlight w:val="none"/>
                      <w:u w:val="single"/>
                      <w:lang w:eastAsia="zh-CN"/>
                    </w:rPr>
                  </w:pPr>
                </w:p>
              </w:tc>
              <w:tc>
                <w:tcPr>
                  <w:tcW w:w="6135" w:type="dxa"/>
                  <w:noWrap w:val="0"/>
                  <w:vAlign w:val="center"/>
                </w:tcPr>
                <w:p>
                  <w:pPr>
                    <w:keepNext w:val="0"/>
                    <w:keepLines w:val="0"/>
                    <w:pageBreakBefore w:val="0"/>
                    <w:widowControl/>
                    <w:kinsoku/>
                    <w:wordWrap/>
                    <w:overflowPunct/>
                    <w:topLinePunct w:val="0"/>
                    <w:autoSpaceDE/>
                    <w:autoSpaceDN/>
                    <w:bidi w:val="0"/>
                    <w:adjustRightInd/>
                    <w:ind w:firstLine="0" w:firstLineChars="0"/>
                    <w:jc w:val="center"/>
                    <w:textAlignment w:val="auto"/>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u w:val="single"/>
                      <w:lang w:eastAsia="zh-CN"/>
                    </w:rPr>
                    <w:t>间接</w:t>
                  </w:r>
                  <w:r>
                    <w:rPr>
                      <w:rFonts w:hint="eastAsia" w:ascii="宋体" w:hAnsi="宋体" w:cs="宋体"/>
                      <w:color w:val="auto"/>
                      <w:szCs w:val="21"/>
                      <w:highlight w:val="none"/>
                      <w:u w:val="single"/>
                      <w:lang w:val="en-US" w:eastAsia="zh-CN"/>
                    </w:rPr>
                    <w:t>冷却水经循环后回用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vMerge w:val="restart"/>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固体废物</w:t>
                  </w:r>
                </w:p>
              </w:tc>
              <w:tc>
                <w:tcPr>
                  <w:tcW w:w="6135"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eastAsia="宋体"/>
                      <w:color w:val="auto"/>
                      <w:szCs w:val="21"/>
                      <w:u w:val="single"/>
                      <w:lang w:eastAsia="zh-CN"/>
                    </w:rPr>
                  </w:pPr>
                  <w:r>
                    <w:rPr>
                      <w:rFonts w:hint="eastAsia" w:eastAsia="宋体"/>
                      <w:color w:val="auto"/>
                      <w:szCs w:val="21"/>
                      <w:u w:val="single"/>
                      <w:lang w:eastAsia="zh-CN"/>
                    </w:rPr>
                    <w:t>一般工业固废：在</w:t>
                  </w:r>
                  <w:r>
                    <w:rPr>
                      <w:rFonts w:hint="eastAsia" w:eastAsia="宋体"/>
                      <w:color w:val="auto"/>
                      <w:szCs w:val="21"/>
                      <w:u w:val="single"/>
                      <w:lang w:val="en-US" w:eastAsia="zh-CN"/>
                    </w:rPr>
                    <w:t>厂区西北角</w:t>
                  </w:r>
                  <w:r>
                    <w:rPr>
                      <w:rFonts w:hint="eastAsia" w:eastAsia="宋体"/>
                      <w:color w:val="auto"/>
                      <w:szCs w:val="21"/>
                      <w:u w:val="single"/>
                      <w:lang w:eastAsia="zh-CN"/>
                    </w:rPr>
                    <w:t>设置</w:t>
                  </w:r>
                  <w:r>
                    <w:rPr>
                      <w:rFonts w:hint="eastAsia" w:eastAsia="宋体"/>
                      <w:color w:val="auto"/>
                      <w:szCs w:val="21"/>
                      <w:u w:val="single"/>
                      <w:lang w:val="en-US" w:eastAsia="zh-CN"/>
                    </w:rPr>
                    <w:t>一般工业固废暂存</w:t>
                  </w:r>
                  <w:r>
                    <w:rPr>
                      <w:rFonts w:hint="eastAsia" w:eastAsia="宋体"/>
                      <w:color w:val="auto"/>
                      <w:szCs w:val="21"/>
                      <w:u w:val="single"/>
                      <w:lang w:eastAsia="zh-CN"/>
                    </w:rPr>
                    <w:t>间，占地面积</w:t>
                  </w:r>
                  <w:r>
                    <w:rPr>
                      <w:rFonts w:hint="eastAsia" w:eastAsia="宋体"/>
                      <w:color w:val="auto"/>
                      <w:szCs w:val="21"/>
                      <w:u w:val="single"/>
                      <w:lang w:val="en-US" w:eastAsia="zh-CN"/>
                    </w:rPr>
                    <w:t>30</w:t>
                  </w:r>
                  <w:r>
                    <w:rPr>
                      <w:rFonts w:hint="eastAsia" w:eastAsia="宋体"/>
                      <w:color w:val="auto"/>
                      <w:szCs w:val="21"/>
                      <w:u w:val="single"/>
                      <w:lang w:eastAsia="zh-CN"/>
                    </w:rPr>
                    <w:t>m</w:t>
                  </w:r>
                  <w:r>
                    <w:rPr>
                      <w:rFonts w:hint="eastAsia" w:eastAsia="宋体"/>
                      <w:color w:val="auto"/>
                      <w:szCs w:val="21"/>
                      <w:u w:val="single"/>
                      <w:vertAlign w:val="superscript"/>
                      <w:lang w:eastAsia="zh-CN"/>
                    </w:rPr>
                    <w:t>2</w:t>
                  </w:r>
                  <w:r>
                    <w:rPr>
                      <w:rFonts w:hint="eastAsia" w:eastAsia="宋体"/>
                      <w:color w:val="auto"/>
                      <w:szCs w:val="21"/>
                      <w:u w:val="single"/>
                      <w:lang w:eastAsia="zh-CN"/>
                    </w:rPr>
                    <w:t>，一般固废暂存间集中收集后外售综合利用。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6135"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single"/>
                    </w:rPr>
                  </w:pPr>
                  <w:r>
                    <w:rPr>
                      <w:rFonts w:hint="eastAsia"/>
                      <w:color w:val="auto"/>
                      <w:szCs w:val="21"/>
                      <w:u w:val="single"/>
                    </w:rPr>
                    <w:t>在</w:t>
                  </w:r>
                  <w:r>
                    <w:rPr>
                      <w:rFonts w:hint="eastAsia"/>
                      <w:color w:val="auto"/>
                      <w:szCs w:val="21"/>
                      <w:u w:val="single"/>
                      <w:lang w:val="en-US" w:eastAsia="zh-CN"/>
                    </w:rPr>
                    <w:t>厂区</w:t>
                  </w:r>
                  <w:r>
                    <w:rPr>
                      <w:rFonts w:hint="eastAsia" w:eastAsia="宋体"/>
                      <w:color w:val="auto"/>
                      <w:szCs w:val="21"/>
                      <w:u w:val="single"/>
                      <w:lang w:val="en-US" w:eastAsia="zh-CN"/>
                    </w:rPr>
                    <w:t>西北角</w:t>
                  </w:r>
                  <w:r>
                    <w:rPr>
                      <w:rFonts w:hint="eastAsia"/>
                      <w:color w:val="auto"/>
                      <w:szCs w:val="21"/>
                      <w:u w:val="single"/>
                      <w:lang w:val="en-US" w:eastAsia="zh-CN"/>
                    </w:rPr>
                    <w:t>设2间</w:t>
                  </w:r>
                  <w:r>
                    <w:rPr>
                      <w:rFonts w:hint="eastAsia"/>
                      <w:color w:val="auto"/>
                      <w:szCs w:val="21"/>
                      <w:u w:val="single"/>
                    </w:rPr>
                    <w:t>危废</w:t>
                  </w:r>
                  <w:r>
                    <w:rPr>
                      <w:rFonts w:hint="eastAsia"/>
                      <w:color w:val="auto"/>
                      <w:szCs w:val="21"/>
                      <w:u w:val="single"/>
                      <w:lang w:val="en-US" w:eastAsia="zh-CN"/>
                    </w:rPr>
                    <w:t>暂存</w:t>
                  </w:r>
                  <w:r>
                    <w:rPr>
                      <w:rFonts w:hint="eastAsia"/>
                      <w:color w:val="auto"/>
                      <w:szCs w:val="21"/>
                      <w:u w:val="single"/>
                    </w:rPr>
                    <w:t>间，占地面积</w:t>
                  </w:r>
                  <w:r>
                    <w:rPr>
                      <w:rFonts w:hint="eastAsia"/>
                      <w:color w:val="auto"/>
                      <w:szCs w:val="21"/>
                      <w:u w:val="single"/>
                      <w:lang w:eastAsia="zh-CN"/>
                    </w:rPr>
                    <w:t>为</w:t>
                  </w:r>
                  <w:r>
                    <w:rPr>
                      <w:rFonts w:hint="eastAsia"/>
                      <w:color w:val="auto"/>
                      <w:szCs w:val="21"/>
                      <w:u w:val="single"/>
                      <w:lang w:val="en-US" w:eastAsia="zh-CN"/>
                    </w:rPr>
                    <w:t>60</w:t>
                  </w:r>
                  <w:r>
                    <w:rPr>
                      <w:rFonts w:hint="eastAsia"/>
                      <w:color w:val="auto"/>
                      <w:szCs w:val="21"/>
                      <w:u w:val="single"/>
                    </w:rPr>
                    <w:t>m</w:t>
                  </w:r>
                  <w:r>
                    <w:rPr>
                      <w:rFonts w:hint="eastAsia"/>
                      <w:color w:val="auto"/>
                      <w:szCs w:val="21"/>
                      <w:u w:val="single"/>
                      <w:vertAlign w:val="superscript"/>
                    </w:rPr>
                    <w:t>2</w:t>
                  </w:r>
                  <w:r>
                    <w:rPr>
                      <w:rFonts w:hint="eastAsia"/>
                      <w:color w:val="auto"/>
                      <w:szCs w:val="21"/>
                      <w:u w:val="single"/>
                    </w:rPr>
                    <w:t>，交由有资质的单位处置。</w:t>
                  </w:r>
                </w:p>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single"/>
                      <w:lang w:eastAsia="zh-CN"/>
                    </w:rPr>
                  </w:pPr>
                  <w:r>
                    <w:rPr>
                      <w:rFonts w:hint="eastAsia"/>
                      <w:color w:val="auto"/>
                      <w:szCs w:val="21"/>
                      <w:u w:val="single"/>
                      <w:lang w:eastAsia="zh-CN"/>
                    </w:rPr>
                    <w:t>在生产车间北侧设</w:t>
                  </w:r>
                  <w:r>
                    <w:rPr>
                      <w:rFonts w:hint="eastAsia"/>
                      <w:color w:val="auto"/>
                      <w:szCs w:val="21"/>
                      <w:u w:val="single"/>
                      <w:lang w:val="en-US" w:eastAsia="zh-CN"/>
                    </w:rPr>
                    <w:t>1间</w:t>
                  </w:r>
                  <w:r>
                    <w:rPr>
                      <w:rFonts w:hint="eastAsia"/>
                      <w:color w:val="auto"/>
                      <w:szCs w:val="21"/>
                      <w:u w:val="single"/>
                      <w:lang w:eastAsia="zh-CN"/>
                    </w:rPr>
                    <w:t>污泥暂存间，</w:t>
                  </w:r>
                  <w:r>
                    <w:rPr>
                      <w:rFonts w:hint="eastAsia"/>
                      <w:color w:val="auto"/>
                      <w:szCs w:val="21"/>
                      <w:u w:val="single"/>
                    </w:rPr>
                    <w:t>占地面积</w:t>
                  </w:r>
                  <w:r>
                    <w:rPr>
                      <w:rFonts w:hint="eastAsia"/>
                      <w:color w:val="auto"/>
                      <w:szCs w:val="21"/>
                      <w:u w:val="single"/>
                      <w:lang w:eastAsia="zh-CN"/>
                    </w:rPr>
                    <w:t>为</w:t>
                  </w:r>
                  <w:r>
                    <w:rPr>
                      <w:rFonts w:hint="eastAsia"/>
                      <w:color w:val="auto"/>
                      <w:szCs w:val="21"/>
                      <w:u w:val="single"/>
                      <w:lang w:val="en-US" w:eastAsia="zh-CN"/>
                    </w:rPr>
                    <w:t>770</w:t>
                  </w:r>
                  <w:r>
                    <w:rPr>
                      <w:rFonts w:hint="eastAsia"/>
                      <w:color w:val="auto"/>
                      <w:szCs w:val="21"/>
                      <w:u w:val="single"/>
                    </w:rPr>
                    <w:t>m</w:t>
                  </w:r>
                  <w:r>
                    <w:rPr>
                      <w:rFonts w:hint="eastAsia"/>
                      <w:color w:val="auto"/>
                      <w:szCs w:val="21"/>
                      <w:u w:val="single"/>
                      <w:vertAlign w:val="superscript"/>
                    </w:rPr>
                    <w:t>2</w:t>
                  </w:r>
                  <w:r>
                    <w:rPr>
                      <w:rFonts w:hint="eastAsia"/>
                      <w:color w:val="auto"/>
                      <w:szCs w:val="21"/>
                      <w:u w:val="single"/>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6135" w:type="dxa"/>
                  <w:noWrap w:val="0"/>
                  <w:vAlign w:val="center"/>
                </w:tcPr>
                <w:p>
                  <w:pPr>
                    <w:keepNext w:val="0"/>
                    <w:keepLines w:val="0"/>
                    <w:pageBreakBefore w:val="0"/>
                    <w:widowControl/>
                    <w:kinsoku/>
                    <w:wordWrap/>
                    <w:overflowPunct/>
                    <w:topLinePunct w:val="0"/>
                    <w:autoSpaceDE/>
                    <w:autoSpaceDN/>
                    <w:bidi w:val="0"/>
                    <w:adjustRightInd/>
                    <w:ind w:firstLine="0" w:firstLineChars="0"/>
                    <w:jc w:val="both"/>
                    <w:textAlignment w:val="auto"/>
                    <w:rPr>
                      <w:rFonts w:hint="eastAsia"/>
                      <w:color w:val="auto"/>
                      <w:szCs w:val="21"/>
                      <w:u w:val="single"/>
                      <w:lang w:eastAsia="zh-CN"/>
                    </w:rPr>
                  </w:pPr>
                  <w:r>
                    <w:rPr>
                      <w:rFonts w:hint="eastAsia"/>
                      <w:color w:val="auto"/>
                      <w:szCs w:val="21"/>
                      <w:u w:val="single"/>
                      <w:lang w:eastAsia="zh-CN"/>
                    </w:rPr>
                    <w:t>生活垃圾由</w:t>
                  </w:r>
                  <w:r>
                    <w:rPr>
                      <w:rFonts w:hint="eastAsia"/>
                      <w:color w:val="auto"/>
                      <w:szCs w:val="21"/>
                      <w:u w:val="single"/>
                      <w:lang w:val="en-US" w:eastAsia="zh-CN"/>
                    </w:rPr>
                    <w:t>垃圾桶</w:t>
                  </w:r>
                  <w:r>
                    <w:rPr>
                      <w:rFonts w:hint="eastAsia"/>
                      <w:color w:val="auto"/>
                      <w:szCs w:val="21"/>
                      <w:u w:val="single"/>
                      <w:lang w:eastAsia="zh-CN"/>
                    </w:rPr>
                    <w:t>收集后由环卫部门统一清运。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r>
                    <w:rPr>
                      <w:rFonts w:hint="eastAsia"/>
                      <w:color w:val="auto"/>
                      <w:kern w:val="2"/>
                      <w:sz w:val="21"/>
                      <w:szCs w:val="21"/>
                      <w:u w:val="single"/>
                    </w:rPr>
                    <w:t>噪声</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default"/>
                      <w:color w:val="auto"/>
                      <w:kern w:val="2"/>
                      <w:sz w:val="21"/>
                      <w:szCs w:val="21"/>
                      <w:u w:val="single"/>
                      <w:lang w:val="en-US" w:eastAsia="zh-CN"/>
                    </w:rPr>
                  </w:pPr>
                  <w:r>
                    <w:rPr>
                      <w:rFonts w:hint="eastAsia"/>
                      <w:color w:val="auto"/>
                      <w:kern w:val="2"/>
                      <w:sz w:val="21"/>
                      <w:szCs w:val="21"/>
                      <w:u w:val="single"/>
                      <w:lang w:val="en-US" w:eastAsia="zh-CN"/>
                    </w:rPr>
                    <w:t>优先选用低噪声设备，合理布局高噪声设备，同时对高噪声设备采取</w:t>
                  </w:r>
                  <w:r>
                    <w:rPr>
                      <w:rFonts w:hint="eastAsia"/>
                      <w:color w:val="auto"/>
                      <w:kern w:val="2"/>
                      <w:sz w:val="21"/>
                      <w:szCs w:val="21"/>
                      <w:u w:val="single"/>
                    </w:rPr>
                    <w:t>基础减振、厂房隔声等</w:t>
                  </w:r>
                  <w:r>
                    <w:rPr>
                      <w:rFonts w:hint="eastAsia"/>
                      <w:color w:val="auto"/>
                      <w:kern w:val="2"/>
                      <w:sz w:val="21"/>
                      <w:szCs w:val="21"/>
                      <w:u w:val="single"/>
                      <w:lang w:val="en-US" w:eastAsia="zh-CN"/>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54" w:type="dxa"/>
                  <w:vMerge w:val="continue"/>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color w:val="auto"/>
                      <w:kern w:val="2"/>
                      <w:sz w:val="21"/>
                      <w:szCs w:val="21"/>
                      <w:u w:val="single"/>
                    </w:rPr>
                  </w:pPr>
                </w:p>
              </w:tc>
              <w:tc>
                <w:tcPr>
                  <w:tcW w:w="2124" w:type="dxa"/>
                  <w:gridSpan w:val="2"/>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textAlignment w:val="auto"/>
                    <w:rPr>
                      <w:rFonts w:hint="eastAsia" w:eastAsia="宋体"/>
                      <w:color w:val="auto"/>
                      <w:kern w:val="2"/>
                      <w:sz w:val="21"/>
                      <w:szCs w:val="21"/>
                      <w:u w:val="single"/>
                      <w:lang w:eastAsia="zh-CN"/>
                    </w:rPr>
                  </w:pPr>
                  <w:r>
                    <w:rPr>
                      <w:rFonts w:hint="eastAsia"/>
                      <w:color w:val="auto"/>
                      <w:kern w:val="2"/>
                      <w:sz w:val="21"/>
                      <w:szCs w:val="21"/>
                      <w:u w:val="single"/>
                      <w:lang w:eastAsia="zh-CN"/>
                    </w:rPr>
                    <w:t>风险防范</w:t>
                  </w:r>
                </w:p>
              </w:tc>
              <w:tc>
                <w:tcPr>
                  <w:tcW w:w="6135" w:type="dxa"/>
                  <w:noWrap w:val="0"/>
                  <w:vAlign w:val="center"/>
                </w:tcPr>
                <w:p>
                  <w:pPr>
                    <w:pStyle w:val="36"/>
                    <w:keepNext w:val="0"/>
                    <w:keepLines w:val="0"/>
                    <w:pageBreakBefore w:val="0"/>
                    <w:widowControl/>
                    <w:kinsoku/>
                    <w:wordWrap/>
                    <w:overflowPunct/>
                    <w:topLinePunct w:val="0"/>
                    <w:autoSpaceDE/>
                    <w:autoSpaceDN/>
                    <w:bidi w:val="0"/>
                    <w:adjustRightInd/>
                    <w:spacing w:before="0" w:after="0"/>
                    <w:ind w:firstLine="0" w:firstLineChars="0"/>
                    <w:jc w:val="both"/>
                    <w:textAlignment w:val="auto"/>
                    <w:rPr>
                      <w:rFonts w:hint="default"/>
                      <w:color w:val="auto"/>
                      <w:kern w:val="2"/>
                      <w:sz w:val="21"/>
                      <w:szCs w:val="21"/>
                      <w:u w:val="single"/>
                      <w:lang w:val="en-US" w:eastAsia="zh-CN"/>
                    </w:rPr>
                  </w:pPr>
                  <w:r>
                    <w:rPr>
                      <w:rFonts w:hint="eastAsia"/>
                      <w:color w:val="auto"/>
                      <w:kern w:val="2"/>
                      <w:sz w:val="21"/>
                      <w:szCs w:val="21"/>
                      <w:u w:val="single"/>
                      <w:lang w:val="en-US" w:eastAsia="zh-CN"/>
                    </w:rPr>
                    <w:t>在厂区西北角设200m</w:t>
                  </w:r>
                  <w:r>
                    <w:rPr>
                      <w:rFonts w:hint="eastAsia"/>
                      <w:color w:val="auto"/>
                      <w:kern w:val="2"/>
                      <w:sz w:val="21"/>
                      <w:szCs w:val="21"/>
                      <w:u w:val="single"/>
                      <w:vertAlign w:val="superscript"/>
                      <w:lang w:val="en-US" w:eastAsia="zh-CN"/>
                    </w:rPr>
                    <w:t>3</w:t>
                  </w:r>
                  <w:r>
                    <w:rPr>
                      <w:rFonts w:hint="eastAsia"/>
                      <w:color w:val="auto"/>
                      <w:kern w:val="2"/>
                      <w:sz w:val="21"/>
                      <w:szCs w:val="21"/>
                      <w:u w:val="single"/>
                      <w:lang w:val="en-US" w:eastAsia="zh-CN"/>
                    </w:rPr>
                    <w:t>应急池</w:t>
                  </w:r>
                </w:p>
              </w:tc>
            </w:tr>
          </w:tbl>
          <w:p>
            <w:pPr>
              <w:numPr>
                <w:ilvl w:val="0"/>
                <w:numId w:val="21"/>
              </w:numPr>
              <w:spacing w:line="360" w:lineRule="auto"/>
              <w:ind w:firstLine="482" w:firstLineChars="200"/>
              <w:rPr>
                <w:rFonts w:hint="eastAsia" w:cs="Times New Roman"/>
                <w:b/>
                <w:bCs/>
                <w:color w:val="auto"/>
                <w:sz w:val="24"/>
                <w:szCs w:val="24"/>
                <w:u w:val="single"/>
                <w:lang w:val="en-US" w:eastAsia="zh-CN"/>
              </w:rPr>
            </w:pPr>
            <w:r>
              <w:rPr>
                <w:rFonts w:hint="eastAsia" w:cs="Times New Roman"/>
                <w:b/>
                <w:bCs/>
                <w:color w:val="auto"/>
                <w:sz w:val="24"/>
                <w:szCs w:val="24"/>
                <w:u w:val="single"/>
                <w:lang w:val="en-US" w:eastAsia="zh-CN"/>
              </w:rPr>
              <w:t>现有不锈钢生产线工艺简述</w:t>
            </w:r>
          </w:p>
          <w:p>
            <w:pPr>
              <w:numPr>
                <w:ilvl w:val="0"/>
                <w:numId w:val="0"/>
              </w:numPr>
              <w:spacing w:line="360" w:lineRule="auto"/>
              <w:ind w:firstLine="480" w:firstLineChars="200"/>
              <w:rPr>
                <w:rFonts w:hint="eastAsia" w:cs="Times New Roman"/>
                <w:b w:val="0"/>
                <w:bCs w:val="0"/>
                <w:color w:val="auto"/>
                <w:sz w:val="24"/>
                <w:szCs w:val="24"/>
                <w:u w:val="single"/>
                <w:lang w:val="en-US" w:eastAsia="zh-CN"/>
              </w:rPr>
            </w:pPr>
            <w:r>
              <w:rPr>
                <w:rFonts w:hint="eastAsia" w:cs="Times New Roman"/>
                <w:b w:val="0"/>
                <w:bCs w:val="0"/>
                <w:color w:val="auto"/>
                <w:sz w:val="24"/>
                <w:szCs w:val="24"/>
                <w:u w:val="single"/>
                <w:lang w:val="en-US" w:eastAsia="zh-CN"/>
              </w:rPr>
              <w:t>本次</w:t>
            </w:r>
            <w:r>
              <w:rPr>
                <w:rFonts w:hint="eastAsia"/>
                <w:color w:val="auto"/>
                <w:sz w:val="24"/>
                <w:u w:val="single"/>
                <w:lang w:eastAsia="zh-CN"/>
              </w:rPr>
              <w:t>改扩建项目现有工程</w:t>
            </w:r>
            <w:r>
              <w:rPr>
                <w:rFonts w:hint="eastAsia" w:cs="Times New Roman"/>
                <w:b w:val="0"/>
                <w:bCs w:val="0"/>
                <w:color w:val="auto"/>
                <w:sz w:val="24"/>
                <w:szCs w:val="24"/>
                <w:u w:val="single"/>
                <w:lang w:val="en-US" w:eastAsia="zh-CN"/>
              </w:rPr>
              <w:t>只涉及不锈钢焊丝生产线，仅对现有不锈钢焊丝工艺进行描述。</w:t>
            </w:r>
          </w:p>
          <w:p>
            <w:pPr>
              <w:spacing w:line="360" w:lineRule="auto"/>
              <w:ind w:firstLine="480" w:firstLineChars="200"/>
              <w:rPr>
                <w:rFonts w:hint="default" w:ascii="Times New Roman" w:hAnsi="Times New Roman" w:cs="Times New Roman"/>
                <w:b w:val="0"/>
                <w:bCs w:val="0"/>
                <w:color w:val="auto"/>
                <w:sz w:val="24"/>
                <w:szCs w:val="24"/>
                <w:u w:val="single"/>
                <w:lang w:val="en-US" w:eastAsia="zh-CN"/>
              </w:rPr>
            </w:pPr>
            <w:r>
              <w:rPr>
                <w:rFonts w:hint="default" w:ascii="Times New Roman" w:hAnsi="Times New Roman" w:cs="Times New Roman"/>
                <w:color w:val="auto"/>
                <w:sz w:val="24"/>
                <w:szCs w:val="24"/>
              </w:rPr>
              <w:t>项目生产不锈钢焊丝主要采用不锈钢丝为原料，生产时先对钢丝进行涂膜处理，使钢丝表面形成一层致密、牢固的润滑载体，便于进行拉丝工序。钢丝在加有涂膜剂（主要成分是硬脂酸钠，浓度为100g/L）的涂膜槽中浸泡5-10分钟，钢丝表面会涂上一层具有润滑性质的涂膜剂。涂膜过程中涂膜剂会不断消耗，需定期向槽中投加涂膜剂，涂膜剂不排放，但生产过程中会产生极少量的沉渣，一年清理一次。之后将钢丝</w:t>
            </w:r>
            <w:r>
              <w:rPr>
                <w:rFonts w:hint="eastAsia" w:ascii="Times New Roman" w:hAnsi="Times New Roman" w:cs="Times New Roman"/>
                <w:color w:val="auto"/>
                <w:sz w:val="24"/>
                <w:szCs w:val="24"/>
                <w:lang w:eastAsia="zh-CN"/>
              </w:rPr>
              <w:t>进行电烘干</w:t>
            </w:r>
            <w:r>
              <w:rPr>
                <w:rFonts w:hint="default" w:ascii="Times New Roman" w:hAnsi="Times New Roman" w:cs="Times New Roman"/>
                <w:color w:val="auto"/>
                <w:sz w:val="24"/>
                <w:szCs w:val="24"/>
              </w:rPr>
              <w:t>，再送拉丝机中拉拔到规定的直径，需加入滑石粉起润滑作用。接下来在碱洗槽中进行电解碱洗，使用的碱溶液为氢氧化钠，浓度为100g/L，碱洗后进行水洗。再在酸洗槽中进行电解酸洗，使用的酸溶液为稀硫酸，浓度为150g/L，酸洗后进行水洗。</w:t>
            </w:r>
            <w:r>
              <w:rPr>
                <w:rFonts w:hint="eastAsia" w:ascii="Times New Roman" w:hAnsi="Times New Roman" w:cs="Times New Roman"/>
                <w:color w:val="auto"/>
                <w:sz w:val="24"/>
                <w:szCs w:val="24"/>
                <w:lang w:eastAsia="zh-CN"/>
              </w:rPr>
              <w:t>烘干</w:t>
            </w:r>
            <w:r>
              <w:rPr>
                <w:rFonts w:hint="default" w:ascii="Times New Roman" w:hAnsi="Times New Roman" w:cs="Times New Roman"/>
                <w:color w:val="auto"/>
                <w:sz w:val="24"/>
                <w:szCs w:val="24"/>
              </w:rPr>
              <w:t>之后再进行乳化，钢丝在送丝机作用下穿过加有乳化油（主要成分为</w:t>
            </w: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HYPERLINK "http://baike.baidu.com/view/1137092.htm" \t "_blank" </w:instrText>
            </w:r>
            <w:r>
              <w:rPr>
                <w:rFonts w:hint="default" w:ascii="Times New Roman" w:hAnsi="Times New Roman" w:cs="Times New Roman"/>
                <w:bCs/>
                <w:color w:val="auto"/>
                <w:sz w:val="24"/>
                <w:szCs w:val="24"/>
              </w:rPr>
              <w:fldChar w:fldCharType="separate"/>
            </w:r>
            <w:r>
              <w:rPr>
                <w:rStyle w:val="34"/>
                <w:rFonts w:hint="default" w:ascii="Times New Roman" w:hAnsi="Times New Roman" w:cs="Times New Roman"/>
                <w:bCs/>
                <w:color w:val="auto"/>
                <w:sz w:val="24"/>
                <w:szCs w:val="24"/>
                <w:u w:val="none"/>
              </w:rPr>
              <w:t>椰子油脂肪酸二乙醇酰胺</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）的乳化槽，乳化过程中乳化油会不断消耗，需定期向乳化槽中投加乳化油。之后采用钻石模抛光定径，定径后进行层绕，层绕时首先采用粗绕，粗绕后进行外观检验，再进行精绕，最后经检验合格后包装入库。</w:t>
            </w:r>
          </w:p>
          <w:p>
            <w:pPr>
              <w:pStyle w:val="60"/>
              <w:bidi w:val="0"/>
              <w:rPr>
                <w:rFonts w:hint="default"/>
                <w:color w:val="auto"/>
                <w:u w:val="single"/>
                <w:lang w:val="en-US" w:eastAsia="zh-CN"/>
              </w:rPr>
            </w:pPr>
            <w:r>
              <w:rPr>
                <w:rFonts w:hint="default"/>
                <w:color w:val="auto"/>
                <w:u w:val="single"/>
                <w:lang w:val="en-US" w:eastAsia="zh-CN"/>
              </w:rPr>
              <w:object>
                <v:shape id="_x0000_i1031" o:spt="75" type="#_x0000_t75" style="height:422.45pt;width:230.5pt;" o:ole="t" filled="f" o:preferrelative="t" stroked="f" coordsize="21600,21600">
                  <v:path/>
                  <v:fill on="f" focussize="0,0"/>
                  <v:stroke on="f"/>
                  <v:imagedata r:id="rId26" croptop="2509f" cropbottom="2547f" o:title=""/>
                  <o:lock v:ext="edit" aspectratio="f"/>
                  <w10:wrap type="none"/>
                  <w10:anchorlock/>
                </v:shape>
                <o:OLEObject Type="Embed" ProgID="Visio.Drawing.15" ShapeID="_x0000_i1031" DrawAspect="Content" ObjectID="_1468075731" r:id="rId25">
                  <o:LockedField>false</o:LockedField>
                </o:OLEObject>
              </w:object>
            </w:r>
          </w:p>
          <w:p>
            <w:pPr>
              <w:pStyle w:val="60"/>
              <w:bidi w:val="0"/>
              <w:rPr>
                <w:rFonts w:hint="default"/>
                <w:color w:val="auto"/>
                <w:u w:val="single"/>
                <w:lang w:val="en-US" w:eastAsia="zh-CN"/>
              </w:rPr>
            </w:pPr>
            <w:r>
              <w:rPr>
                <w:rFonts w:hint="eastAsia"/>
                <w:color w:val="auto"/>
                <w:sz w:val="24"/>
                <w:szCs w:val="24"/>
                <w:u w:val="single"/>
                <w:lang w:val="en-US" w:eastAsia="zh-CN"/>
              </w:rPr>
              <w:t>图2.10-1不锈钢焊丝现有生产工艺流程图</w:t>
            </w:r>
          </w:p>
          <w:p>
            <w:pPr>
              <w:numPr>
                <w:ilvl w:val="0"/>
                <w:numId w:val="0"/>
              </w:numPr>
              <w:spacing w:line="360" w:lineRule="auto"/>
              <w:ind w:firstLine="482" w:firstLineChars="200"/>
              <w:rPr>
                <w:rFonts w:hint="eastAsia"/>
                <w:b/>
                <w:bCs/>
                <w:color w:val="auto"/>
                <w:sz w:val="24"/>
                <w:szCs w:val="24"/>
                <w:u w:val="none"/>
              </w:rPr>
            </w:pPr>
            <w:r>
              <w:rPr>
                <w:rFonts w:hint="eastAsia" w:cs="Times New Roman"/>
                <w:b/>
                <w:bCs/>
                <w:color w:val="auto"/>
                <w:sz w:val="24"/>
                <w:szCs w:val="24"/>
                <w:u w:val="none"/>
                <w:lang w:val="en-US" w:eastAsia="zh-CN"/>
              </w:rPr>
              <w:t>五、现有</w:t>
            </w:r>
            <w:r>
              <w:rPr>
                <w:rFonts w:hint="eastAsia" w:ascii="Times New Roman" w:hAnsi="Times New Roman" w:eastAsia="宋体" w:cs="Times New Roman"/>
                <w:b/>
                <w:bCs/>
                <w:color w:val="auto"/>
                <w:sz w:val="24"/>
                <w:szCs w:val="24"/>
                <w:u w:val="none"/>
                <w:lang w:val="en-US" w:eastAsia="zh-CN"/>
              </w:rPr>
              <w:t>项目污染排放情况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u w:val="none"/>
                <w:lang w:val="en-US" w:eastAsia="zh-CN"/>
              </w:rPr>
            </w:pPr>
            <w:r>
              <w:rPr>
                <w:rFonts w:hint="eastAsia" w:ascii="宋体" w:hAnsi="宋体" w:eastAsia="宋体" w:cs="宋体"/>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有组织废气</w:t>
            </w:r>
          </w:p>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①</w:t>
            </w:r>
            <w:r>
              <w:rPr>
                <w:rFonts w:hint="default" w:ascii="Times New Roman" w:hAnsi="Times New Roman" w:cs="Times New Roman"/>
                <w:bCs/>
                <w:color w:val="auto"/>
                <w:szCs w:val="28"/>
                <w:highlight w:val="none"/>
                <w:lang w:val="en-US" w:eastAsia="zh-CN"/>
              </w:rPr>
              <w:t>酸洗废气</w:t>
            </w:r>
          </w:p>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cs="Times New Roman"/>
                <w:bCs/>
                <w:color w:val="auto"/>
                <w:szCs w:val="28"/>
                <w:highlight w:val="none"/>
                <w:u w:val="none"/>
                <w:lang w:val="en-US" w:eastAsia="zh-CN"/>
              </w:rPr>
            </w:pPr>
            <w:r>
              <w:rPr>
                <w:rFonts w:hint="eastAsia" w:ascii="Times New Roman" w:hAnsi="Times New Roman" w:cs="Times New Roman"/>
                <w:bCs/>
                <w:color w:val="auto"/>
                <w:szCs w:val="28"/>
                <w:highlight w:val="none"/>
                <w:u w:val="none"/>
                <w:lang w:val="en-US" w:eastAsia="zh-CN"/>
              </w:rPr>
              <w:t>气保焊丝车间内</w:t>
            </w:r>
            <w:r>
              <w:rPr>
                <w:rFonts w:hint="default" w:ascii="Times New Roman" w:hAnsi="Times New Roman" w:cs="Times New Roman"/>
                <w:bCs/>
                <w:color w:val="auto"/>
                <w:szCs w:val="28"/>
                <w:highlight w:val="none"/>
                <w:u w:val="none"/>
                <w:lang w:val="en-US" w:eastAsia="zh-CN"/>
              </w:rPr>
              <w:t>酸洗废气经4套碱喷淋装置处理后经4根15m高排气筒排放。</w:t>
            </w:r>
          </w:p>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cs="Times New Roman"/>
                <w:bCs/>
                <w:color w:val="auto"/>
                <w:szCs w:val="28"/>
                <w:highlight w:val="none"/>
                <w:lang w:val="en-US" w:eastAsia="zh-CN"/>
              </w:rPr>
              <w:t>根据</w:t>
            </w:r>
            <w:r>
              <w:rPr>
                <w:rFonts w:hint="default" w:ascii="Times New Roman" w:hAnsi="Times New Roman" w:cs="Times New Roman"/>
                <w:bCs/>
                <w:color w:val="auto"/>
                <w:szCs w:val="28"/>
                <w:highlight w:val="none"/>
                <w:lang w:eastAsia="zh-CN"/>
              </w:rPr>
              <w:t>湖南求是</w:t>
            </w:r>
            <w:r>
              <w:rPr>
                <w:rFonts w:hint="default" w:ascii="Times New Roman" w:hAnsi="Times New Roman" w:cs="Times New Roman"/>
                <w:bCs/>
                <w:color w:val="auto"/>
                <w:szCs w:val="28"/>
                <w:highlight w:val="none"/>
              </w:rPr>
              <w:t>检测</w:t>
            </w:r>
            <w:r>
              <w:rPr>
                <w:rFonts w:hint="default" w:ascii="Times New Roman" w:hAnsi="Times New Roman" w:cs="Times New Roman"/>
                <w:bCs/>
                <w:color w:val="auto"/>
                <w:szCs w:val="28"/>
                <w:highlight w:val="none"/>
                <w:lang w:eastAsia="zh-CN"/>
              </w:rPr>
              <w:t>科技</w:t>
            </w:r>
            <w:r>
              <w:rPr>
                <w:rFonts w:hint="default" w:ascii="Times New Roman" w:hAnsi="Times New Roman" w:cs="Times New Roman"/>
                <w:bCs/>
                <w:color w:val="auto"/>
                <w:szCs w:val="28"/>
                <w:highlight w:val="none"/>
              </w:rPr>
              <w:t>有限公司</w:t>
            </w:r>
            <w:r>
              <w:rPr>
                <w:rFonts w:hint="default" w:ascii="Times New Roman" w:hAnsi="Times New Roman" w:cs="Times New Roman"/>
                <w:bCs/>
                <w:color w:val="auto"/>
                <w:szCs w:val="28"/>
                <w:highlight w:val="none"/>
                <w:lang w:val="en-US" w:eastAsia="zh-CN"/>
              </w:rPr>
              <w:t>2023年12月12日出具的</w:t>
            </w:r>
            <w:r>
              <w:rPr>
                <w:rFonts w:hint="default" w:ascii="Times New Roman" w:hAnsi="Times New Roman" w:cs="Times New Roman"/>
                <w:bCs/>
                <w:color w:val="auto"/>
                <w:szCs w:val="28"/>
                <w:highlight w:val="none"/>
              </w:rPr>
              <w:t>《</w:t>
            </w:r>
            <w:r>
              <w:rPr>
                <w:rFonts w:hint="default" w:ascii="Times New Roman" w:hAnsi="Times New Roman" w:eastAsia="宋体" w:cs="Times New Roman"/>
                <w:b w:val="0"/>
                <w:bCs/>
                <w:color w:val="auto"/>
                <w:sz w:val="24"/>
                <w:szCs w:val="24"/>
                <w:highlight w:val="none"/>
                <w:u w:val="none" w:color="auto"/>
                <w:lang w:val="en-US" w:eastAsia="zh-CN"/>
              </w:rPr>
              <w:t>湖南西姆西科技有限公司</w:t>
            </w:r>
            <w:r>
              <w:rPr>
                <w:rFonts w:hint="default" w:ascii="Times New Roman" w:hAnsi="Times New Roman" w:cs="Times New Roman"/>
                <w:color w:val="auto"/>
                <w:spacing w:val="11"/>
                <w:lang w:eastAsia="zh-CN"/>
              </w:rPr>
              <w:t>自行</w:t>
            </w:r>
            <w:r>
              <w:rPr>
                <w:rFonts w:hint="default" w:ascii="Times New Roman" w:hAnsi="Times New Roman" w:cs="Times New Roman"/>
                <w:bCs/>
                <w:color w:val="auto"/>
                <w:szCs w:val="28"/>
                <w:highlight w:val="none"/>
              </w:rPr>
              <w:t>监测报告》</w:t>
            </w:r>
            <w:r>
              <w:rPr>
                <w:rFonts w:hint="default" w:ascii="Times New Roman" w:hAnsi="Times New Roman" w:cs="Times New Roman"/>
                <w:bCs/>
                <w:color w:val="auto"/>
                <w:szCs w:val="28"/>
                <w:highlight w:val="none"/>
                <w:lang w:eastAsia="zh-CN"/>
              </w:rPr>
              <w:t>（</w:t>
            </w:r>
            <w:r>
              <w:rPr>
                <w:rFonts w:hint="default" w:ascii="Times New Roman" w:hAnsi="Times New Roman" w:cs="Times New Roman"/>
                <w:color w:val="auto"/>
                <w:highlight w:val="none"/>
              </w:rPr>
              <w:t>报告编号：QS20230502-3</w:t>
            </w:r>
            <w:r>
              <w:rPr>
                <w:rFonts w:hint="default" w:ascii="Times New Roman" w:hAnsi="Times New Roman" w:cs="Times New Roman"/>
                <w:color w:val="auto"/>
                <w:highlight w:val="none"/>
                <w:lang w:eastAsia="zh-CN"/>
              </w:rPr>
              <w:t>）</w:t>
            </w:r>
            <w:r>
              <w:rPr>
                <w:rFonts w:hint="default" w:ascii="Times New Roman" w:hAnsi="Times New Roman" w:cs="Times New Roman"/>
                <w:bCs/>
                <w:color w:val="auto"/>
                <w:szCs w:val="28"/>
                <w:highlight w:val="none"/>
              </w:rPr>
              <w:t>，</w:t>
            </w:r>
            <w:r>
              <w:rPr>
                <w:rFonts w:hint="default" w:ascii="Times New Roman" w:hAnsi="Times New Roman" w:cs="Times New Roman"/>
                <w:bCs/>
                <w:color w:val="auto"/>
                <w:szCs w:val="28"/>
                <w:highlight w:val="none"/>
                <w:lang w:val="en-US" w:eastAsia="zh-CN"/>
              </w:rPr>
              <w:t>于</w:t>
            </w:r>
            <w:r>
              <w:rPr>
                <w:rFonts w:hint="default" w:ascii="Times New Roman" w:hAnsi="Times New Roman" w:cs="Times New Roman"/>
                <w:bCs/>
                <w:color w:val="auto"/>
                <w:szCs w:val="28"/>
                <w:highlight w:val="none"/>
              </w:rPr>
              <w:t>2023</w:t>
            </w:r>
            <w:r>
              <w:rPr>
                <w:rFonts w:hint="default" w:ascii="Times New Roman" w:hAnsi="Times New Roman" w:cs="Times New Roman"/>
                <w:bCs/>
                <w:color w:val="auto"/>
                <w:szCs w:val="28"/>
                <w:highlight w:val="none"/>
                <w:lang w:val="en-US" w:eastAsia="zh-CN"/>
              </w:rPr>
              <w:t>年</w:t>
            </w:r>
            <w:r>
              <w:rPr>
                <w:rFonts w:hint="eastAsia" w:ascii="Times New Roman" w:hAnsi="Times New Roman" w:cs="Times New Roman"/>
                <w:bCs/>
                <w:color w:val="auto"/>
                <w:szCs w:val="28"/>
                <w:highlight w:val="none"/>
                <w:lang w:val="en-US" w:eastAsia="zh-CN"/>
              </w:rPr>
              <w:t>11</w:t>
            </w:r>
            <w:r>
              <w:rPr>
                <w:rFonts w:hint="default" w:ascii="Times New Roman" w:hAnsi="Times New Roman" w:cs="Times New Roman"/>
                <w:bCs/>
                <w:color w:val="auto"/>
                <w:szCs w:val="28"/>
                <w:highlight w:val="none"/>
                <w:lang w:val="en-US" w:eastAsia="zh-CN"/>
              </w:rPr>
              <w:t>月</w:t>
            </w:r>
            <w:r>
              <w:rPr>
                <w:rFonts w:hint="default" w:ascii="Times New Roman" w:hAnsi="Times New Roman" w:cs="Times New Roman"/>
                <w:bCs/>
                <w:color w:val="auto"/>
                <w:szCs w:val="28"/>
                <w:highlight w:val="none"/>
              </w:rPr>
              <w:t>2</w:t>
            </w:r>
            <w:r>
              <w:rPr>
                <w:rFonts w:hint="eastAsia" w:ascii="Times New Roman" w:hAnsi="Times New Roman" w:cs="Times New Roman"/>
                <w:bCs/>
                <w:color w:val="auto"/>
                <w:szCs w:val="28"/>
                <w:highlight w:val="none"/>
                <w:lang w:val="en-US" w:eastAsia="zh-CN"/>
              </w:rPr>
              <w:t>4</w:t>
            </w:r>
            <w:r>
              <w:rPr>
                <w:rFonts w:hint="default" w:ascii="Times New Roman" w:hAnsi="Times New Roman" w:cs="Times New Roman"/>
                <w:bCs/>
                <w:color w:val="auto"/>
                <w:szCs w:val="28"/>
                <w:highlight w:val="none"/>
                <w:lang w:val="en-US" w:eastAsia="zh-CN"/>
              </w:rPr>
              <w:t>日</w:t>
            </w:r>
            <w:r>
              <w:rPr>
                <w:rFonts w:hint="default" w:ascii="Times New Roman" w:hAnsi="Times New Roman" w:cs="Times New Roman"/>
                <w:color w:val="auto"/>
                <w:highlight w:val="none"/>
              </w:rPr>
              <w:t>对该项目</w:t>
            </w:r>
            <w:r>
              <w:rPr>
                <w:rFonts w:hint="eastAsia" w:ascii="Times New Roman" w:hAnsi="Times New Roman" w:cs="Times New Roman"/>
                <w:color w:val="auto"/>
                <w:highlight w:val="none"/>
                <w:lang w:eastAsia="zh-CN"/>
              </w:rPr>
              <w:t>酸洗</w:t>
            </w:r>
            <w:r>
              <w:rPr>
                <w:rFonts w:hint="default" w:ascii="Times New Roman" w:hAnsi="Times New Roman" w:cs="Times New Roman"/>
                <w:color w:val="auto"/>
                <w:highlight w:val="none"/>
                <w:lang w:val="en-US" w:eastAsia="zh-CN"/>
              </w:rPr>
              <w:t>有组织废气排放情况</w:t>
            </w:r>
            <w:r>
              <w:rPr>
                <w:rFonts w:hint="default" w:ascii="Times New Roman" w:hAnsi="Times New Roman" w:cs="Times New Roman"/>
                <w:color w:val="auto"/>
                <w:highlight w:val="none"/>
              </w:rPr>
              <w:t>进行了检测</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检测结果如下</w:t>
            </w:r>
            <w:r>
              <w:rPr>
                <w:rFonts w:hint="default" w:ascii="Times New Roman" w:hAnsi="Times New Roman" w:cs="Times New Roman"/>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ascii="Times New Roman" w:hAnsi="Times New Roman"/>
                <w:b/>
                <w:color w:val="auto"/>
                <w:sz w:val="24"/>
                <w:szCs w:val="32"/>
                <w:highlight w:val="none"/>
              </w:rPr>
            </w:pPr>
            <w:r>
              <w:rPr>
                <w:rFonts w:ascii="Times New Roman" w:hAnsi="Times New Roman"/>
                <w:b/>
                <w:color w:val="auto"/>
                <w:sz w:val="24"/>
                <w:szCs w:val="24"/>
                <w:highlight w:val="none"/>
                <w:lang w:val="zh-CN"/>
              </w:rPr>
              <w:t>表</w:t>
            </w:r>
            <w:r>
              <w:rPr>
                <w:rFonts w:hint="eastAsia" w:ascii="Times New Roman" w:hAnsi="Times New Roman"/>
                <w:b/>
                <w:color w:val="auto"/>
                <w:sz w:val="24"/>
                <w:szCs w:val="24"/>
                <w:highlight w:val="none"/>
              </w:rPr>
              <w:t>2</w:t>
            </w:r>
            <w:r>
              <w:rPr>
                <w:rFonts w:hint="eastAsia" w:ascii="Times New Roman" w:hAnsi="Times New Roman"/>
                <w:b/>
                <w:color w:val="auto"/>
                <w:sz w:val="24"/>
                <w:szCs w:val="24"/>
                <w:highlight w:val="none"/>
                <w:lang w:val="en-US" w:eastAsia="zh-CN"/>
              </w:rPr>
              <w:t>.10-</w:t>
            </w:r>
            <w:r>
              <w:rPr>
                <w:rFonts w:hint="eastAsia"/>
                <w:b/>
                <w:color w:val="auto"/>
                <w:sz w:val="24"/>
                <w:szCs w:val="24"/>
                <w:highlight w:val="none"/>
                <w:lang w:val="en-US" w:eastAsia="zh-CN"/>
              </w:rPr>
              <w:t>3</w:t>
            </w:r>
            <w:r>
              <w:rPr>
                <w:rFonts w:ascii="Times New Roman" w:hAnsi="Times New Roman"/>
                <w:b/>
                <w:color w:val="auto"/>
                <w:sz w:val="24"/>
                <w:szCs w:val="24"/>
                <w:highlight w:val="none"/>
                <w:lang w:val="zh-CN"/>
              </w:rPr>
              <w:t>项目</w:t>
            </w:r>
            <w:r>
              <w:rPr>
                <w:rFonts w:hint="eastAsia" w:ascii="Times New Roman" w:hAnsi="Times New Roman"/>
                <w:b/>
                <w:color w:val="auto"/>
                <w:sz w:val="24"/>
                <w:szCs w:val="24"/>
                <w:highlight w:val="none"/>
                <w:lang w:val="zh-CN"/>
              </w:rPr>
              <w:t>有组织</w:t>
            </w:r>
            <w:r>
              <w:rPr>
                <w:rFonts w:ascii="Times New Roman" w:hAnsi="Times New Roman"/>
                <w:b/>
                <w:color w:val="auto"/>
                <w:sz w:val="24"/>
                <w:szCs w:val="24"/>
                <w:highlight w:val="none"/>
                <w:lang w:val="zh-CN"/>
              </w:rPr>
              <w:t>废气</w:t>
            </w:r>
            <w:r>
              <w:rPr>
                <w:rFonts w:hint="eastAsia" w:ascii="Times New Roman" w:hAnsi="Times New Roman"/>
                <w:b/>
                <w:color w:val="auto"/>
                <w:sz w:val="24"/>
                <w:szCs w:val="24"/>
                <w:highlight w:val="none"/>
                <w:lang w:val="zh-CN"/>
              </w:rPr>
              <w:t>检测</w:t>
            </w:r>
            <w:r>
              <w:rPr>
                <w:rFonts w:ascii="Times New Roman" w:hAnsi="Times New Roman"/>
                <w:b/>
                <w:color w:val="auto"/>
                <w:sz w:val="24"/>
                <w:szCs w:val="24"/>
                <w:highlight w:val="none"/>
                <w:lang w:val="zh-CN"/>
              </w:rPr>
              <w:t>结果</w:t>
            </w:r>
            <w:r>
              <w:rPr>
                <w:rFonts w:hint="eastAsia" w:ascii="Times New Roman" w:hAnsi="Times New Roman"/>
                <w:b/>
                <w:color w:val="auto"/>
                <w:sz w:val="24"/>
                <w:szCs w:val="24"/>
                <w:highlight w:val="none"/>
                <w:lang w:val="zh-CN"/>
              </w:rPr>
              <w:t>一览表</w:t>
            </w:r>
          </w:p>
          <w:tbl>
            <w:tblPr>
              <w:tblStyle w:val="9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949"/>
              <w:gridCol w:w="1126"/>
              <w:gridCol w:w="2366"/>
              <w:gridCol w:w="1437"/>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2949"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采样点位</w:t>
                  </w:r>
                </w:p>
              </w:tc>
              <w:tc>
                <w:tcPr>
                  <w:tcW w:w="1125"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b/>
                      <w:bCs/>
                      <w:color w:val="auto"/>
                      <w:spacing w:val="0"/>
                      <w:sz w:val="21"/>
                      <w:szCs w:val="21"/>
                      <w:lang w:eastAsia="zh-CN"/>
                    </w:rPr>
                  </w:pPr>
                  <w:r>
                    <w:rPr>
                      <w:rFonts w:hint="eastAsia" w:ascii="Times New Roman Regular" w:hAnsi="Times New Roman Regular" w:eastAsia="宋体" w:cs="Times New Roman"/>
                      <w:b/>
                      <w:bCs/>
                      <w:color w:val="auto"/>
                      <w:spacing w:val="0"/>
                      <w:sz w:val="21"/>
                      <w:szCs w:val="21"/>
                      <w:lang w:eastAsia="zh-CN"/>
                    </w:rPr>
                    <w:t>高度（</w:t>
                  </w:r>
                  <w:r>
                    <w:rPr>
                      <w:rFonts w:hint="eastAsia" w:ascii="Times New Roman Regular" w:hAnsi="Times New Roman Regular" w:eastAsia="宋体" w:cs="Times New Roman"/>
                      <w:b/>
                      <w:bCs/>
                      <w:color w:val="auto"/>
                      <w:spacing w:val="0"/>
                      <w:sz w:val="21"/>
                      <w:szCs w:val="21"/>
                      <w:lang w:val="en-US" w:eastAsia="zh-CN"/>
                    </w:rPr>
                    <w:t>m</w:t>
                  </w:r>
                  <w:r>
                    <w:rPr>
                      <w:rFonts w:hint="eastAsia" w:ascii="Times New Roman Regular" w:hAnsi="Times New Roman Regular" w:eastAsia="宋体" w:cs="Times New Roman"/>
                      <w:b/>
                      <w:bCs/>
                      <w:color w:val="auto"/>
                      <w:spacing w:val="0"/>
                      <w:sz w:val="21"/>
                      <w:szCs w:val="21"/>
                      <w:lang w:eastAsia="zh-CN"/>
                    </w:rPr>
                    <w:t>）</w:t>
                  </w: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b/>
                      <w:bCs/>
                      <w:color w:val="auto"/>
                      <w:spacing w:val="0"/>
                      <w:sz w:val="21"/>
                      <w:szCs w:val="21"/>
                      <w:lang w:eastAsia="zh-CN"/>
                    </w:rPr>
                  </w:pPr>
                  <w:r>
                    <w:rPr>
                      <w:rFonts w:hint="default" w:ascii="Times New Roman Regular" w:hAnsi="Times New Roman Regular" w:eastAsia="宋体" w:cs="Times New Roman"/>
                      <w:b/>
                      <w:bCs/>
                      <w:color w:val="auto"/>
                      <w:spacing w:val="0"/>
                      <w:sz w:val="21"/>
                      <w:szCs w:val="21"/>
                    </w:rPr>
                    <w:t>检测结果</w:t>
                  </w:r>
                  <w:r>
                    <w:rPr>
                      <w:rFonts w:hint="eastAsia" w:ascii="Times New Roman Regular" w:hAnsi="Times New Roman Regular" w:eastAsia="宋体" w:cs="Times New Roman"/>
                      <w:b/>
                      <w:bCs/>
                      <w:color w:val="auto"/>
                      <w:spacing w:val="0"/>
                      <w:sz w:val="21"/>
                      <w:szCs w:val="21"/>
                      <w:lang w:eastAsia="zh-CN"/>
                    </w:rPr>
                    <w:t>（</w:t>
                  </w:r>
                  <w:r>
                    <w:rPr>
                      <w:rFonts w:hint="eastAsia" w:ascii="Times New Roman Regular" w:hAnsi="Times New Roman Regular" w:eastAsia="宋体" w:cs="Times New Roman"/>
                      <w:b/>
                      <w:bCs/>
                      <w:color w:val="auto"/>
                      <w:spacing w:val="0"/>
                      <w:sz w:val="21"/>
                      <w:szCs w:val="21"/>
                      <w:lang w:val="en-US" w:eastAsia="zh-CN"/>
                    </w:rPr>
                    <w:t>mg/m</w:t>
                  </w:r>
                  <w:r>
                    <w:rPr>
                      <w:rFonts w:hint="eastAsia" w:ascii="Times New Roman Regular" w:hAnsi="Times New Roman Regular" w:eastAsia="宋体" w:cs="Times New Roman"/>
                      <w:b/>
                      <w:bCs/>
                      <w:color w:val="auto"/>
                      <w:spacing w:val="0"/>
                      <w:sz w:val="21"/>
                      <w:szCs w:val="21"/>
                      <w:vertAlign w:val="superscript"/>
                      <w:lang w:val="en-US" w:eastAsia="zh-CN"/>
                    </w:rPr>
                    <w:t>3</w:t>
                  </w:r>
                  <w:r>
                    <w:rPr>
                      <w:rFonts w:hint="eastAsia" w:ascii="Times New Roman Regular" w:hAnsi="Times New Roman Regular" w:eastAsia="宋体" w:cs="Times New Roman"/>
                      <w:b/>
                      <w:bCs/>
                      <w:color w:val="auto"/>
                      <w:spacing w:val="0"/>
                      <w:sz w:val="21"/>
                      <w:szCs w:val="21"/>
                      <w:lang w:eastAsia="zh-CN"/>
                    </w:rPr>
                    <w:t>）</w:t>
                  </w:r>
                </w:p>
              </w:tc>
              <w:tc>
                <w:tcPr>
                  <w:tcW w:w="1437"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标干流量(m³/h)</w:t>
                  </w:r>
                </w:p>
              </w:tc>
              <w:tc>
                <w:tcPr>
                  <w:tcW w:w="1436"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b/>
                      <w:bCs/>
                      <w:color w:val="auto"/>
                      <w:spacing w:val="0"/>
                      <w:sz w:val="21"/>
                      <w:szCs w:val="21"/>
                      <w:lang w:eastAsia="zh-CN"/>
                    </w:rPr>
                  </w:pPr>
                  <w:r>
                    <w:rPr>
                      <w:rFonts w:hint="eastAsia" w:ascii="Times New Roman Regular" w:hAnsi="Times New Roman Regular" w:eastAsia="宋体" w:cs="Times New Roman"/>
                      <w:b/>
                      <w:bCs/>
                      <w:color w:val="auto"/>
                      <w:spacing w:val="0"/>
                      <w:sz w:val="21"/>
                      <w:szCs w:val="21"/>
                      <w:lang w:eastAsia="zh-CN"/>
                    </w:rPr>
                    <w:t>流速（</w:t>
                  </w:r>
                  <w:r>
                    <w:rPr>
                      <w:rFonts w:hint="eastAsia" w:ascii="Times New Roman Regular" w:hAnsi="Times New Roman Regular" w:eastAsia="宋体" w:cs="Times New Roman"/>
                      <w:b/>
                      <w:bCs/>
                      <w:color w:val="auto"/>
                      <w:spacing w:val="0"/>
                      <w:sz w:val="21"/>
                      <w:szCs w:val="21"/>
                      <w:lang w:val="en-US" w:eastAsia="zh-CN"/>
                    </w:rPr>
                    <w:t>m/s</w:t>
                  </w:r>
                  <w:r>
                    <w:rPr>
                      <w:rFonts w:hint="eastAsia" w:ascii="Times New Roman Regular" w:hAnsi="Times New Roman Regular" w:eastAsia="宋体" w:cs="Times New Roman"/>
                      <w:b/>
                      <w:bCs/>
                      <w:color w:val="auto"/>
                      <w:spacing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2949"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Regular" w:hAnsi="Times New Roman Regular" w:eastAsia="宋体" w:cs="Times New Roman"/>
                      <w:color w:val="auto"/>
                      <w:spacing w:val="0"/>
                      <w:sz w:val="21"/>
                      <w:szCs w:val="21"/>
                    </w:rPr>
                  </w:pPr>
                </w:p>
              </w:tc>
              <w:tc>
                <w:tcPr>
                  <w:tcW w:w="1125"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Regular" w:hAnsi="Times New Roman Regular" w:eastAsia="宋体" w:cs="Times New Roman"/>
                      <w:color w:val="auto"/>
                      <w:spacing w:val="0"/>
                      <w:sz w:val="21"/>
                      <w:szCs w:val="21"/>
                    </w:rPr>
                  </w:pP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color w:val="auto"/>
                      <w:spacing w:val="0"/>
                      <w:sz w:val="21"/>
                      <w:szCs w:val="21"/>
                      <w:lang w:eastAsia="zh-CN"/>
                    </w:rPr>
                  </w:pPr>
                  <w:r>
                    <w:rPr>
                      <w:rFonts w:hint="eastAsia" w:ascii="Times New Roman Regular" w:hAnsi="Times New Roman Regular" w:eastAsia="宋体" w:cs="Times New Roman"/>
                      <w:color w:val="auto"/>
                      <w:spacing w:val="0"/>
                      <w:sz w:val="21"/>
                      <w:szCs w:val="21"/>
                      <w:lang w:eastAsia="zh-CN"/>
                    </w:rPr>
                    <w:t>硫酸雾</w:t>
                  </w:r>
                </w:p>
              </w:tc>
              <w:tc>
                <w:tcPr>
                  <w:tcW w:w="1437"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rPr>
                  </w:pPr>
                </w:p>
              </w:tc>
              <w:tc>
                <w:tcPr>
                  <w:tcW w:w="1436"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2949"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rPr>
                  </w:pPr>
                  <w:r>
                    <w:rPr>
                      <w:rFonts w:hint="eastAsia" w:ascii="Times New Roman Regular" w:hAnsi="Times New Roman Regular" w:eastAsia="宋体" w:cs="Times New Roman"/>
                      <w:color w:val="auto"/>
                      <w:spacing w:val="0"/>
                      <w:sz w:val="21"/>
                      <w:szCs w:val="21"/>
                      <w:lang w:eastAsia="zh-CN"/>
                    </w:rPr>
                    <w:t>酸洗</w:t>
                  </w:r>
                  <w:r>
                    <w:rPr>
                      <w:rFonts w:hint="default" w:ascii="Times New Roman Regular" w:hAnsi="Times New Roman Regular" w:eastAsia="宋体" w:cs="Times New Roman"/>
                      <w:color w:val="auto"/>
                      <w:spacing w:val="0"/>
                      <w:sz w:val="21"/>
                      <w:szCs w:val="21"/>
                    </w:rPr>
                    <w:t>废气排放口DA001</w:t>
                  </w:r>
                </w:p>
              </w:tc>
              <w:tc>
                <w:tcPr>
                  <w:tcW w:w="1125" w:type="dxa"/>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15</w:t>
                  </w: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0.92</w:t>
                  </w:r>
                </w:p>
              </w:tc>
              <w:tc>
                <w:tcPr>
                  <w:tcW w:w="14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2416</w:t>
                  </w:r>
                </w:p>
              </w:tc>
              <w:tc>
                <w:tcPr>
                  <w:tcW w:w="143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2949"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活化废气排气口DA002</w:t>
                  </w:r>
                </w:p>
              </w:tc>
              <w:tc>
                <w:tcPr>
                  <w:tcW w:w="1125"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rPr>
                  </w:pP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14.2</w:t>
                  </w:r>
                </w:p>
              </w:tc>
              <w:tc>
                <w:tcPr>
                  <w:tcW w:w="14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2508</w:t>
                  </w:r>
                </w:p>
              </w:tc>
              <w:tc>
                <w:tcPr>
                  <w:tcW w:w="143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2949"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color w:val="auto"/>
                      <w:spacing w:val="0"/>
                      <w:sz w:val="21"/>
                      <w:szCs w:val="21"/>
                      <w:lang w:eastAsia="zh-CN"/>
                    </w:rPr>
                  </w:pPr>
                  <w:r>
                    <w:rPr>
                      <w:rFonts w:hint="eastAsia" w:ascii="Times New Roman Regular" w:hAnsi="Times New Roman Regular" w:eastAsia="宋体" w:cs="Times New Roman"/>
                      <w:color w:val="auto"/>
                      <w:spacing w:val="0"/>
                      <w:sz w:val="21"/>
                      <w:szCs w:val="21"/>
                      <w:lang w:eastAsia="zh-CN"/>
                    </w:rPr>
                    <w:t>化学置换废气排气口</w:t>
                  </w:r>
                  <w:r>
                    <w:rPr>
                      <w:rFonts w:hint="default" w:ascii="Times New Roman Regular" w:hAnsi="Times New Roman Regular" w:eastAsia="宋体" w:cs="Times New Roman"/>
                      <w:color w:val="auto"/>
                      <w:spacing w:val="0"/>
                      <w:sz w:val="21"/>
                      <w:szCs w:val="21"/>
                    </w:rPr>
                    <w:t>DA00</w:t>
                  </w:r>
                  <w:r>
                    <w:rPr>
                      <w:rFonts w:hint="eastAsia" w:ascii="Times New Roman Regular" w:hAnsi="Times New Roman Regular" w:eastAsia="宋体" w:cs="Times New Roman"/>
                      <w:color w:val="auto"/>
                      <w:spacing w:val="0"/>
                      <w:sz w:val="21"/>
                      <w:szCs w:val="21"/>
                      <w:lang w:val="en-US" w:eastAsia="zh-CN"/>
                    </w:rPr>
                    <w:t>3</w:t>
                  </w:r>
                </w:p>
              </w:tc>
              <w:tc>
                <w:tcPr>
                  <w:tcW w:w="1125"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rPr>
                  </w:pP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＜0.2</w:t>
                  </w:r>
                </w:p>
              </w:tc>
              <w:tc>
                <w:tcPr>
                  <w:tcW w:w="14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2986</w:t>
                  </w:r>
                </w:p>
              </w:tc>
              <w:tc>
                <w:tcPr>
                  <w:tcW w:w="143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2949"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eastAsia="zh-CN"/>
                    </w:rPr>
                    <w:t>酸洗</w:t>
                  </w:r>
                  <w:r>
                    <w:rPr>
                      <w:rFonts w:hint="default" w:ascii="Times New Roman Regular" w:hAnsi="Times New Roman Regular" w:eastAsia="宋体" w:cs="Times New Roman"/>
                      <w:color w:val="auto"/>
                      <w:spacing w:val="0"/>
                      <w:sz w:val="21"/>
                      <w:szCs w:val="21"/>
                    </w:rPr>
                    <w:t>废气排放口</w:t>
                  </w:r>
                  <w:r>
                    <w:rPr>
                      <w:rFonts w:hint="eastAsia" w:ascii="Times New Roman Regular" w:hAnsi="Times New Roman Regular" w:cs="Times New Roman"/>
                      <w:color w:val="auto"/>
                      <w:spacing w:val="0"/>
                      <w:sz w:val="21"/>
                      <w:szCs w:val="21"/>
                      <w:lang w:val="en-US" w:eastAsia="zh-CN"/>
                    </w:rPr>
                    <w:t>DA004</w:t>
                  </w:r>
                </w:p>
              </w:tc>
              <w:tc>
                <w:tcPr>
                  <w:tcW w:w="1125" w:type="dxa"/>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en-US"/>
                    </w:rPr>
                  </w:pP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7.02</w:t>
                  </w:r>
                </w:p>
              </w:tc>
              <w:tc>
                <w:tcPr>
                  <w:tcW w:w="14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2315</w:t>
                  </w:r>
                </w:p>
              </w:tc>
              <w:tc>
                <w:tcPr>
                  <w:tcW w:w="143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color w:val="auto"/>
                      <w:spacing w:val="0"/>
                      <w:sz w:val="21"/>
                      <w:szCs w:val="21"/>
                      <w:lang w:val="en-US" w:eastAsia="zh-CN"/>
                    </w:rPr>
                  </w:pPr>
                  <w:r>
                    <w:rPr>
                      <w:rFonts w:hint="eastAsia" w:ascii="Times New Roman Regular" w:hAnsi="Times New Roman Regular" w:eastAsia="宋体" w:cs="Times New Roman"/>
                      <w:color w:val="auto"/>
                      <w:spacing w:val="0"/>
                      <w:sz w:val="21"/>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4074" w:type="dxa"/>
                  <w:gridSpan w:val="2"/>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b/>
                      <w:bCs/>
                      <w:color w:val="auto"/>
                      <w:spacing w:val="0"/>
                      <w:sz w:val="21"/>
                      <w:szCs w:val="21"/>
                      <w:lang w:val="en-US" w:eastAsia="zh-CN"/>
                    </w:rPr>
                  </w:pPr>
                  <w:r>
                    <w:rPr>
                      <w:rFonts w:hint="eastAsia" w:ascii="Times New Roman Regular" w:hAnsi="Times New Roman Regular" w:eastAsia="宋体" w:cs="Times New Roman"/>
                      <w:b/>
                      <w:bCs/>
                      <w:color w:val="auto"/>
                      <w:spacing w:val="0"/>
                      <w:sz w:val="21"/>
                      <w:szCs w:val="21"/>
                      <w:lang w:val="en-US" w:eastAsia="zh-CN"/>
                    </w:rPr>
                    <w:t>标准限值</w:t>
                  </w:r>
                </w:p>
              </w:tc>
              <w:tc>
                <w:tcPr>
                  <w:tcW w:w="236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lang w:val="en-US" w:eastAsia="zh-CN"/>
                    </w:rPr>
                  </w:pPr>
                  <w:r>
                    <w:rPr>
                      <w:rFonts w:hint="eastAsia" w:ascii="Times New Roman Regular" w:hAnsi="Times New Roman Regular" w:eastAsia="宋体" w:cs="Times New Roman"/>
                      <w:b/>
                      <w:bCs/>
                      <w:color w:val="auto"/>
                      <w:spacing w:val="0"/>
                      <w:sz w:val="21"/>
                      <w:szCs w:val="21"/>
                      <w:lang w:val="en-US" w:eastAsia="zh-CN"/>
                    </w:rPr>
                    <w:t>45</w:t>
                  </w:r>
                </w:p>
              </w:tc>
              <w:tc>
                <w:tcPr>
                  <w:tcW w:w="14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lang w:val="en-US" w:eastAsia="zh-CN"/>
                    </w:rPr>
                  </w:pPr>
                  <w:r>
                    <w:rPr>
                      <w:rFonts w:hint="eastAsia" w:ascii="Times New Roman Regular" w:hAnsi="Times New Roman Regular" w:eastAsia="宋体" w:cs="Times New Roman"/>
                      <w:b/>
                      <w:bCs/>
                      <w:color w:val="auto"/>
                      <w:spacing w:val="0"/>
                      <w:sz w:val="21"/>
                      <w:szCs w:val="21"/>
                      <w:lang w:val="en-US" w:eastAsia="zh-CN"/>
                    </w:rPr>
                    <w:t>/</w:t>
                  </w:r>
                </w:p>
              </w:tc>
              <w:tc>
                <w:tcPr>
                  <w:tcW w:w="1436"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lang w:val="en-US" w:eastAsia="zh-CN"/>
                    </w:rPr>
                  </w:pPr>
                  <w:r>
                    <w:rPr>
                      <w:rFonts w:hint="eastAsia" w:ascii="Times New Roman Regular" w:hAnsi="Times New Roman Regular" w:eastAsia="宋体" w:cs="Times New Roman"/>
                      <w:b/>
                      <w:bCs/>
                      <w:color w:val="auto"/>
                      <w:spacing w:val="0"/>
                      <w:sz w:val="21"/>
                      <w:szCs w:val="21"/>
                      <w:lang w:val="en-US" w:eastAsia="zh-CN"/>
                    </w:rPr>
                    <w:t>/</w:t>
                  </w:r>
                </w:p>
              </w:tc>
            </w:tr>
          </w:tbl>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u w:val="none"/>
                <w:lang w:val="en-US" w:eastAsia="zh-CN" w:bidi="ar"/>
              </w:rPr>
            </w:pPr>
            <w:r>
              <w:rPr>
                <w:rFonts w:hint="default" w:ascii="Times New Roman" w:hAnsi="Times New Roman" w:cs="Times New Roman"/>
                <w:b w:val="0"/>
                <w:bCs/>
                <w:color w:val="auto"/>
                <w:kern w:val="20"/>
                <w:sz w:val="24"/>
                <w:szCs w:val="24"/>
                <w:highlight w:val="none"/>
                <w:u w:val="none"/>
                <w:lang w:val="en-US" w:eastAsia="zh-CN"/>
              </w:rPr>
              <w:t>各酸洗</w:t>
            </w:r>
            <w:r>
              <w:rPr>
                <w:rFonts w:hint="default" w:ascii="Times New Roman" w:hAnsi="Times New Roman" w:eastAsia="宋体" w:cs="Times New Roman"/>
                <w:b w:val="0"/>
                <w:bCs/>
                <w:color w:val="auto"/>
                <w:sz w:val="24"/>
                <w:szCs w:val="24"/>
                <w:u w:val="none"/>
                <w:lang w:val="en-US" w:eastAsia="zh-CN"/>
              </w:rPr>
              <w:t>废气</w:t>
            </w:r>
            <w:r>
              <w:rPr>
                <w:rFonts w:hint="default" w:ascii="Times New Roman" w:hAnsi="Times New Roman" w:cs="Times New Roman"/>
                <w:b w:val="0"/>
                <w:bCs/>
                <w:color w:val="auto"/>
                <w:sz w:val="24"/>
                <w:szCs w:val="24"/>
                <w:u w:val="none"/>
                <w:lang w:eastAsia="zh-CN"/>
              </w:rPr>
              <w:t>排放口</w:t>
            </w:r>
            <w:r>
              <w:rPr>
                <w:rFonts w:hint="default" w:ascii="Times New Roman" w:hAnsi="Times New Roman" w:eastAsia="宋体" w:cs="Times New Roman"/>
                <w:b w:val="0"/>
                <w:bCs w:val="0"/>
                <w:color w:val="auto"/>
                <w:sz w:val="24"/>
                <w:szCs w:val="24"/>
                <w:u w:val="none"/>
                <w:lang w:val="en-US" w:eastAsia="zh-CN"/>
              </w:rPr>
              <w:t>的</w:t>
            </w:r>
            <w:r>
              <w:rPr>
                <w:rFonts w:hint="default" w:ascii="Times New Roman" w:hAnsi="Times New Roman" w:cs="Times New Roman"/>
                <w:b w:val="0"/>
                <w:bCs w:val="0"/>
                <w:color w:val="auto"/>
                <w:sz w:val="24"/>
                <w:szCs w:val="24"/>
                <w:u w:val="none"/>
                <w:lang w:val="en-US" w:eastAsia="zh-CN"/>
              </w:rPr>
              <w:t>硫酸雾</w:t>
            </w:r>
            <w:r>
              <w:rPr>
                <w:rFonts w:hint="default" w:ascii="Times New Roman" w:hAnsi="Times New Roman" w:eastAsia="宋体" w:cs="Times New Roman"/>
                <w:b w:val="0"/>
                <w:bCs w:val="0"/>
                <w:color w:val="auto"/>
                <w:sz w:val="24"/>
                <w:szCs w:val="24"/>
                <w:u w:val="none"/>
                <w:lang w:val="en-US" w:eastAsia="zh-CN"/>
              </w:rPr>
              <w:t>可满足</w:t>
            </w:r>
            <w:r>
              <w:rPr>
                <w:rFonts w:hint="default" w:ascii="Times New Roman" w:hAnsi="Times New Roman" w:eastAsia="宋体" w:cs="Times New Roman"/>
                <w:color w:val="auto"/>
                <w:kern w:val="0"/>
                <w:sz w:val="24"/>
                <w:szCs w:val="24"/>
                <w:lang w:val="en-US" w:eastAsia="zh-CN" w:bidi="ar"/>
              </w:rPr>
              <w:t>《大气污染物综合排放标准》（GB16297-1996）表2</w:t>
            </w:r>
            <w:r>
              <w:rPr>
                <w:rFonts w:hint="default" w:ascii="Times New Roman" w:hAnsi="Times New Roman" w:eastAsia="宋体" w:cs="Times New Roman"/>
                <w:b w:val="0"/>
                <w:bCs w:val="0"/>
                <w:color w:val="auto"/>
                <w:sz w:val="24"/>
                <w:szCs w:val="24"/>
                <w:u w:val="none"/>
                <w:lang w:val="en-US" w:eastAsia="zh-CN"/>
              </w:rPr>
              <w:t>中</w:t>
            </w:r>
            <w:r>
              <w:rPr>
                <w:rFonts w:hint="default" w:ascii="Times New Roman" w:hAnsi="Times New Roman" w:cs="Times New Roman"/>
                <w:b w:val="0"/>
                <w:bCs w:val="0"/>
                <w:color w:val="auto"/>
                <w:sz w:val="24"/>
                <w:szCs w:val="24"/>
                <w:u w:val="none"/>
                <w:lang w:val="en-US" w:eastAsia="zh-CN"/>
              </w:rPr>
              <w:t>二级标准</w:t>
            </w:r>
            <w:r>
              <w:rPr>
                <w:rFonts w:hint="default" w:ascii="Times New Roman" w:hAnsi="Times New Roman" w:eastAsia="宋体" w:cs="Times New Roman"/>
                <w:b w:val="0"/>
                <w:bCs w:val="0"/>
                <w:color w:val="auto"/>
                <w:sz w:val="24"/>
                <w:szCs w:val="24"/>
                <w:u w:val="none"/>
                <w:lang w:val="en-US" w:eastAsia="zh-CN"/>
              </w:rPr>
              <w:t>要求。</w:t>
            </w:r>
          </w:p>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②</w:t>
            </w:r>
            <w:r>
              <w:rPr>
                <w:rFonts w:hint="eastAsia" w:ascii="Times New Roman" w:hAnsi="Times New Roman" w:cs="Times New Roman"/>
                <w:color w:val="auto"/>
                <w:kern w:val="0"/>
                <w:sz w:val="24"/>
                <w:szCs w:val="24"/>
                <w:u w:val="none"/>
                <w:lang w:val="en-US" w:eastAsia="zh-CN" w:bidi="ar"/>
              </w:rPr>
              <w:t>锅炉废气</w:t>
            </w:r>
          </w:p>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现有项目设生物质燃料</w:t>
            </w:r>
            <w:r>
              <w:rPr>
                <w:rFonts w:hint="eastAsia" w:ascii="Times New Roman" w:hAnsi="Times New Roman" w:cs="Times New Roman"/>
                <w:color w:val="auto"/>
                <w:kern w:val="0"/>
                <w:sz w:val="24"/>
                <w:szCs w:val="24"/>
                <w:u w:val="none"/>
                <w:lang w:val="en-US" w:eastAsia="zh-CN" w:bidi="ar"/>
              </w:rPr>
              <w:t>0.75t/h</w:t>
            </w:r>
            <w:r>
              <w:rPr>
                <w:rFonts w:hint="default" w:ascii="Times New Roman" w:hAnsi="Times New Roman" w:eastAsia="宋体" w:cs="Times New Roman"/>
                <w:color w:val="auto"/>
                <w:kern w:val="0"/>
                <w:sz w:val="24"/>
                <w:szCs w:val="24"/>
                <w:u w:val="none"/>
                <w:lang w:val="en-US" w:eastAsia="zh-CN" w:bidi="ar"/>
              </w:rPr>
              <w:t>锅炉</w:t>
            </w:r>
            <w:r>
              <w:rPr>
                <w:rFonts w:hint="eastAsia" w:ascii="Times New Roman" w:hAnsi="Times New Roman" w:cs="Times New Roman"/>
                <w:color w:val="auto"/>
                <w:kern w:val="0"/>
                <w:sz w:val="24"/>
                <w:szCs w:val="24"/>
                <w:u w:val="none"/>
                <w:lang w:val="en-US" w:eastAsia="zh-CN" w:bidi="ar"/>
              </w:rPr>
              <w:t>1</w:t>
            </w:r>
            <w:r>
              <w:rPr>
                <w:rFonts w:hint="default" w:ascii="Times New Roman" w:hAnsi="Times New Roman" w:eastAsia="宋体" w:cs="Times New Roman"/>
                <w:color w:val="auto"/>
                <w:kern w:val="0"/>
                <w:sz w:val="24"/>
                <w:szCs w:val="24"/>
                <w:u w:val="none"/>
                <w:lang w:val="en-US" w:eastAsia="zh-CN" w:bidi="ar"/>
              </w:rPr>
              <w:t>台</w:t>
            </w:r>
            <w:r>
              <w:rPr>
                <w:rFonts w:hint="eastAsia" w:ascii="Times New Roman" w:hAnsi="Times New Roman" w:cs="Times New Roman"/>
                <w:color w:val="auto"/>
                <w:kern w:val="0"/>
                <w:sz w:val="24"/>
                <w:szCs w:val="24"/>
                <w:u w:val="none"/>
                <w:lang w:val="en-US" w:eastAsia="zh-CN" w:bidi="ar"/>
              </w:rPr>
              <w:t>、0.35t/h</w:t>
            </w:r>
            <w:r>
              <w:rPr>
                <w:rFonts w:hint="default" w:ascii="Times New Roman" w:hAnsi="Times New Roman" w:eastAsia="宋体" w:cs="Times New Roman"/>
                <w:color w:val="auto"/>
                <w:kern w:val="0"/>
                <w:sz w:val="24"/>
                <w:szCs w:val="24"/>
                <w:u w:val="none"/>
                <w:lang w:val="en-US" w:eastAsia="zh-CN" w:bidi="ar"/>
              </w:rPr>
              <w:t>锅炉</w:t>
            </w:r>
            <w:r>
              <w:rPr>
                <w:rFonts w:hint="eastAsia" w:ascii="Times New Roman" w:hAnsi="Times New Roman" w:cs="Times New Roman"/>
                <w:color w:val="auto"/>
                <w:kern w:val="0"/>
                <w:sz w:val="24"/>
                <w:szCs w:val="24"/>
                <w:u w:val="none"/>
                <w:lang w:val="en-US" w:eastAsia="zh-CN" w:bidi="ar"/>
              </w:rPr>
              <w:t>2</w:t>
            </w:r>
            <w:r>
              <w:rPr>
                <w:rFonts w:hint="default" w:ascii="Times New Roman" w:hAnsi="Times New Roman" w:eastAsia="宋体" w:cs="Times New Roman"/>
                <w:color w:val="auto"/>
                <w:kern w:val="0"/>
                <w:sz w:val="24"/>
                <w:szCs w:val="24"/>
                <w:u w:val="none"/>
                <w:lang w:val="en-US" w:eastAsia="zh-CN" w:bidi="ar"/>
              </w:rPr>
              <w:t>台</w:t>
            </w:r>
            <w:r>
              <w:rPr>
                <w:rFonts w:hint="eastAsia" w:ascii="Times New Roman" w:hAnsi="Times New Roman" w:cs="Times New Roman"/>
                <w:color w:val="auto"/>
                <w:kern w:val="0"/>
                <w:sz w:val="24"/>
                <w:szCs w:val="24"/>
                <w:u w:val="none"/>
                <w:lang w:val="en-US" w:eastAsia="zh-CN" w:bidi="ar"/>
              </w:rPr>
              <w:t>（一用一备）</w:t>
            </w:r>
            <w:r>
              <w:rPr>
                <w:rFonts w:hint="eastAsia" w:ascii="Times New Roman" w:hAnsi="Times New Roman" w:eastAsia="宋体"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生物质成型燃料总消耗量约1200t/a，锅炉年工作日为</w:t>
            </w:r>
            <w:r>
              <w:rPr>
                <w:rFonts w:hint="eastAsia" w:ascii="Times New Roman" w:hAnsi="Times New Roman" w:cs="Times New Roman"/>
                <w:color w:val="auto"/>
                <w:kern w:val="0"/>
                <w:sz w:val="24"/>
                <w:szCs w:val="24"/>
                <w:u w:val="none"/>
                <w:lang w:val="en-US" w:eastAsia="zh-CN" w:bidi="ar"/>
              </w:rPr>
              <w:t>265</w:t>
            </w:r>
            <w:r>
              <w:rPr>
                <w:rFonts w:hint="default" w:ascii="Times New Roman" w:hAnsi="Times New Roman" w:eastAsia="宋体" w:cs="Times New Roman"/>
                <w:color w:val="auto"/>
                <w:kern w:val="0"/>
                <w:sz w:val="24"/>
                <w:szCs w:val="24"/>
                <w:u w:val="none"/>
                <w:lang w:val="en-US" w:eastAsia="zh-CN" w:bidi="ar"/>
              </w:rPr>
              <w:t>天，平均每天使用约</w:t>
            </w:r>
            <w:r>
              <w:rPr>
                <w:rFonts w:hint="eastAsia" w:ascii="Times New Roman" w:hAnsi="Times New Roman" w:cs="Times New Roman"/>
                <w:color w:val="auto"/>
                <w:kern w:val="0"/>
                <w:sz w:val="24"/>
                <w:szCs w:val="24"/>
                <w:u w:val="none"/>
                <w:lang w:val="en-US" w:eastAsia="zh-CN" w:bidi="ar"/>
              </w:rPr>
              <w:t>2</w:t>
            </w:r>
            <w:r>
              <w:rPr>
                <w:rFonts w:hint="default" w:ascii="Times New Roman" w:hAnsi="Times New Roman" w:eastAsia="宋体" w:cs="Times New Roman"/>
                <w:color w:val="auto"/>
                <w:kern w:val="0"/>
                <w:sz w:val="24"/>
                <w:szCs w:val="24"/>
                <w:u w:val="none"/>
                <w:lang w:val="en-US" w:eastAsia="zh-CN" w:bidi="ar"/>
              </w:rPr>
              <w:t>小时。燃烧废气</w:t>
            </w:r>
            <w:r>
              <w:rPr>
                <w:rFonts w:hint="eastAsia" w:ascii="Times New Roman" w:hAnsi="Times New Roman" w:cs="Times New Roman"/>
                <w:color w:val="auto"/>
                <w:kern w:val="0"/>
                <w:sz w:val="24"/>
                <w:szCs w:val="24"/>
                <w:u w:val="none"/>
                <w:lang w:val="en-US" w:eastAsia="zh-CN" w:bidi="ar"/>
              </w:rPr>
              <w:t>经2套水喷淋</w:t>
            </w:r>
            <w:r>
              <w:rPr>
                <w:rFonts w:hint="eastAsia" w:ascii="Times New Roman" w:hAnsi="Times New Roman" w:eastAsia="宋体" w:cs="Times New Roman"/>
                <w:color w:val="auto"/>
                <w:kern w:val="0"/>
                <w:sz w:val="24"/>
                <w:szCs w:val="24"/>
                <w:u w:val="none"/>
                <w:lang w:val="en-US" w:eastAsia="zh-CN" w:bidi="ar"/>
              </w:rPr>
              <w:t>处理</w:t>
            </w:r>
            <w:r>
              <w:rPr>
                <w:rFonts w:hint="default" w:ascii="Times New Roman" w:hAnsi="Times New Roman" w:eastAsia="宋体" w:cs="Times New Roman"/>
                <w:color w:val="auto"/>
                <w:kern w:val="0"/>
                <w:sz w:val="24"/>
                <w:szCs w:val="24"/>
                <w:u w:val="none"/>
                <w:lang w:val="en-US" w:eastAsia="zh-CN" w:bidi="ar"/>
              </w:rPr>
              <w:t>锅炉烟气后</w:t>
            </w:r>
            <w:r>
              <w:rPr>
                <w:rFonts w:hint="eastAsia" w:ascii="Times New Roman" w:hAnsi="Times New Roman" w:cs="Times New Roman"/>
                <w:color w:val="auto"/>
                <w:kern w:val="0"/>
                <w:sz w:val="24"/>
                <w:szCs w:val="24"/>
                <w:u w:val="none"/>
                <w:lang w:val="en-US" w:eastAsia="zh-CN" w:bidi="ar"/>
              </w:rPr>
              <w:t>经15</w:t>
            </w:r>
            <w:r>
              <w:rPr>
                <w:rFonts w:hint="default" w:ascii="Times New Roman" w:hAnsi="Times New Roman" w:eastAsia="宋体" w:cs="Times New Roman"/>
                <w:color w:val="auto"/>
                <w:kern w:val="0"/>
                <w:sz w:val="24"/>
                <w:szCs w:val="24"/>
                <w:u w:val="none"/>
                <w:lang w:val="en-US" w:eastAsia="zh-CN" w:bidi="ar"/>
              </w:rPr>
              <w:t>m高排气筒外排</w:t>
            </w:r>
            <w:r>
              <w:rPr>
                <w:rFonts w:hint="eastAsia" w:ascii="Times New Roman" w:hAnsi="Times New Roman" w:cs="Times New Roman"/>
                <w:color w:val="auto"/>
                <w:kern w:val="0"/>
                <w:sz w:val="24"/>
                <w:szCs w:val="24"/>
                <w:u w:val="none"/>
                <w:lang w:val="en-US" w:eastAsia="zh-CN" w:bidi="ar"/>
              </w:rPr>
              <w:t>。</w:t>
            </w:r>
          </w:p>
          <w:p>
            <w:pPr>
              <w:pStyle w:val="25"/>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u w:val="none"/>
                <w:lang w:val="en-US"/>
              </w:rPr>
            </w:pPr>
            <w:r>
              <w:rPr>
                <w:rFonts w:hint="eastAsia" w:ascii="Times New Roman" w:hAnsi="Times New Roman" w:cs="Times New Roman"/>
                <w:color w:val="auto"/>
                <w:kern w:val="0"/>
                <w:sz w:val="24"/>
                <w:szCs w:val="24"/>
                <w:u w:val="none"/>
                <w:lang w:val="en-US" w:eastAsia="zh-CN" w:bidi="ar"/>
              </w:rPr>
              <w:t>企业2023年未使用锅炉，因此</w:t>
            </w:r>
            <w:r>
              <w:rPr>
                <w:rFonts w:hint="default" w:ascii="Times New Roman" w:hAnsi="Times New Roman" w:cs="Times New Roman"/>
                <w:bCs/>
                <w:color w:val="auto"/>
                <w:szCs w:val="28"/>
                <w:highlight w:val="none"/>
                <w:lang w:val="en-US" w:eastAsia="zh-CN"/>
              </w:rPr>
              <w:t>根据</w:t>
            </w:r>
            <w:r>
              <w:rPr>
                <w:rFonts w:hint="eastAsia" w:ascii="Times New Roman" w:hAnsi="Times New Roman" w:cs="Times New Roman"/>
                <w:bCs/>
                <w:color w:val="auto"/>
                <w:szCs w:val="28"/>
                <w:highlight w:val="none"/>
                <w:lang w:val="en-US" w:eastAsia="zh-CN"/>
              </w:rPr>
              <w:t>长沙瑾瑶环保科技有限公司</w:t>
            </w:r>
            <w:r>
              <w:rPr>
                <w:rFonts w:hint="default" w:ascii="Times New Roman" w:hAnsi="Times New Roman" w:cs="Times New Roman"/>
                <w:bCs/>
                <w:color w:val="auto"/>
                <w:szCs w:val="28"/>
                <w:highlight w:val="none"/>
                <w:lang w:val="en-US" w:eastAsia="zh-CN"/>
              </w:rPr>
              <w:t>202</w:t>
            </w:r>
            <w:r>
              <w:rPr>
                <w:rFonts w:hint="eastAsia" w:ascii="Times New Roman" w:hAnsi="Times New Roman" w:cs="Times New Roman"/>
                <w:bCs/>
                <w:color w:val="auto"/>
                <w:szCs w:val="28"/>
                <w:highlight w:val="none"/>
                <w:lang w:val="en-US" w:eastAsia="zh-CN"/>
              </w:rPr>
              <w:t>2</w:t>
            </w:r>
            <w:r>
              <w:rPr>
                <w:rFonts w:hint="default" w:ascii="Times New Roman" w:hAnsi="Times New Roman" w:cs="Times New Roman"/>
                <w:bCs/>
                <w:color w:val="auto"/>
                <w:szCs w:val="28"/>
                <w:highlight w:val="none"/>
                <w:lang w:val="en-US" w:eastAsia="zh-CN"/>
              </w:rPr>
              <w:t>年12月</w:t>
            </w:r>
            <w:r>
              <w:rPr>
                <w:rFonts w:hint="eastAsia" w:ascii="Times New Roman" w:hAnsi="Times New Roman" w:cs="Times New Roman"/>
                <w:bCs/>
                <w:color w:val="auto"/>
                <w:szCs w:val="28"/>
                <w:highlight w:val="none"/>
                <w:lang w:val="en-US" w:eastAsia="zh-CN"/>
              </w:rPr>
              <w:t>27</w:t>
            </w:r>
            <w:r>
              <w:rPr>
                <w:rFonts w:hint="default" w:ascii="Times New Roman" w:hAnsi="Times New Roman" w:cs="Times New Roman"/>
                <w:bCs/>
                <w:color w:val="auto"/>
                <w:szCs w:val="28"/>
                <w:highlight w:val="none"/>
                <w:lang w:val="en-US" w:eastAsia="zh-CN"/>
              </w:rPr>
              <w:t>日出具的</w:t>
            </w:r>
            <w:r>
              <w:rPr>
                <w:rFonts w:hint="default" w:ascii="Times New Roman" w:hAnsi="Times New Roman" w:cs="Times New Roman"/>
                <w:bCs/>
                <w:color w:val="auto"/>
                <w:szCs w:val="28"/>
                <w:highlight w:val="none"/>
              </w:rPr>
              <w:t>《</w:t>
            </w:r>
            <w:r>
              <w:rPr>
                <w:rFonts w:hint="default" w:ascii="Times New Roman" w:hAnsi="Times New Roman" w:eastAsia="宋体" w:cs="Times New Roman"/>
                <w:b w:val="0"/>
                <w:bCs/>
                <w:color w:val="auto"/>
                <w:sz w:val="24"/>
                <w:szCs w:val="24"/>
                <w:highlight w:val="none"/>
                <w:u w:val="none" w:color="auto"/>
                <w:lang w:val="en-US" w:eastAsia="zh-CN"/>
              </w:rPr>
              <w:t>湖南西姆西科技有限公司</w:t>
            </w:r>
            <w:r>
              <w:rPr>
                <w:rFonts w:hint="default" w:ascii="Times New Roman" w:hAnsi="Times New Roman" w:cs="Times New Roman"/>
                <w:color w:val="auto"/>
                <w:spacing w:val="11"/>
                <w:lang w:eastAsia="zh-CN"/>
              </w:rPr>
              <w:t>自行</w:t>
            </w:r>
            <w:r>
              <w:rPr>
                <w:rFonts w:hint="default" w:ascii="Times New Roman" w:hAnsi="Times New Roman" w:cs="Times New Roman"/>
                <w:bCs/>
                <w:color w:val="auto"/>
                <w:szCs w:val="28"/>
                <w:highlight w:val="none"/>
              </w:rPr>
              <w:t>监测报告》</w:t>
            </w:r>
            <w:r>
              <w:rPr>
                <w:rFonts w:hint="default" w:ascii="Times New Roman" w:hAnsi="Times New Roman" w:cs="Times New Roman"/>
                <w:bCs/>
                <w:color w:val="auto"/>
                <w:szCs w:val="28"/>
                <w:highlight w:val="none"/>
                <w:lang w:eastAsia="zh-CN"/>
              </w:rPr>
              <w:t>（</w:t>
            </w:r>
            <w:r>
              <w:rPr>
                <w:rFonts w:hint="default" w:ascii="Times New Roman" w:hAnsi="Times New Roman" w:cs="Times New Roman"/>
                <w:color w:val="auto"/>
                <w:highlight w:val="none"/>
              </w:rPr>
              <w:t>报告编号：</w:t>
            </w:r>
            <w:r>
              <w:rPr>
                <w:rFonts w:hint="eastAsia" w:ascii="Times New Roman" w:hAnsi="Times New Roman" w:cs="Times New Roman"/>
                <w:color w:val="auto"/>
                <w:highlight w:val="none"/>
                <w:lang w:val="en-US" w:eastAsia="zh-CN"/>
              </w:rPr>
              <w:t>JYHB202212052</w:t>
            </w:r>
            <w:r>
              <w:rPr>
                <w:rFonts w:hint="default" w:ascii="Times New Roman" w:hAnsi="Times New Roman" w:cs="Times New Roman"/>
                <w:color w:val="auto"/>
                <w:highlight w:val="none"/>
                <w:lang w:eastAsia="zh-CN"/>
              </w:rPr>
              <w:t>）</w:t>
            </w:r>
            <w:r>
              <w:rPr>
                <w:rFonts w:hint="default" w:ascii="Times New Roman" w:hAnsi="Times New Roman" w:cs="Times New Roman"/>
                <w:bCs/>
                <w:color w:val="auto"/>
                <w:szCs w:val="28"/>
                <w:highlight w:val="none"/>
              </w:rPr>
              <w:t>，</w:t>
            </w:r>
            <w:r>
              <w:rPr>
                <w:rFonts w:hint="default" w:ascii="Times New Roman" w:hAnsi="Times New Roman" w:cs="Times New Roman"/>
                <w:bCs/>
                <w:color w:val="auto"/>
                <w:szCs w:val="28"/>
                <w:highlight w:val="none"/>
                <w:lang w:val="en-US" w:eastAsia="zh-CN"/>
              </w:rPr>
              <w:t>于</w:t>
            </w:r>
            <w:r>
              <w:rPr>
                <w:rFonts w:hint="default" w:ascii="Times New Roman" w:hAnsi="Times New Roman" w:cs="Times New Roman"/>
                <w:bCs/>
                <w:color w:val="auto"/>
                <w:szCs w:val="28"/>
                <w:highlight w:val="none"/>
              </w:rPr>
              <w:t>202</w:t>
            </w:r>
            <w:r>
              <w:rPr>
                <w:rFonts w:hint="eastAsia" w:ascii="Times New Roman" w:hAnsi="Times New Roman" w:cs="Times New Roman"/>
                <w:bCs/>
                <w:color w:val="auto"/>
                <w:szCs w:val="28"/>
                <w:highlight w:val="none"/>
                <w:lang w:val="en-US" w:eastAsia="zh-CN"/>
              </w:rPr>
              <w:t>2</w:t>
            </w:r>
            <w:r>
              <w:rPr>
                <w:rFonts w:hint="default" w:ascii="Times New Roman" w:hAnsi="Times New Roman" w:cs="Times New Roman"/>
                <w:bCs/>
                <w:color w:val="auto"/>
                <w:szCs w:val="28"/>
                <w:highlight w:val="none"/>
                <w:lang w:val="en-US" w:eastAsia="zh-CN"/>
              </w:rPr>
              <w:t>年</w:t>
            </w:r>
            <w:r>
              <w:rPr>
                <w:rFonts w:hint="eastAsia" w:ascii="Times New Roman" w:hAnsi="Times New Roman" w:cs="Times New Roman"/>
                <w:bCs/>
                <w:color w:val="auto"/>
                <w:szCs w:val="28"/>
                <w:highlight w:val="none"/>
                <w:lang w:val="en-US" w:eastAsia="zh-CN"/>
              </w:rPr>
              <w:t>12</w:t>
            </w:r>
            <w:r>
              <w:rPr>
                <w:rFonts w:hint="default" w:ascii="Times New Roman" w:hAnsi="Times New Roman" w:cs="Times New Roman"/>
                <w:bCs/>
                <w:color w:val="auto"/>
                <w:szCs w:val="28"/>
                <w:highlight w:val="none"/>
                <w:lang w:val="en-US" w:eastAsia="zh-CN"/>
              </w:rPr>
              <w:t>月</w:t>
            </w:r>
            <w:r>
              <w:rPr>
                <w:rFonts w:hint="default" w:ascii="Times New Roman" w:hAnsi="Times New Roman" w:cs="Times New Roman"/>
                <w:bCs/>
                <w:color w:val="auto"/>
                <w:szCs w:val="28"/>
                <w:highlight w:val="none"/>
              </w:rPr>
              <w:t>2</w:t>
            </w:r>
            <w:r>
              <w:rPr>
                <w:rFonts w:hint="eastAsia" w:ascii="Times New Roman" w:hAnsi="Times New Roman" w:cs="Times New Roman"/>
                <w:bCs/>
                <w:color w:val="auto"/>
                <w:szCs w:val="28"/>
                <w:highlight w:val="none"/>
                <w:lang w:val="en-US" w:eastAsia="zh-CN"/>
              </w:rPr>
              <w:t>0</w:t>
            </w:r>
            <w:r>
              <w:rPr>
                <w:rFonts w:hint="default" w:ascii="Times New Roman" w:hAnsi="Times New Roman" w:cs="Times New Roman"/>
                <w:bCs/>
                <w:color w:val="auto"/>
                <w:szCs w:val="28"/>
                <w:highlight w:val="none"/>
                <w:lang w:val="en-US" w:eastAsia="zh-CN"/>
              </w:rPr>
              <w:t>日</w:t>
            </w:r>
            <w:r>
              <w:rPr>
                <w:rFonts w:hint="default" w:ascii="Times New Roman" w:hAnsi="Times New Roman" w:cs="Times New Roman"/>
                <w:color w:val="auto"/>
                <w:highlight w:val="none"/>
              </w:rPr>
              <w:t>对该项目</w:t>
            </w:r>
            <w:r>
              <w:rPr>
                <w:rFonts w:hint="eastAsia" w:ascii="Times New Roman" w:hAnsi="Times New Roman" w:cs="Times New Roman"/>
                <w:color w:val="auto"/>
                <w:highlight w:val="none"/>
                <w:lang w:eastAsia="zh-CN"/>
              </w:rPr>
              <w:t>锅炉</w:t>
            </w:r>
            <w:r>
              <w:rPr>
                <w:rFonts w:hint="default" w:ascii="Times New Roman" w:hAnsi="Times New Roman" w:cs="Times New Roman"/>
                <w:color w:val="auto"/>
                <w:highlight w:val="none"/>
                <w:lang w:val="en-US" w:eastAsia="zh-CN"/>
              </w:rPr>
              <w:t>有组织废气排放情况</w:t>
            </w:r>
            <w:r>
              <w:rPr>
                <w:rFonts w:hint="default" w:ascii="Times New Roman" w:hAnsi="Times New Roman" w:cs="Times New Roman"/>
                <w:color w:val="auto"/>
                <w:highlight w:val="none"/>
              </w:rPr>
              <w:t>进行了检测</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val="en-US" w:eastAsia="zh-CN"/>
              </w:rPr>
              <w:t>检测结果如下</w:t>
            </w:r>
            <w:r>
              <w:rPr>
                <w:rFonts w:hint="default" w:ascii="Times New Roman" w:hAnsi="Times New Roman" w:cs="Times New Roman"/>
                <w:color w:val="auto"/>
                <w:highlight w:val="none"/>
              </w:rPr>
              <w:t>。</w:t>
            </w:r>
          </w:p>
          <w:p>
            <w:pPr>
              <w:pStyle w:val="8"/>
              <w:spacing w:line="240" w:lineRule="auto"/>
              <w:jc w:val="center"/>
              <w:rPr>
                <w:rFonts w:ascii="黑体" w:hAnsi="黑体"/>
                <w:color w:val="auto"/>
                <w:sz w:val="24"/>
                <w:szCs w:val="24"/>
                <w:u w:val="none"/>
              </w:rPr>
            </w:pPr>
            <w:r>
              <w:rPr>
                <w:rFonts w:hint="eastAsia" w:ascii="Times New Roman" w:hAnsi="Times New Roman" w:eastAsia="宋体" w:cs="Times New Roman"/>
                <w:b/>
                <w:color w:val="auto"/>
                <w:kern w:val="20"/>
                <w:sz w:val="24"/>
                <w:szCs w:val="24"/>
                <w:highlight w:val="none"/>
                <w:u w:val="none"/>
                <w:lang w:val="en-US" w:eastAsia="zh-CN"/>
              </w:rPr>
              <w:t>表2.10-</w:t>
            </w:r>
            <w:r>
              <w:rPr>
                <w:rFonts w:hint="eastAsia" w:ascii="Times New Roman" w:hAnsi="Times New Roman" w:cs="Times New Roman"/>
                <w:b/>
                <w:color w:val="auto"/>
                <w:kern w:val="20"/>
                <w:sz w:val="24"/>
                <w:szCs w:val="24"/>
                <w:highlight w:val="none"/>
                <w:u w:val="none"/>
                <w:lang w:val="en-US" w:eastAsia="zh-CN"/>
              </w:rPr>
              <w:t>4</w:t>
            </w:r>
            <w:r>
              <w:rPr>
                <w:rFonts w:hint="eastAsia" w:ascii="Times New Roman" w:hAnsi="Times New Roman" w:eastAsia="宋体" w:cs="Times New Roman"/>
                <w:b/>
                <w:color w:val="auto"/>
                <w:kern w:val="20"/>
                <w:sz w:val="24"/>
                <w:szCs w:val="24"/>
                <w:highlight w:val="none"/>
                <w:u w:val="none"/>
                <w:lang w:val="en-US" w:eastAsia="zh-CN"/>
              </w:rPr>
              <w:t>锅炉废气监测结果一览表</w:t>
            </w:r>
          </w:p>
          <w:tbl>
            <w:tblPr>
              <w:tblStyle w:val="29"/>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066"/>
              <w:gridCol w:w="2232"/>
              <w:gridCol w:w="908"/>
              <w:gridCol w:w="908"/>
              <w:gridCol w:w="910"/>
              <w:gridCol w:w="1303"/>
              <w:gridCol w:w="8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02" w:type="pct"/>
                  <w:vMerge w:val="restart"/>
                  <w:noWrap w:val="0"/>
                  <w:vAlign w:val="center"/>
                </w:tcPr>
                <w:p>
                  <w:pPr>
                    <w:jc w:val="center"/>
                    <w:rPr>
                      <w:rFonts w:cs="Times New Roman"/>
                      <w:b/>
                      <w:bCs w:val="0"/>
                      <w:color w:val="auto"/>
                      <w:sz w:val="21"/>
                      <w:szCs w:val="21"/>
                      <w:u w:val="none"/>
                    </w:rPr>
                  </w:pPr>
                  <w:r>
                    <w:rPr>
                      <w:rFonts w:hint="eastAsia" w:cs="Times New Roman"/>
                      <w:b/>
                      <w:bCs w:val="0"/>
                      <w:color w:val="auto"/>
                      <w:sz w:val="21"/>
                      <w:szCs w:val="21"/>
                      <w:u w:val="none"/>
                    </w:rPr>
                    <w:t>采样点位</w:t>
                  </w:r>
                </w:p>
              </w:tc>
              <w:tc>
                <w:tcPr>
                  <w:tcW w:w="1776" w:type="pct"/>
                  <w:gridSpan w:val="2"/>
                  <w:vMerge w:val="restart"/>
                  <w:noWrap w:val="0"/>
                  <w:vAlign w:val="center"/>
                </w:tcPr>
                <w:p>
                  <w:pPr>
                    <w:snapToGrid w:val="0"/>
                    <w:jc w:val="center"/>
                    <w:rPr>
                      <w:rFonts w:cs="Times New Roman"/>
                      <w:b/>
                      <w:bCs w:val="0"/>
                      <w:color w:val="auto"/>
                      <w:sz w:val="21"/>
                      <w:szCs w:val="21"/>
                      <w:u w:val="none"/>
                    </w:rPr>
                  </w:pPr>
                  <w:r>
                    <w:rPr>
                      <w:rFonts w:cs="Times New Roman"/>
                      <w:b/>
                      <w:bCs w:val="0"/>
                      <w:color w:val="auto"/>
                      <w:sz w:val="21"/>
                      <w:szCs w:val="21"/>
                      <w:u w:val="none"/>
                    </w:rPr>
                    <w:t>检测因子</w:t>
                  </w:r>
                </w:p>
              </w:tc>
              <w:tc>
                <w:tcPr>
                  <w:tcW w:w="1468" w:type="pct"/>
                  <w:gridSpan w:val="3"/>
                  <w:noWrap w:val="0"/>
                  <w:vAlign w:val="center"/>
                </w:tcPr>
                <w:p>
                  <w:pPr>
                    <w:jc w:val="center"/>
                    <w:rPr>
                      <w:rFonts w:hint="eastAsia" w:eastAsia="宋体" w:cs="Times New Roman"/>
                      <w:b/>
                      <w:bCs w:val="0"/>
                      <w:color w:val="auto"/>
                      <w:sz w:val="21"/>
                      <w:szCs w:val="21"/>
                      <w:u w:val="none"/>
                      <w:lang w:eastAsia="zh-CN"/>
                    </w:rPr>
                  </w:pPr>
                  <w:r>
                    <w:rPr>
                      <w:rFonts w:cs="Times New Roman"/>
                      <w:b/>
                      <w:bCs w:val="0"/>
                      <w:color w:val="auto"/>
                      <w:sz w:val="21"/>
                      <w:szCs w:val="21"/>
                      <w:u w:val="none"/>
                    </w:rPr>
                    <w:t>检测结果</w:t>
                  </w:r>
                </w:p>
              </w:tc>
              <w:tc>
                <w:tcPr>
                  <w:tcW w:w="701" w:type="pct"/>
                  <w:vMerge w:val="restart"/>
                  <w:noWrap w:val="0"/>
                  <w:vAlign w:val="center"/>
                </w:tcPr>
                <w:p>
                  <w:pPr>
                    <w:jc w:val="center"/>
                    <w:rPr>
                      <w:rFonts w:cs="Times New Roman"/>
                      <w:b/>
                      <w:bCs w:val="0"/>
                      <w:color w:val="auto"/>
                      <w:sz w:val="21"/>
                      <w:szCs w:val="21"/>
                      <w:u w:val="none"/>
                    </w:rPr>
                  </w:pPr>
                  <w:r>
                    <w:rPr>
                      <w:rFonts w:hint="eastAsia" w:cs="Times New Roman"/>
                      <w:b/>
                      <w:bCs w:val="0"/>
                      <w:color w:val="auto"/>
                      <w:sz w:val="21"/>
                      <w:szCs w:val="21"/>
                      <w:u w:val="none"/>
                    </w:rPr>
                    <w:t>标准限值</w:t>
                  </w:r>
                </w:p>
              </w:tc>
              <w:tc>
                <w:tcPr>
                  <w:tcW w:w="450" w:type="pct"/>
                  <w:vMerge w:val="restart"/>
                  <w:noWrap w:val="0"/>
                  <w:vAlign w:val="center"/>
                </w:tcPr>
                <w:p>
                  <w:pPr>
                    <w:jc w:val="center"/>
                    <w:rPr>
                      <w:rFonts w:cs="Times New Roman"/>
                      <w:b/>
                      <w:bCs w:val="0"/>
                      <w:color w:val="auto"/>
                      <w:sz w:val="21"/>
                      <w:szCs w:val="21"/>
                      <w:u w:val="none"/>
                    </w:rPr>
                  </w:pPr>
                  <w:r>
                    <w:rPr>
                      <w:rFonts w:hint="eastAsia" w:cs="Times New Roman"/>
                      <w:b/>
                      <w:bCs w:val="0"/>
                      <w:color w:val="auto"/>
                      <w:sz w:val="21"/>
                      <w:szCs w:val="21"/>
                      <w:u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02" w:type="pct"/>
                  <w:vMerge w:val="continue"/>
                  <w:noWrap w:val="0"/>
                  <w:vAlign w:val="center"/>
                </w:tcPr>
                <w:p>
                  <w:pPr>
                    <w:jc w:val="center"/>
                    <w:rPr>
                      <w:rFonts w:cs="Times New Roman"/>
                      <w:bCs/>
                      <w:color w:val="auto"/>
                      <w:sz w:val="21"/>
                      <w:szCs w:val="21"/>
                      <w:u w:val="none"/>
                    </w:rPr>
                  </w:pPr>
                </w:p>
              </w:tc>
              <w:tc>
                <w:tcPr>
                  <w:tcW w:w="1776" w:type="pct"/>
                  <w:gridSpan w:val="2"/>
                  <w:vMerge w:val="continue"/>
                  <w:noWrap w:val="0"/>
                  <w:vAlign w:val="center"/>
                </w:tcPr>
                <w:p>
                  <w:pPr>
                    <w:snapToGrid w:val="0"/>
                    <w:jc w:val="center"/>
                    <w:rPr>
                      <w:rFonts w:cs="Times New Roman"/>
                      <w:bCs/>
                      <w:color w:val="auto"/>
                      <w:sz w:val="21"/>
                      <w:szCs w:val="21"/>
                      <w:u w:val="none"/>
                    </w:rPr>
                  </w:pPr>
                </w:p>
              </w:tc>
              <w:tc>
                <w:tcPr>
                  <w:tcW w:w="489" w:type="pct"/>
                  <w:noWrap w:val="0"/>
                  <w:vAlign w:val="center"/>
                </w:tcPr>
                <w:p>
                  <w:pPr>
                    <w:jc w:val="center"/>
                    <w:rPr>
                      <w:rFonts w:hint="eastAsia" w:eastAsia="宋体" w:cs="Times New Roman"/>
                      <w:b/>
                      <w:bCs w:val="0"/>
                      <w:color w:val="auto"/>
                      <w:sz w:val="21"/>
                      <w:szCs w:val="21"/>
                      <w:u w:val="none"/>
                      <w:lang w:eastAsia="zh-CN"/>
                    </w:rPr>
                  </w:pPr>
                  <w:r>
                    <w:rPr>
                      <w:rFonts w:hint="eastAsia" w:cs="Times New Roman"/>
                      <w:b/>
                      <w:bCs w:val="0"/>
                      <w:color w:val="auto"/>
                      <w:sz w:val="21"/>
                      <w:szCs w:val="21"/>
                      <w:u w:val="none"/>
                      <w:lang w:eastAsia="zh-CN"/>
                    </w:rPr>
                    <w:t>第一次</w:t>
                  </w:r>
                </w:p>
              </w:tc>
              <w:tc>
                <w:tcPr>
                  <w:tcW w:w="489" w:type="pct"/>
                  <w:noWrap w:val="0"/>
                  <w:vAlign w:val="center"/>
                </w:tcPr>
                <w:p>
                  <w:pPr>
                    <w:jc w:val="center"/>
                    <w:rPr>
                      <w:rFonts w:hint="eastAsia" w:eastAsia="宋体" w:cs="Times New Roman"/>
                      <w:b/>
                      <w:bCs w:val="0"/>
                      <w:color w:val="auto"/>
                      <w:sz w:val="21"/>
                      <w:szCs w:val="21"/>
                      <w:u w:val="none"/>
                      <w:lang w:eastAsia="zh-CN"/>
                    </w:rPr>
                  </w:pPr>
                  <w:r>
                    <w:rPr>
                      <w:rFonts w:hint="eastAsia" w:cs="Times New Roman"/>
                      <w:b/>
                      <w:bCs w:val="0"/>
                      <w:color w:val="auto"/>
                      <w:sz w:val="21"/>
                      <w:szCs w:val="21"/>
                      <w:u w:val="none"/>
                      <w:lang w:eastAsia="zh-CN"/>
                    </w:rPr>
                    <w:t>第二次</w:t>
                  </w:r>
                </w:p>
              </w:tc>
              <w:tc>
                <w:tcPr>
                  <w:tcW w:w="490" w:type="pct"/>
                  <w:noWrap w:val="0"/>
                  <w:vAlign w:val="center"/>
                </w:tcPr>
                <w:p>
                  <w:pPr>
                    <w:jc w:val="center"/>
                    <w:rPr>
                      <w:rFonts w:hint="eastAsia" w:eastAsia="宋体" w:cs="Times New Roman"/>
                      <w:b/>
                      <w:bCs w:val="0"/>
                      <w:color w:val="auto"/>
                      <w:sz w:val="21"/>
                      <w:szCs w:val="21"/>
                      <w:u w:val="none"/>
                      <w:lang w:eastAsia="zh-CN"/>
                    </w:rPr>
                  </w:pPr>
                  <w:r>
                    <w:rPr>
                      <w:rFonts w:hint="eastAsia" w:cs="Times New Roman"/>
                      <w:b/>
                      <w:bCs w:val="0"/>
                      <w:color w:val="auto"/>
                      <w:sz w:val="21"/>
                      <w:szCs w:val="21"/>
                      <w:u w:val="none"/>
                      <w:lang w:eastAsia="zh-CN"/>
                    </w:rPr>
                    <w:t>第三次</w:t>
                  </w:r>
                </w:p>
              </w:tc>
              <w:tc>
                <w:tcPr>
                  <w:tcW w:w="701" w:type="pct"/>
                  <w:vMerge w:val="continue"/>
                  <w:noWrap w:val="0"/>
                  <w:vAlign w:val="center"/>
                </w:tcPr>
                <w:p>
                  <w:pPr>
                    <w:jc w:val="center"/>
                    <w:rPr>
                      <w:rFonts w:cs="Times New Roman"/>
                      <w:bCs/>
                      <w:color w:val="auto"/>
                      <w:sz w:val="21"/>
                      <w:szCs w:val="21"/>
                      <w:u w:val="none"/>
                    </w:rPr>
                  </w:pPr>
                </w:p>
              </w:tc>
              <w:tc>
                <w:tcPr>
                  <w:tcW w:w="450" w:type="pct"/>
                  <w:vMerge w:val="continue"/>
                  <w:noWrap w:val="0"/>
                  <w:vAlign w:val="center"/>
                </w:tcPr>
                <w:p>
                  <w:pPr>
                    <w:jc w:val="center"/>
                    <w:rPr>
                      <w:rFonts w:cs="Times New Roman"/>
                      <w:bCs/>
                      <w:color w:val="auto"/>
                      <w:sz w:val="21"/>
                      <w:szCs w:val="21"/>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02" w:type="pct"/>
                  <w:vMerge w:val="restart"/>
                  <w:noWrap w:val="0"/>
                  <w:vAlign w:val="center"/>
                </w:tcPr>
                <w:p>
                  <w:pPr>
                    <w:jc w:val="center"/>
                    <w:rPr>
                      <w:rFonts w:hint="default" w:cs="Times New Roman"/>
                      <w:bCs/>
                      <w:color w:val="auto"/>
                      <w:sz w:val="21"/>
                      <w:szCs w:val="21"/>
                      <w:u w:val="none"/>
                      <w:lang w:val="en-US"/>
                    </w:rPr>
                  </w:pPr>
                  <w:r>
                    <w:rPr>
                      <w:rFonts w:hint="eastAsia" w:ascii="Times New Roman" w:hAnsi="Times New Roman" w:eastAsia="宋体" w:cs="Times New Roman"/>
                      <w:b w:val="0"/>
                      <w:bCs/>
                      <w:color w:val="auto"/>
                      <w:kern w:val="20"/>
                      <w:sz w:val="21"/>
                      <w:szCs w:val="21"/>
                      <w:highlight w:val="none"/>
                      <w:u w:val="none"/>
                      <w:lang w:val="en-US" w:eastAsia="zh-CN"/>
                    </w:rPr>
                    <w:t>锅</w:t>
                  </w:r>
                  <w:r>
                    <w:rPr>
                      <w:rFonts w:hint="eastAsia" w:ascii="Times New Roman" w:hAnsi="Times New Roman" w:eastAsia="宋体" w:cs="Times New Roman"/>
                      <w:b w:val="0"/>
                      <w:bCs/>
                      <w:color w:val="auto"/>
                      <w:sz w:val="21"/>
                      <w:szCs w:val="21"/>
                      <w:u w:val="none"/>
                      <w:lang w:val="en-US" w:eastAsia="zh-CN"/>
                    </w:rPr>
                    <w:t>炉废气</w:t>
                  </w:r>
                  <w:r>
                    <w:rPr>
                      <w:rFonts w:hint="eastAsia" w:cs="Times New Roman"/>
                      <w:b w:val="0"/>
                      <w:bCs/>
                      <w:color w:val="auto"/>
                      <w:sz w:val="21"/>
                      <w:szCs w:val="21"/>
                      <w:u w:val="none"/>
                      <w:lang w:eastAsia="zh-CN"/>
                    </w:rPr>
                    <w:t>排放口</w:t>
                  </w:r>
                  <w:r>
                    <w:rPr>
                      <w:rFonts w:hint="eastAsia" w:cs="Times New Roman"/>
                      <w:b w:val="0"/>
                      <w:bCs/>
                      <w:color w:val="auto"/>
                      <w:sz w:val="21"/>
                      <w:szCs w:val="21"/>
                      <w:u w:val="none"/>
                      <w:lang w:val="en-US" w:eastAsia="zh-CN"/>
                    </w:rPr>
                    <w:t>DA005</w:t>
                  </w:r>
                </w:p>
              </w:tc>
              <w:tc>
                <w:tcPr>
                  <w:tcW w:w="1776" w:type="pct"/>
                  <w:gridSpan w:val="2"/>
                  <w:noWrap w:val="0"/>
                  <w:vAlign w:val="center"/>
                </w:tcPr>
                <w:p>
                  <w:pPr>
                    <w:snapToGrid w:val="0"/>
                    <w:jc w:val="center"/>
                    <w:rPr>
                      <w:rFonts w:cs="Times New Roman"/>
                      <w:bCs/>
                      <w:color w:val="auto"/>
                      <w:sz w:val="21"/>
                      <w:szCs w:val="21"/>
                      <w:u w:val="none"/>
                    </w:rPr>
                  </w:pPr>
                  <w:r>
                    <w:rPr>
                      <w:rFonts w:cs="Times New Roman"/>
                      <w:bCs/>
                      <w:color w:val="auto"/>
                      <w:sz w:val="21"/>
                      <w:szCs w:val="21"/>
                      <w:u w:val="none"/>
                    </w:rPr>
                    <w:t>标干烟气量（</w:t>
                  </w:r>
                  <w:r>
                    <w:rPr>
                      <w:rFonts w:hint="eastAsia" w:cs="Times New Roman"/>
                      <w:bCs/>
                      <w:color w:val="auto"/>
                      <w:sz w:val="21"/>
                      <w:szCs w:val="21"/>
                      <w:u w:val="none"/>
                      <w:lang w:val="en-US" w:eastAsia="zh-CN"/>
                    </w:rPr>
                    <w:t>N</w:t>
                  </w:r>
                  <w:r>
                    <w:rPr>
                      <w:rFonts w:cs="Times New Roman"/>
                      <w:bCs/>
                      <w:color w:val="auto"/>
                      <w:sz w:val="21"/>
                      <w:szCs w:val="21"/>
                      <w:u w:val="none"/>
                    </w:rPr>
                    <w:t>m</w:t>
                  </w:r>
                  <w:r>
                    <w:rPr>
                      <w:rFonts w:cs="Times New Roman"/>
                      <w:bCs/>
                      <w:color w:val="auto"/>
                      <w:sz w:val="21"/>
                      <w:szCs w:val="21"/>
                      <w:u w:val="none"/>
                      <w:vertAlign w:val="superscript"/>
                    </w:rPr>
                    <w:t>3</w:t>
                  </w:r>
                  <w:r>
                    <w:rPr>
                      <w:rFonts w:cs="Times New Roman"/>
                      <w:bCs/>
                      <w:color w:val="auto"/>
                      <w:sz w:val="21"/>
                      <w:szCs w:val="21"/>
                      <w:u w:val="none"/>
                    </w:rPr>
                    <w:t>/h）</w:t>
                  </w:r>
                </w:p>
              </w:tc>
              <w:tc>
                <w:tcPr>
                  <w:tcW w:w="489" w:type="pc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3786</w:t>
                  </w:r>
                </w:p>
              </w:tc>
              <w:tc>
                <w:tcPr>
                  <w:tcW w:w="489"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3743</w:t>
                  </w:r>
                </w:p>
              </w:tc>
              <w:tc>
                <w:tcPr>
                  <w:tcW w:w="490"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3766</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02" w:type="pct"/>
                  <w:vMerge w:val="continue"/>
                  <w:noWrap w:val="0"/>
                  <w:vAlign w:val="center"/>
                </w:tcPr>
                <w:p>
                  <w:pPr>
                    <w:jc w:val="center"/>
                    <w:rPr>
                      <w:rFonts w:hint="eastAsia" w:ascii="Times New Roman" w:hAnsi="Times New Roman" w:eastAsia="宋体" w:cs="Times New Roman"/>
                      <w:b w:val="0"/>
                      <w:bCs/>
                      <w:color w:val="auto"/>
                      <w:kern w:val="20"/>
                      <w:sz w:val="21"/>
                      <w:szCs w:val="21"/>
                      <w:highlight w:val="none"/>
                      <w:u w:val="none"/>
                      <w:lang w:val="en-US" w:eastAsia="zh-CN"/>
                    </w:rPr>
                  </w:pPr>
                </w:p>
              </w:tc>
              <w:tc>
                <w:tcPr>
                  <w:tcW w:w="1776" w:type="pct"/>
                  <w:gridSpan w:val="2"/>
                  <w:noWrap w:val="0"/>
                  <w:vAlign w:val="center"/>
                </w:tcPr>
                <w:p>
                  <w:pPr>
                    <w:snapToGrid w:val="0"/>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氧含量（</w:t>
                  </w:r>
                  <w:r>
                    <w:rPr>
                      <w:rFonts w:hint="eastAsia" w:cs="Times New Roman"/>
                      <w:bCs/>
                      <w:color w:val="auto"/>
                      <w:sz w:val="21"/>
                      <w:szCs w:val="21"/>
                      <w:u w:val="none"/>
                      <w:lang w:val="en-US" w:eastAsia="zh-CN"/>
                    </w:rPr>
                    <w:t>%</w:t>
                  </w:r>
                  <w:r>
                    <w:rPr>
                      <w:rFonts w:hint="eastAsia" w:cs="Times New Roman"/>
                      <w:bCs/>
                      <w:color w:val="auto"/>
                      <w:sz w:val="21"/>
                      <w:szCs w:val="21"/>
                      <w:u w:val="none"/>
                      <w:lang w:eastAsia="zh-CN"/>
                    </w:rPr>
                    <w:t>）</w:t>
                  </w:r>
                </w:p>
              </w:tc>
              <w:tc>
                <w:tcPr>
                  <w:tcW w:w="489" w:type="pc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18.3</w:t>
                  </w:r>
                </w:p>
              </w:tc>
              <w:tc>
                <w:tcPr>
                  <w:tcW w:w="489"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18.4</w:t>
                  </w:r>
                </w:p>
              </w:tc>
              <w:tc>
                <w:tcPr>
                  <w:tcW w:w="490"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18.4</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SO</w:t>
                  </w:r>
                  <w:r>
                    <w:rPr>
                      <w:rFonts w:hint="eastAsia" w:cs="Times New Roman"/>
                      <w:bCs/>
                      <w:color w:val="auto"/>
                      <w:sz w:val="21"/>
                      <w:szCs w:val="21"/>
                      <w:u w:val="none"/>
                      <w:vertAlign w:val="subscript"/>
                      <w:lang w:val="en-US" w:eastAsia="zh-CN"/>
                    </w:rPr>
                    <w:t>2</w:t>
                  </w: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27</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24</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28</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hint="eastAsia" w:cs="Times New Roman"/>
                      <w:bCs/>
                      <w:color w:val="auto"/>
                      <w:sz w:val="21"/>
                      <w:szCs w:val="21"/>
                      <w:u w:val="none"/>
                    </w:rPr>
                  </w:pPr>
                </w:p>
              </w:tc>
              <w:tc>
                <w:tcPr>
                  <w:tcW w:w="1202" w:type="pct"/>
                  <w:noWrap w:val="0"/>
                  <w:vAlign w:val="center"/>
                </w:tcPr>
                <w:p>
                  <w:pPr>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120</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111</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129</w:t>
                  </w:r>
                </w:p>
              </w:tc>
              <w:tc>
                <w:tcPr>
                  <w:tcW w:w="701"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200</w:t>
                  </w:r>
                </w:p>
              </w:tc>
              <w:tc>
                <w:tcPr>
                  <w:tcW w:w="450" w:type="pct"/>
                  <w:noWrap w:val="0"/>
                  <w:vAlign w:val="center"/>
                </w:tcPr>
                <w:p>
                  <w:pPr>
                    <w:widowControl/>
                    <w:jc w:val="center"/>
                    <w:textAlignment w:val="center"/>
                    <w:rPr>
                      <w:rFonts w:ascii="Times New Roman" w:hAnsi="Times New Roman" w:eastAsia="宋体" w:cs="Times New Roman"/>
                      <w:bCs/>
                      <w:color w:val="auto"/>
                      <w:sz w:val="21"/>
                      <w:szCs w:val="21"/>
                      <w:u w:val="none"/>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0.10</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0.09</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0.11</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NO</w:t>
                  </w:r>
                  <w:r>
                    <w:rPr>
                      <w:rFonts w:hint="eastAsia" w:cs="Times New Roman"/>
                      <w:bCs/>
                      <w:color w:val="auto"/>
                      <w:sz w:val="21"/>
                      <w:szCs w:val="21"/>
                      <w:u w:val="none"/>
                      <w:vertAlign w:val="subscript"/>
                      <w:lang w:val="en-US" w:eastAsia="zh-CN"/>
                    </w:rPr>
                    <w:t>X</w:t>
                  </w:r>
                </w:p>
              </w:tc>
              <w:tc>
                <w:tcPr>
                  <w:tcW w:w="1202" w:type="pct"/>
                  <w:noWrap w:val="0"/>
                  <w:vAlign w:val="center"/>
                </w:tcPr>
                <w:p>
                  <w:pPr>
                    <w:jc w:val="center"/>
                    <w:rPr>
                      <w:rFonts w:hint="default" w:eastAsia="宋体" w:cs="Times New Roman"/>
                      <w:bCs/>
                      <w:color w:val="auto"/>
                      <w:sz w:val="21"/>
                      <w:szCs w:val="21"/>
                      <w:u w:val="none"/>
                      <w:lang w:val="en-US" w:eastAsia="zh-CN"/>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37</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35</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34</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164</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162</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157</w:t>
                  </w:r>
                </w:p>
              </w:tc>
              <w:tc>
                <w:tcPr>
                  <w:tcW w:w="701"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200</w:t>
                  </w:r>
                </w:p>
              </w:tc>
              <w:tc>
                <w:tcPr>
                  <w:tcW w:w="450"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0.14</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0.13</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0.13</w:t>
                  </w:r>
                </w:p>
              </w:tc>
              <w:tc>
                <w:tcPr>
                  <w:tcW w:w="701" w:type="pct"/>
                  <w:noWrap w:val="0"/>
                  <w:vAlign w:val="center"/>
                </w:tcPr>
                <w:p>
                  <w:pPr>
                    <w:widowControl/>
                    <w:jc w:val="center"/>
                    <w:textAlignment w:val="center"/>
                    <w:rPr>
                      <w:rFonts w:hint="eastAsia" w:cs="Times New Roman"/>
                      <w:bCs/>
                      <w:color w:val="auto"/>
                      <w:kern w:val="2"/>
                      <w:sz w:val="21"/>
                      <w:szCs w:val="21"/>
                      <w:u w:val="none"/>
                      <w:lang w:val="en-US" w:eastAsia="zh-CN" w:bidi="ar-SA"/>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TSP</w:t>
                  </w: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4.6</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4.8</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4.8</w:t>
                  </w:r>
                </w:p>
              </w:tc>
              <w:tc>
                <w:tcPr>
                  <w:tcW w:w="701" w:type="pct"/>
                  <w:noWrap w:val="0"/>
                  <w:vAlign w:val="center"/>
                </w:tcPr>
                <w:p>
                  <w:pPr>
                    <w:widowControl/>
                    <w:jc w:val="center"/>
                    <w:textAlignment w:val="center"/>
                    <w:rPr>
                      <w:rFonts w:hint="eastAsia" w:cs="Times New Roman"/>
                      <w:bCs/>
                      <w:color w:val="auto"/>
                      <w:kern w:val="2"/>
                      <w:sz w:val="21"/>
                      <w:szCs w:val="21"/>
                      <w:u w:val="none"/>
                      <w:lang w:val="en-US" w:eastAsia="zh-CN" w:bidi="ar-SA"/>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20.4</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22.2</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22.2</w:t>
                  </w:r>
                </w:p>
              </w:tc>
              <w:tc>
                <w:tcPr>
                  <w:tcW w:w="701" w:type="pct"/>
                  <w:noWrap w:val="0"/>
                  <w:vAlign w:val="center"/>
                </w:tcPr>
                <w:p>
                  <w:pPr>
                    <w:widowControl/>
                    <w:jc w:val="center"/>
                    <w:textAlignment w:val="center"/>
                    <w:rPr>
                      <w:rFonts w:hint="default" w:cs="Times New Roman"/>
                      <w:bCs/>
                      <w:color w:val="auto"/>
                      <w:kern w:val="2"/>
                      <w:sz w:val="21"/>
                      <w:szCs w:val="21"/>
                      <w:u w:val="none"/>
                      <w:lang w:val="en-US" w:eastAsia="zh-CN" w:bidi="ar-SA"/>
                    </w:rPr>
                  </w:pPr>
                  <w:r>
                    <w:rPr>
                      <w:rFonts w:hint="eastAsia" w:cs="Times New Roman"/>
                      <w:bCs/>
                      <w:color w:val="auto"/>
                      <w:sz w:val="21"/>
                      <w:szCs w:val="21"/>
                      <w:u w:val="none"/>
                      <w:lang w:val="en-US" w:eastAsia="zh-CN"/>
                    </w:rPr>
                    <w:t>30</w:t>
                  </w:r>
                </w:p>
              </w:tc>
              <w:tc>
                <w:tcPr>
                  <w:tcW w:w="450"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0.017</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0.018</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0.018</w:t>
                  </w:r>
                </w:p>
              </w:tc>
              <w:tc>
                <w:tcPr>
                  <w:tcW w:w="701" w:type="pct"/>
                  <w:noWrap w:val="0"/>
                  <w:vAlign w:val="center"/>
                </w:tcPr>
                <w:p>
                  <w:pPr>
                    <w:widowControl/>
                    <w:jc w:val="center"/>
                    <w:textAlignment w:val="center"/>
                    <w:rPr>
                      <w:rFonts w:hint="eastAsia" w:cs="Times New Roman"/>
                      <w:bCs/>
                      <w:color w:val="auto"/>
                      <w:kern w:val="2"/>
                      <w:sz w:val="21"/>
                      <w:szCs w:val="21"/>
                      <w:u w:val="none"/>
                      <w:lang w:val="en-US" w:eastAsia="zh-CN" w:bidi="ar-SA"/>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汞及其化合物</w:t>
                  </w: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89"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9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701"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89"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9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701"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0.05</w:t>
                  </w:r>
                </w:p>
              </w:tc>
              <w:tc>
                <w:tcPr>
                  <w:tcW w:w="45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w:t>
                  </w:r>
                </w:p>
              </w:tc>
              <w:tc>
                <w:tcPr>
                  <w:tcW w:w="701"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1776" w:type="pct"/>
                  <w:gridSpan w:val="2"/>
                  <w:noWrap w:val="0"/>
                  <w:vAlign w:val="center"/>
                </w:tcPr>
                <w:p>
                  <w:pPr>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林格曼黑度（级）</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701"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450" w:type="pct"/>
                  <w:noWrap w:val="0"/>
                  <w:vAlign w:val="center"/>
                </w:tcPr>
                <w:p>
                  <w:pPr>
                    <w:widowControl/>
                    <w:jc w:val="center"/>
                    <w:textAlignment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02" w:type="pct"/>
                  <w:vMerge w:val="restart"/>
                  <w:noWrap w:val="0"/>
                  <w:vAlign w:val="center"/>
                </w:tcPr>
                <w:p>
                  <w:pPr>
                    <w:jc w:val="center"/>
                    <w:rPr>
                      <w:rFonts w:hint="default" w:cs="Times New Roman"/>
                      <w:bCs/>
                      <w:color w:val="auto"/>
                      <w:sz w:val="21"/>
                      <w:szCs w:val="21"/>
                      <w:u w:val="none"/>
                      <w:lang w:val="en-US"/>
                    </w:rPr>
                  </w:pPr>
                  <w:r>
                    <w:rPr>
                      <w:rFonts w:hint="eastAsia" w:ascii="Times New Roman" w:hAnsi="Times New Roman" w:eastAsia="宋体" w:cs="Times New Roman"/>
                      <w:b w:val="0"/>
                      <w:bCs/>
                      <w:color w:val="auto"/>
                      <w:kern w:val="20"/>
                      <w:sz w:val="21"/>
                      <w:szCs w:val="21"/>
                      <w:highlight w:val="none"/>
                      <w:u w:val="none"/>
                      <w:lang w:val="en-US" w:eastAsia="zh-CN"/>
                    </w:rPr>
                    <w:t>锅</w:t>
                  </w:r>
                  <w:r>
                    <w:rPr>
                      <w:rFonts w:hint="eastAsia" w:ascii="Times New Roman" w:hAnsi="Times New Roman" w:eastAsia="宋体" w:cs="Times New Roman"/>
                      <w:b w:val="0"/>
                      <w:bCs/>
                      <w:color w:val="auto"/>
                      <w:sz w:val="21"/>
                      <w:szCs w:val="21"/>
                      <w:u w:val="none"/>
                      <w:lang w:val="en-US" w:eastAsia="zh-CN"/>
                    </w:rPr>
                    <w:t>炉废气</w:t>
                  </w:r>
                  <w:r>
                    <w:rPr>
                      <w:rFonts w:hint="eastAsia" w:cs="Times New Roman"/>
                      <w:b w:val="0"/>
                      <w:bCs/>
                      <w:color w:val="auto"/>
                      <w:sz w:val="21"/>
                      <w:szCs w:val="21"/>
                      <w:u w:val="none"/>
                      <w:lang w:eastAsia="zh-CN"/>
                    </w:rPr>
                    <w:t>排放口</w:t>
                  </w:r>
                  <w:r>
                    <w:rPr>
                      <w:rFonts w:hint="eastAsia" w:cs="Times New Roman"/>
                      <w:b w:val="0"/>
                      <w:bCs/>
                      <w:color w:val="auto"/>
                      <w:sz w:val="21"/>
                      <w:szCs w:val="21"/>
                      <w:u w:val="none"/>
                      <w:lang w:val="en-US" w:eastAsia="zh-CN"/>
                    </w:rPr>
                    <w:t>DA006</w:t>
                  </w:r>
                </w:p>
              </w:tc>
              <w:tc>
                <w:tcPr>
                  <w:tcW w:w="1776" w:type="pct"/>
                  <w:gridSpan w:val="2"/>
                  <w:noWrap w:val="0"/>
                  <w:vAlign w:val="center"/>
                </w:tcPr>
                <w:p>
                  <w:pPr>
                    <w:snapToGrid w:val="0"/>
                    <w:jc w:val="center"/>
                    <w:rPr>
                      <w:rFonts w:cs="Times New Roman"/>
                      <w:bCs/>
                      <w:color w:val="auto"/>
                      <w:sz w:val="21"/>
                      <w:szCs w:val="21"/>
                      <w:u w:val="none"/>
                    </w:rPr>
                  </w:pPr>
                  <w:r>
                    <w:rPr>
                      <w:rFonts w:cs="Times New Roman"/>
                      <w:bCs/>
                      <w:color w:val="auto"/>
                      <w:sz w:val="21"/>
                      <w:szCs w:val="21"/>
                      <w:u w:val="none"/>
                    </w:rPr>
                    <w:t>标干烟气量（</w:t>
                  </w:r>
                  <w:r>
                    <w:rPr>
                      <w:rFonts w:hint="eastAsia" w:cs="Times New Roman"/>
                      <w:bCs/>
                      <w:color w:val="auto"/>
                      <w:sz w:val="21"/>
                      <w:szCs w:val="21"/>
                      <w:u w:val="none"/>
                      <w:lang w:val="en-US" w:eastAsia="zh-CN"/>
                    </w:rPr>
                    <w:t>N</w:t>
                  </w:r>
                  <w:r>
                    <w:rPr>
                      <w:rFonts w:cs="Times New Roman"/>
                      <w:bCs/>
                      <w:color w:val="auto"/>
                      <w:sz w:val="21"/>
                      <w:szCs w:val="21"/>
                      <w:u w:val="none"/>
                    </w:rPr>
                    <w:t>m</w:t>
                  </w:r>
                  <w:r>
                    <w:rPr>
                      <w:rFonts w:cs="Times New Roman"/>
                      <w:bCs/>
                      <w:color w:val="auto"/>
                      <w:sz w:val="21"/>
                      <w:szCs w:val="21"/>
                      <w:u w:val="none"/>
                      <w:vertAlign w:val="superscript"/>
                    </w:rPr>
                    <w:t>3</w:t>
                  </w:r>
                  <w:r>
                    <w:rPr>
                      <w:rFonts w:cs="Times New Roman"/>
                      <w:bCs/>
                      <w:color w:val="auto"/>
                      <w:sz w:val="21"/>
                      <w:szCs w:val="21"/>
                      <w:u w:val="none"/>
                    </w:rPr>
                    <w:t>/h）</w:t>
                  </w:r>
                </w:p>
              </w:tc>
              <w:tc>
                <w:tcPr>
                  <w:tcW w:w="489" w:type="pc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3721</w:t>
                  </w:r>
                </w:p>
              </w:tc>
              <w:tc>
                <w:tcPr>
                  <w:tcW w:w="489"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3631</w:t>
                  </w:r>
                </w:p>
              </w:tc>
              <w:tc>
                <w:tcPr>
                  <w:tcW w:w="490"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3751</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02" w:type="pct"/>
                  <w:vMerge w:val="continue"/>
                  <w:noWrap w:val="0"/>
                  <w:vAlign w:val="center"/>
                </w:tcPr>
                <w:p>
                  <w:pPr>
                    <w:jc w:val="center"/>
                    <w:rPr>
                      <w:rFonts w:hint="eastAsia" w:ascii="Times New Roman" w:hAnsi="Times New Roman" w:eastAsia="宋体" w:cs="Times New Roman"/>
                      <w:b w:val="0"/>
                      <w:bCs/>
                      <w:color w:val="auto"/>
                      <w:kern w:val="20"/>
                      <w:sz w:val="21"/>
                      <w:szCs w:val="21"/>
                      <w:highlight w:val="none"/>
                      <w:u w:val="none"/>
                      <w:lang w:val="en-US" w:eastAsia="zh-CN"/>
                    </w:rPr>
                  </w:pPr>
                </w:p>
              </w:tc>
              <w:tc>
                <w:tcPr>
                  <w:tcW w:w="1776" w:type="pct"/>
                  <w:gridSpan w:val="2"/>
                  <w:noWrap w:val="0"/>
                  <w:vAlign w:val="center"/>
                </w:tcPr>
                <w:p>
                  <w:pPr>
                    <w:snapToGrid w:val="0"/>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氧含量（</w:t>
                  </w:r>
                  <w:r>
                    <w:rPr>
                      <w:rFonts w:hint="eastAsia" w:cs="Times New Roman"/>
                      <w:bCs/>
                      <w:color w:val="auto"/>
                      <w:sz w:val="21"/>
                      <w:szCs w:val="21"/>
                      <w:u w:val="none"/>
                      <w:lang w:val="en-US" w:eastAsia="zh-CN"/>
                    </w:rPr>
                    <w:t>%</w:t>
                  </w:r>
                  <w:r>
                    <w:rPr>
                      <w:rFonts w:hint="eastAsia" w:cs="Times New Roman"/>
                      <w:bCs/>
                      <w:color w:val="auto"/>
                      <w:sz w:val="21"/>
                      <w:szCs w:val="21"/>
                      <w:u w:val="none"/>
                      <w:lang w:eastAsia="zh-CN"/>
                    </w:rPr>
                    <w:t>）</w:t>
                  </w:r>
                </w:p>
              </w:tc>
              <w:tc>
                <w:tcPr>
                  <w:tcW w:w="489" w:type="pc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18.3</w:t>
                  </w:r>
                </w:p>
              </w:tc>
              <w:tc>
                <w:tcPr>
                  <w:tcW w:w="489"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18.5</w:t>
                  </w:r>
                </w:p>
              </w:tc>
              <w:tc>
                <w:tcPr>
                  <w:tcW w:w="490" w:type="pct"/>
                  <w:noWrap w:val="0"/>
                  <w:vAlign w:val="center"/>
                </w:tcPr>
                <w:p>
                  <w:pPr>
                    <w:jc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18.4</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7" w:hRule="atLeast"/>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SO</w:t>
                  </w:r>
                  <w:r>
                    <w:rPr>
                      <w:rFonts w:hint="eastAsia" w:cs="Times New Roman"/>
                      <w:bCs/>
                      <w:color w:val="auto"/>
                      <w:sz w:val="21"/>
                      <w:szCs w:val="21"/>
                      <w:u w:val="none"/>
                      <w:vertAlign w:val="subscript"/>
                      <w:lang w:val="en-US" w:eastAsia="zh-CN"/>
                    </w:rPr>
                    <w:t>2</w:t>
                  </w: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24</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26</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23</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hint="eastAsia" w:cs="Times New Roman"/>
                      <w:bCs/>
                      <w:color w:val="auto"/>
                      <w:sz w:val="21"/>
                      <w:szCs w:val="21"/>
                      <w:u w:val="none"/>
                    </w:rPr>
                  </w:pPr>
                </w:p>
              </w:tc>
              <w:tc>
                <w:tcPr>
                  <w:tcW w:w="1202" w:type="pct"/>
                  <w:noWrap w:val="0"/>
                  <w:vAlign w:val="center"/>
                </w:tcPr>
                <w:p>
                  <w:pPr>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107</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125</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106</w:t>
                  </w:r>
                </w:p>
              </w:tc>
              <w:tc>
                <w:tcPr>
                  <w:tcW w:w="701"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200</w:t>
                  </w:r>
                </w:p>
              </w:tc>
              <w:tc>
                <w:tcPr>
                  <w:tcW w:w="450" w:type="pct"/>
                  <w:noWrap w:val="0"/>
                  <w:vAlign w:val="center"/>
                </w:tcPr>
                <w:p>
                  <w:pPr>
                    <w:widowControl/>
                    <w:jc w:val="center"/>
                    <w:textAlignment w:val="center"/>
                    <w:rPr>
                      <w:rFonts w:ascii="Times New Roman" w:hAnsi="Times New Roman" w:eastAsia="宋体" w:cs="Times New Roman"/>
                      <w:bCs/>
                      <w:color w:val="auto"/>
                      <w:sz w:val="21"/>
                      <w:szCs w:val="21"/>
                      <w:u w:val="none"/>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0.089</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0.094</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0.086</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NO</w:t>
                  </w:r>
                  <w:r>
                    <w:rPr>
                      <w:rFonts w:hint="eastAsia" w:cs="Times New Roman"/>
                      <w:bCs/>
                      <w:color w:val="auto"/>
                      <w:sz w:val="21"/>
                      <w:szCs w:val="21"/>
                      <w:u w:val="none"/>
                      <w:vertAlign w:val="subscript"/>
                      <w:lang w:val="en-US" w:eastAsia="zh-CN"/>
                    </w:rPr>
                    <w:t>X</w:t>
                  </w:r>
                </w:p>
              </w:tc>
              <w:tc>
                <w:tcPr>
                  <w:tcW w:w="1202" w:type="pct"/>
                  <w:noWrap w:val="0"/>
                  <w:vAlign w:val="center"/>
                </w:tcPr>
                <w:p>
                  <w:pPr>
                    <w:jc w:val="center"/>
                    <w:rPr>
                      <w:rFonts w:hint="default" w:eastAsia="宋体" w:cs="Times New Roman"/>
                      <w:bCs/>
                      <w:color w:val="auto"/>
                      <w:sz w:val="21"/>
                      <w:szCs w:val="21"/>
                      <w:u w:val="none"/>
                      <w:lang w:val="en-US" w:eastAsia="zh-CN"/>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38</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37</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34</w:t>
                  </w:r>
                </w:p>
              </w:tc>
              <w:tc>
                <w:tcPr>
                  <w:tcW w:w="701" w:type="pct"/>
                  <w:noWrap w:val="0"/>
                  <w:vAlign w:val="center"/>
                </w:tcPr>
                <w:p>
                  <w:pPr>
                    <w:widowControl/>
                    <w:jc w:val="center"/>
                    <w:textAlignment w:val="center"/>
                    <w:rPr>
                      <w:rFonts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169</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178</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157</w:t>
                  </w:r>
                </w:p>
              </w:tc>
              <w:tc>
                <w:tcPr>
                  <w:tcW w:w="701"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200</w:t>
                  </w:r>
                </w:p>
              </w:tc>
              <w:tc>
                <w:tcPr>
                  <w:tcW w:w="450"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0.14</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0.13</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0.13</w:t>
                  </w:r>
                </w:p>
              </w:tc>
              <w:tc>
                <w:tcPr>
                  <w:tcW w:w="701" w:type="pct"/>
                  <w:noWrap w:val="0"/>
                  <w:vAlign w:val="center"/>
                </w:tcPr>
                <w:p>
                  <w:pPr>
                    <w:widowControl/>
                    <w:jc w:val="center"/>
                    <w:textAlignment w:val="center"/>
                    <w:rPr>
                      <w:rFonts w:hint="eastAsia" w:cs="Times New Roman"/>
                      <w:bCs/>
                      <w:color w:val="auto"/>
                      <w:kern w:val="2"/>
                      <w:sz w:val="21"/>
                      <w:szCs w:val="21"/>
                      <w:u w:val="none"/>
                      <w:lang w:val="en-US" w:eastAsia="zh-CN" w:bidi="ar-SA"/>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TSP</w:t>
                  </w: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5.7</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5.9</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6.1</w:t>
                  </w:r>
                </w:p>
              </w:tc>
              <w:tc>
                <w:tcPr>
                  <w:tcW w:w="701" w:type="pct"/>
                  <w:noWrap w:val="0"/>
                  <w:vAlign w:val="center"/>
                </w:tcPr>
                <w:p>
                  <w:pPr>
                    <w:widowControl/>
                    <w:jc w:val="center"/>
                    <w:textAlignment w:val="center"/>
                    <w:rPr>
                      <w:rFonts w:hint="eastAsia" w:cs="Times New Roman"/>
                      <w:bCs/>
                      <w:color w:val="auto"/>
                      <w:kern w:val="2"/>
                      <w:sz w:val="21"/>
                      <w:szCs w:val="21"/>
                      <w:u w:val="none"/>
                      <w:lang w:val="en-US" w:eastAsia="zh-CN" w:bidi="ar-SA"/>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25.3</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28.3</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28.2</w:t>
                  </w:r>
                </w:p>
              </w:tc>
              <w:tc>
                <w:tcPr>
                  <w:tcW w:w="701" w:type="pct"/>
                  <w:noWrap w:val="0"/>
                  <w:vAlign w:val="center"/>
                </w:tcPr>
                <w:p>
                  <w:pPr>
                    <w:widowControl/>
                    <w:jc w:val="center"/>
                    <w:textAlignment w:val="center"/>
                    <w:rPr>
                      <w:rFonts w:hint="default" w:cs="Times New Roman"/>
                      <w:bCs/>
                      <w:color w:val="auto"/>
                      <w:kern w:val="2"/>
                      <w:sz w:val="21"/>
                      <w:szCs w:val="21"/>
                      <w:u w:val="none"/>
                      <w:lang w:val="en-US" w:eastAsia="zh-CN" w:bidi="ar-SA"/>
                    </w:rPr>
                  </w:pPr>
                  <w:r>
                    <w:rPr>
                      <w:rFonts w:hint="eastAsia" w:cs="Times New Roman"/>
                      <w:bCs/>
                      <w:color w:val="auto"/>
                      <w:sz w:val="21"/>
                      <w:szCs w:val="21"/>
                      <w:u w:val="none"/>
                      <w:lang w:val="en-US" w:eastAsia="zh-CN"/>
                    </w:rPr>
                    <w:t>30</w:t>
                  </w:r>
                </w:p>
              </w:tc>
              <w:tc>
                <w:tcPr>
                  <w:tcW w:w="450"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0.021</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0.021</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0.023</w:t>
                  </w:r>
                </w:p>
              </w:tc>
              <w:tc>
                <w:tcPr>
                  <w:tcW w:w="701" w:type="pct"/>
                  <w:noWrap w:val="0"/>
                  <w:vAlign w:val="center"/>
                </w:tcPr>
                <w:p>
                  <w:pPr>
                    <w:widowControl/>
                    <w:jc w:val="center"/>
                    <w:textAlignment w:val="center"/>
                    <w:rPr>
                      <w:rFonts w:hint="eastAsia" w:cs="Times New Roman"/>
                      <w:bCs/>
                      <w:color w:val="auto"/>
                      <w:kern w:val="2"/>
                      <w:sz w:val="21"/>
                      <w:szCs w:val="21"/>
                      <w:u w:val="none"/>
                      <w:lang w:val="en-US" w:eastAsia="zh-CN" w:bidi="ar-SA"/>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restart"/>
                  <w:noWrap w:val="0"/>
                  <w:vAlign w:val="center"/>
                </w:tcPr>
                <w:p>
                  <w:pPr>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汞及其化合物</w:t>
                  </w: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实测浓度（mg/m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89"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9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701"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hint="eastAsia" w:cs="Times New Roman"/>
                      <w:bCs/>
                      <w:color w:val="auto"/>
                      <w:sz w:val="21"/>
                      <w:szCs w:val="21"/>
                      <w:u w:val="none"/>
                      <w:lang w:eastAsia="zh-CN"/>
                    </w:rPr>
                    <w:t>折算浓度</w:t>
                  </w:r>
                  <w:r>
                    <w:rPr>
                      <w:rFonts w:cs="Times New Roman"/>
                      <w:bCs/>
                      <w:color w:val="auto"/>
                      <w:sz w:val="21"/>
                      <w:szCs w:val="21"/>
                      <w:u w:val="none"/>
                    </w:rPr>
                    <w:t>（mg/m</w:t>
                  </w:r>
                  <w:r>
                    <w:rPr>
                      <w:rFonts w:cs="Times New Roman"/>
                      <w:bCs/>
                      <w:color w:val="auto"/>
                      <w:sz w:val="21"/>
                      <w:szCs w:val="21"/>
                      <w:u w:val="none"/>
                      <w:vertAlign w:val="superscript"/>
                    </w:rPr>
                    <w:t>3</w:t>
                  </w:r>
                  <w:r>
                    <w:rPr>
                      <w:rFonts w:cs="Times New Roman"/>
                      <w:bCs/>
                      <w:color w:val="auto"/>
                      <w:sz w:val="21"/>
                      <w:szCs w:val="21"/>
                      <w:u w:val="none"/>
                    </w:rPr>
                    <w:t>）</w:t>
                  </w:r>
                </w:p>
              </w:tc>
              <w:tc>
                <w:tcPr>
                  <w:tcW w:w="489"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89"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49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ND</w:t>
                  </w:r>
                </w:p>
              </w:tc>
              <w:tc>
                <w:tcPr>
                  <w:tcW w:w="701" w:type="pct"/>
                  <w:noWrap w:val="0"/>
                  <w:vAlign w:val="center"/>
                </w:tcPr>
                <w:p>
                  <w:pPr>
                    <w:widowControl/>
                    <w:jc w:val="center"/>
                    <w:textAlignment w:val="center"/>
                    <w:rPr>
                      <w:rFonts w:hint="default" w:eastAsia="宋体" w:cs="Times New Roman"/>
                      <w:bCs/>
                      <w:color w:val="auto"/>
                      <w:sz w:val="21"/>
                      <w:szCs w:val="21"/>
                      <w:u w:val="none"/>
                      <w:lang w:val="en-US" w:eastAsia="zh-CN"/>
                    </w:rPr>
                  </w:pPr>
                  <w:r>
                    <w:rPr>
                      <w:rFonts w:hint="eastAsia" w:cs="Times New Roman"/>
                      <w:bCs/>
                      <w:color w:val="auto"/>
                      <w:sz w:val="21"/>
                      <w:szCs w:val="21"/>
                      <w:u w:val="none"/>
                      <w:lang w:val="en-US" w:eastAsia="zh-CN"/>
                    </w:rPr>
                    <w:t>0.05</w:t>
                  </w:r>
                </w:p>
              </w:tc>
              <w:tc>
                <w:tcPr>
                  <w:tcW w:w="45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574" w:type="pct"/>
                  <w:vMerge w:val="continue"/>
                  <w:noWrap w:val="0"/>
                  <w:vAlign w:val="center"/>
                </w:tcPr>
                <w:p>
                  <w:pPr>
                    <w:jc w:val="center"/>
                    <w:rPr>
                      <w:rFonts w:cs="Times New Roman"/>
                      <w:bCs/>
                      <w:color w:val="auto"/>
                      <w:sz w:val="21"/>
                      <w:szCs w:val="21"/>
                      <w:u w:val="none"/>
                    </w:rPr>
                  </w:pPr>
                </w:p>
              </w:tc>
              <w:tc>
                <w:tcPr>
                  <w:tcW w:w="1202" w:type="pct"/>
                  <w:noWrap w:val="0"/>
                  <w:vAlign w:val="center"/>
                </w:tcPr>
                <w:p>
                  <w:pPr>
                    <w:jc w:val="center"/>
                    <w:rPr>
                      <w:rFonts w:cs="Times New Roman"/>
                      <w:bCs/>
                      <w:color w:val="auto"/>
                      <w:sz w:val="21"/>
                      <w:szCs w:val="21"/>
                      <w:u w:val="none"/>
                    </w:rPr>
                  </w:pPr>
                  <w:r>
                    <w:rPr>
                      <w:rFonts w:cs="Times New Roman"/>
                      <w:bCs/>
                      <w:color w:val="auto"/>
                      <w:sz w:val="21"/>
                      <w:szCs w:val="21"/>
                      <w:u w:val="none"/>
                    </w:rPr>
                    <w:t>排放速率（kg/h）</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w:t>
                  </w:r>
                </w:p>
              </w:tc>
              <w:tc>
                <w:tcPr>
                  <w:tcW w:w="701" w:type="pct"/>
                  <w:noWrap w:val="0"/>
                  <w:vAlign w:val="center"/>
                </w:tcPr>
                <w:p>
                  <w:pPr>
                    <w:widowControl/>
                    <w:jc w:val="center"/>
                    <w:textAlignment w:val="center"/>
                    <w:rPr>
                      <w:rFonts w:hint="eastAsia" w:cs="Times New Roman"/>
                      <w:bCs/>
                      <w:color w:val="auto"/>
                      <w:sz w:val="21"/>
                      <w:szCs w:val="21"/>
                      <w:u w:val="none"/>
                    </w:rPr>
                  </w:pPr>
                  <w:r>
                    <w:rPr>
                      <w:rFonts w:hint="eastAsia" w:cs="Times New Roman"/>
                      <w:bCs/>
                      <w:color w:val="auto"/>
                      <w:sz w:val="21"/>
                      <w:szCs w:val="21"/>
                      <w:u w:val="none"/>
                    </w:rPr>
                    <w:t>/</w:t>
                  </w:r>
                </w:p>
              </w:tc>
              <w:tc>
                <w:tcPr>
                  <w:tcW w:w="450" w:type="pct"/>
                  <w:noWrap w:val="0"/>
                  <w:vAlign w:val="center"/>
                </w:tcPr>
                <w:p>
                  <w:pPr>
                    <w:widowControl/>
                    <w:jc w:val="center"/>
                    <w:textAlignment w:val="center"/>
                    <w:rPr>
                      <w:rFonts w:hint="eastAsia" w:cs="Times New Roman"/>
                      <w:bCs/>
                      <w:color w:val="auto"/>
                      <w:sz w:val="21"/>
                      <w:szCs w:val="21"/>
                      <w:u w:val="none"/>
                      <w:lang w:val="en-US" w:eastAsia="zh-CN"/>
                    </w:rPr>
                  </w:pPr>
                  <w:r>
                    <w:rPr>
                      <w:rFonts w:hint="eastAsia" w:cs="Times New Roman"/>
                      <w:bCs/>
                      <w:color w:val="auto"/>
                      <w:sz w:val="21"/>
                      <w:szCs w:val="21"/>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2" w:type="pct"/>
                  <w:vMerge w:val="continue"/>
                  <w:noWrap w:val="0"/>
                  <w:vAlign w:val="center"/>
                </w:tcPr>
                <w:p>
                  <w:pPr>
                    <w:jc w:val="center"/>
                    <w:rPr>
                      <w:rFonts w:cs="Times New Roman"/>
                      <w:bCs/>
                      <w:color w:val="auto"/>
                      <w:sz w:val="21"/>
                      <w:szCs w:val="21"/>
                      <w:u w:val="none"/>
                    </w:rPr>
                  </w:pPr>
                </w:p>
              </w:tc>
              <w:tc>
                <w:tcPr>
                  <w:tcW w:w="1776" w:type="pct"/>
                  <w:gridSpan w:val="2"/>
                  <w:noWrap w:val="0"/>
                  <w:vAlign w:val="center"/>
                </w:tcPr>
                <w:p>
                  <w:pPr>
                    <w:jc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林格曼黑度（级）</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489"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490" w:type="pct"/>
                  <w:noWrap w:val="0"/>
                  <w:vAlign w:val="center"/>
                </w:tcPr>
                <w:p>
                  <w:pPr>
                    <w:widowControl/>
                    <w:jc w:val="center"/>
                    <w:textAlignment w:val="center"/>
                    <w:rPr>
                      <w:rFonts w:hint="default"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701" w:type="pct"/>
                  <w:noWrap w:val="0"/>
                  <w:vAlign w:val="center"/>
                </w:tcPr>
                <w:p>
                  <w:pPr>
                    <w:widowControl/>
                    <w:jc w:val="center"/>
                    <w:textAlignment w:val="center"/>
                    <w:rPr>
                      <w:rFonts w:hint="eastAsia" w:eastAsia="宋体" w:cs="Times New Roman"/>
                      <w:bCs/>
                      <w:color w:val="auto"/>
                      <w:sz w:val="21"/>
                      <w:szCs w:val="21"/>
                      <w:u w:val="none"/>
                      <w:lang w:val="en-US" w:eastAsia="zh-CN"/>
                    </w:rPr>
                  </w:pPr>
                  <w:r>
                    <w:rPr>
                      <w:rFonts w:hint="eastAsia" w:cs="Times New Roman"/>
                      <w:bCs/>
                      <w:color w:val="auto"/>
                      <w:sz w:val="21"/>
                      <w:szCs w:val="21"/>
                      <w:u w:val="none"/>
                      <w:lang w:val="en-US" w:eastAsia="zh-CN"/>
                    </w:rPr>
                    <w:t>1</w:t>
                  </w:r>
                </w:p>
              </w:tc>
              <w:tc>
                <w:tcPr>
                  <w:tcW w:w="450" w:type="pct"/>
                  <w:noWrap w:val="0"/>
                  <w:vAlign w:val="center"/>
                </w:tcPr>
                <w:p>
                  <w:pPr>
                    <w:widowControl/>
                    <w:jc w:val="center"/>
                    <w:textAlignment w:val="center"/>
                    <w:rPr>
                      <w:rFonts w:hint="eastAsia" w:eastAsia="宋体" w:cs="Times New Roman"/>
                      <w:bCs/>
                      <w:color w:val="auto"/>
                      <w:sz w:val="21"/>
                      <w:szCs w:val="21"/>
                      <w:u w:val="none"/>
                      <w:lang w:eastAsia="zh-CN"/>
                    </w:rPr>
                  </w:pPr>
                  <w:r>
                    <w:rPr>
                      <w:rFonts w:hint="eastAsia" w:cs="Times New Roman"/>
                      <w:bCs/>
                      <w:color w:val="auto"/>
                      <w:sz w:val="21"/>
                      <w:szCs w:val="21"/>
                      <w:u w:val="none"/>
                      <w:lang w:eastAsia="zh-CN"/>
                    </w:rPr>
                    <w:t>达标</w:t>
                  </w:r>
                </w:p>
              </w:tc>
            </w:tr>
          </w:tbl>
          <w:p>
            <w:pPr>
              <w:numPr>
                <w:ilvl w:val="0"/>
                <w:numId w:val="0"/>
              </w:numPr>
              <w:spacing w:line="360" w:lineRule="auto"/>
              <w:ind w:firstLine="480" w:firstLineChars="200"/>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color w:val="auto"/>
                <w:kern w:val="20"/>
                <w:sz w:val="24"/>
                <w:szCs w:val="24"/>
                <w:highlight w:val="none"/>
                <w:u w:val="none"/>
                <w:lang w:val="en-US" w:eastAsia="zh-CN"/>
              </w:rPr>
              <w:t>锅</w:t>
            </w:r>
            <w:r>
              <w:rPr>
                <w:rFonts w:hint="eastAsia" w:ascii="Times New Roman" w:hAnsi="Times New Roman" w:eastAsia="宋体" w:cs="Times New Roman"/>
                <w:b w:val="0"/>
                <w:bCs/>
                <w:color w:val="auto"/>
                <w:sz w:val="24"/>
                <w:szCs w:val="24"/>
                <w:u w:val="none"/>
                <w:lang w:val="en-US" w:eastAsia="zh-CN"/>
              </w:rPr>
              <w:t>炉废气</w:t>
            </w:r>
            <w:r>
              <w:rPr>
                <w:rFonts w:hint="eastAsia" w:cs="Times New Roman"/>
                <w:b w:val="0"/>
                <w:bCs/>
                <w:color w:val="auto"/>
                <w:sz w:val="24"/>
                <w:szCs w:val="24"/>
                <w:u w:val="none"/>
                <w:lang w:eastAsia="zh-CN"/>
              </w:rPr>
              <w:t>排放口</w:t>
            </w:r>
            <w:r>
              <w:rPr>
                <w:rFonts w:hint="eastAsia" w:ascii="Times New Roman" w:hAnsi="Times New Roman" w:eastAsia="宋体" w:cs="Times New Roman"/>
                <w:b w:val="0"/>
                <w:bCs w:val="0"/>
                <w:color w:val="auto"/>
                <w:sz w:val="24"/>
                <w:szCs w:val="24"/>
                <w:u w:val="none"/>
                <w:lang w:val="en-US" w:eastAsia="zh-CN"/>
              </w:rPr>
              <w:t>的颗粒物、氮氧化物、二氧化硫、</w:t>
            </w:r>
            <w:r>
              <w:rPr>
                <w:rFonts w:hint="eastAsia" w:cs="Times New Roman"/>
                <w:b w:val="0"/>
                <w:bCs w:val="0"/>
                <w:color w:val="auto"/>
                <w:sz w:val="24"/>
                <w:szCs w:val="24"/>
                <w:u w:val="none"/>
                <w:lang w:val="en-US" w:eastAsia="zh-CN"/>
              </w:rPr>
              <w:t>汞及其化合物、</w:t>
            </w:r>
            <w:r>
              <w:rPr>
                <w:rFonts w:hint="eastAsia" w:cs="Times New Roman"/>
                <w:bCs/>
                <w:color w:val="auto"/>
                <w:sz w:val="24"/>
                <w:szCs w:val="24"/>
                <w:u w:val="none"/>
                <w:lang w:eastAsia="zh-CN"/>
              </w:rPr>
              <w:t>林格曼黑度</w:t>
            </w:r>
            <w:r>
              <w:rPr>
                <w:rFonts w:hint="eastAsia" w:ascii="Times New Roman" w:hAnsi="Times New Roman" w:eastAsia="宋体" w:cs="Times New Roman"/>
                <w:b w:val="0"/>
                <w:bCs w:val="0"/>
                <w:color w:val="auto"/>
                <w:sz w:val="24"/>
                <w:szCs w:val="24"/>
                <w:u w:val="none"/>
                <w:lang w:val="en-US" w:eastAsia="zh-CN"/>
              </w:rPr>
              <w:t>可满足《锅炉大气污染物排放标准》（GB13271-2014）表3中燃煤特别排放限值要求。</w:t>
            </w:r>
          </w:p>
          <w:p>
            <w:pPr>
              <w:pStyle w:val="25"/>
              <w:keepNext w:val="0"/>
              <w:keepLines w:val="0"/>
              <w:widowControl w:val="0"/>
              <w:numPr>
                <w:ilvl w:val="0"/>
                <w:numId w:val="0"/>
              </w:numPr>
              <w:suppressLineNumbers w:val="0"/>
              <w:autoSpaceDE w:val="0"/>
              <w:autoSpaceDN w:val="0"/>
              <w:adjustRightInd w:val="0"/>
              <w:spacing w:before="0" w:beforeAutospacing="0" w:after="0" w:afterAutospacing="0" w:line="360" w:lineRule="auto"/>
              <w:ind w:left="0" w:leftChars="0" w:right="0" w:firstLine="482" w:firstLineChars="200"/>
              <w:jc w:val="left"/>
              <w:rPr>
                <w:rFonts w:hint="eastAsia" w:ascii="Times New Roman" w:hAnsi="Times New Roman" w:eastAsia="宋体" w:cs="Times New Roman"/>
                <w:b/>
                <w:bCs/>
                <w:color w:val="auto"/>
                <w:kern w:val="0"/>
                <w:sz w:val="24"/>
                <w:szCs w:val="24"/>
                <w:u w:val="none"/>
                <w:lang w:eastAsia="zh-CN"/>
              </w:rPr>
            </w:pPr>
            <w:r>
              <w:rPr>
                <w:rFonts w:hint="eastAsia" w:ascii="Times New Roman" w:hAnsi="Times New Roman" w:eastAsia="宋体" w:cs="Times New Roman"/>
                <w:b/>
                <w:bCs/>
                <w:color w:val="auto"/>
                <w:kern w:val="0"/>
                <w:sz w:val="24"/>
                <w:szCs w:val="24"/>
                <w:u w:val="none"/>
                <w:lang w:val="en-US" w:eastAsia="zh-CN"/>
              </w:rPr>
              <w:t>2、</w:t>
            </w:r>
            <w:r>
              <w:rPr>
                <w:rFonts w:hint="eastAsia" w:ascii="Times New Roman" w:hAnsi="Times New Roman" w:eastAsia="宋体" w:cs="Times New Roman"/>
                <w:b/>
                <w:bCs/>
                <w:color w:val="auto"/>
                <w:kern w:val="0"/>
                <w:sz w:val="24"/>
                <w:szCs w:val="24"/>
                <w:u w:val="none"/>
                <w:lang w:eastAsia="zh-CN"/>
              </w:rPr>
              <w:t>无组织废气</w:t>
            </w:r>
          </w:p>
          <w:p>
            <w:pPr>
              <w:keepNext w:val="0"/>
              <w:keepLines w:val="0"/>
              <w:widowControl w:val="0"/>
              <w:suppressLineNumbers w:val="0"/>
              <w:spacing w:before="0" w:beforeAutospacing="0" w:after="20" w:afterAutospacing="0" w:line="360" w:lineRule="auto"/>
              <w:ind w:left="0" w:right="0" w:firstLine="480"/>
              <w:jc w:val="both"/>
              <w:rPr>
                <w:rFonts w:hint="default" w:ascii="Times New Roman" w:hAnsi="Times New Roman" w:eastAsia="宋体" w:cs="Times New Roman"/>
                <w:color w:val="auto"/>
                <w:kern w:val="2"/>
                <w:sz w:val="24"/>
                <w:szCs w:val="24"/>
                <w:highlight w:val="none"/>
                <w:u w:val="none"/>
                <w:lang w:val="en-US" w:eastAsia="zh-CN" w:bidi="ar"/>
              </w:rPr>
            </w:pPr>
            <w:bookmarkStart w:id="61" w:name="_Ref92582306"/>
            <w:r>
              <w:rPr>
                <w:rFonts w:hint="eastAsia" w:ascii="Times New Roman" w:hAnsi="Times New Roman" w:eastAsia="宋体" w:cs="Times New Roman"/>
                <w:color w:val="auto"/>
                <w:kern w:val="2"/>
                <w:sz w:val="24"/>
                <w:szCs w:val="24"/>
                <w:u w:val="none"/>
                <w:lang w:val="en-US" w:eastAsia="zh-CN" w:bidi="ar"/>
              </w:rPr>
              <w:t>现有</w:t>
            </w:r>
            <w:r>
              <w:rPr>
                <w:rFonts w:hint="default" w:ascii="Times New Roman" w:hAnsi="Times New Roman" w:eastAsia="宋体" w:cs="Times New Roman"/>
                <w:color w:val="auto"/>
                <w:kern w:val="2"/>
                <w:sz w:val="24"/>
                <w:szCs w:val="24"/>
                <w:u w:val="none"/>
                <w:lang w:val="en-US" w:eastAsia="zh-CN" w:bidi="ar"/>
              </w:rPr>
              <w:t>工程主要的无组织</w:t>
            </w:r>
            <w:r>
              <w:rPr>
                <w:rFonts w:hint="default" w:ascii="Times New Roman" w:hAnsi="Times New Roman" w:eastAsia="宋体" w:cs="Times New Roman"/>
                <w:color w:val="auto"/>
                <w:kern w:val="2"/>
                <w:sz w:val="24"/>
                <w:szCs w:val="24"/>
                <w:highlight w:val="none"/>
                <w:u w:val="none"/>
                <w:lang w:val="en-US" w:eastAsia="zh-CN" w:bidi="ar"/>
              </w:rPr>
              <w:t>污染物为</w:t>
            </w:r>
            <w:r>
              <w:rPr>
                <w:rFonts w:hint="eastAsia" w:cs="Times New Roman"/>
                <w:color w:val="auto"/>
                <w:kern w:val="2"/>
                <w:sz w:val="24"/>
                <w:szCs w:val="24"/>
                <w:highlight w:val="none"/>
                <w:u w:val="none"/>
                <w:lang w:val="en-US" w:eastAsia="zh-CN" w:bidi="ar"/>
              </w:rPr>
              <w:t>颗粒物和硫酸雾</w:t>
            </w:r>
            <w:r>
              <w:rPr>
                <w:rFonts w:hint="default" w:ascii="Times New Roman" w:hAnsi="Times New Roman" w:eastAsia="宋体" w:cs="Times New Roman"/>
                <w:color w:val="auto"/>
                <w:kern w:val="2"/>
                <w:sz w:val="24"/>
                <w:szCs w:val="24"/>
                <w:highlight w:val="none"/>
                <w:u w:val="none"/>
                <w:lang w:val="en-US" w:eastAsia="zh-CN" w:bidi="ar"/>
              </w:rPr>
              <w:t>。</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eastAsia="宋体" w:cs="Times New Roman"/>
                <w:color w:val="auto"/>
                <w:kern w:val="2"/>
                <w:sz w:val="24"/>
                <w:szCs w:val="24"/>
                <w:highlight w:val="none"/>
                <w:u w:val="none"/>
                <w:lang w:val="en-US" w:eastAsia="zh-CN" w:bidi="ar"/>
              </w:rPr>
            </w:pPr>
            <w:r>
              <w:rPr>
                <w:rFonts w:hint="eastAsia" w:ascii="Times New Roman" w:hAnsi="Times New Roman" w:eastAsia="宋体" w:cs="Times New Roman"/>
                <w:color w:val="auto"/>
                <w:kern w:val="2"/>
                <w:sz w:val="24"/>
                <w:szCs w:val="24"/>
                <w:highlight w:val="none"/>
                <w:u w:val="none"/>
                <w:lang w:val="en-US" w:eastAsia="zh-CN" w:bidi="ar"/>
              </w:rPr>
              <w:t>根据湖南求是检测科技有限公司2023年12月12日出具的《湖南西姆西科技有限公司自行监测报告》（报告编号：QS20230502-3），于2023年11月24日对该项目</w:t>
            </w:r>
            <w:r>
              <w:rPr>
                <w:rFonts w:hint="eastAsia" w:cs="Times New Roman"/>
                <w:color w:val="auto"/>
                <w:kern w:val="2"/>
                <w:sz w:val="24"/>
                <w:szCs w:val="24"/>
                <w:highlight w:val="none"/>
                <w:u w:val="none"/>
                <w:lang w:val="en-US" w:eastAsia="zh-CN" w:bidi="ar"/>
              </w:rPr>
              <w:t>无组织废气</w:t>
            </w:r>
            <w:r>
              <w:rPr>
                <w:rFonts w:hint="eastAsia" w:ascii="Times New Roman" w:hAnsi="Times New Roman" w:eastAsia="宋体" w:cs="Times New Roman"/>
                <w:color w:val="auto"/>
                <w:kern w:val="2"/>
                <w:sz w:val="24"/>
                <w:szCs w:val="24"/>
                <w:highlight w:val="none"/>
                <w:u w:val="none"/>
                <w:lang w:val="en-US" w:eastAsia="zh-CN" w:bidi="ar"/>
              </w:rPr>
              <w:t>排放情况进行了检测，见表2.10-</w:t>
            </w:r>
            <w:r>
              <w:rPr>
                <w:rFonts w:hint="eastAsia" w:cs="Times New Roman"/>
                <w:color w:val="auto"/>
                <w:kern w:val="2"/>
                <w:sz w:val="24"/>
                <w:szCs w:val="24"/>
                <w:highlight w:val="none"/>
                <w:u w:val="none"/>
                <w:lang w:val="en-US" w:eastAsia="zh-CN" w:bidi="ar"/>
              </w:rPr>
              <w:t>5</w:t>
            </w:r>
            <w:r>
              <w:rPr>
                <w:rFonts w:hint="default" w:ascii="Times New Roman" w:hAnsi="Times New Roman" w:eastAsia="宋体" w:cs="Times New Roman"/>
                <w:color w:val="auto"/>
                <w:kern w:val="2"/>
                <w:sz w:val="24"/>
                <w:szCs w:val="24"/>
                <w:highlight w:val="none"/>
                <w:u w:val="none"/>
                <w:lang w:val="en-US" w:eastAsia="zh-CN" w:bidi="ar"/>
              </w:rPr>
              <w:t>。</w:t>
            </w:r>
          </w:p>
          <w:p>
            <w:pPr>
              <w:pStyle w:val="8"/>
              <w:spacing w:line="240" w:lineRule="auto"/>
              <w:jc w:val="center"/>
              <w:rPr>
                <w:rFonts w:hint="eastAsia" w:ascii="Times New Roman" w:hAnsi="Times New Roman" w:eastAsia="宋体" w:cs="Times New Roman"/>
                <w:b/>
                <w:color w:val="auto"/>
                <w:kern w:val="20"/>
                <w:sz w:val="24"/>
                <w:szCs w:val="24"/>
                <w:highlight w:val="none"/>
                <w:u w:val="none"/>
                <w:lang w:val="en-US" w:eastAsia="zh-CN"/>
              </w:rPr>
            </w:pPr>
            <w:r>
              <w:rPr>
                <w:rFonts w:hint="eastAsia" w:ascii="Times New Roman" w:hAnsi="Times New Roman" w:eastAsia="宋体" w:cs="Times New Roman"/>
                <w:b/>
                <w:color w:val="auto"/>
                <w:kern w:val="20"/>
                <w:sz w:val="24"/>
                <w:szCs w:val="24"/>
                <w:highlight w:val="none"/>
                <w:u w:val="none"/>
                <w:lang w:val="en-US" w:eastAsia="zh-CN"/>
              </w:rPr>
              <w:t>表</w:t>
            </w:r>
            <w:bookmarkEnd w:id="61"/>
            <w:r>
              <w:rPr>
                <w:rFonts w:hint="eastAsia" w:ascii="Times New Roman" w:hAnsi="Times New Roman" w:eastAsia="宋体" w:cs="Times New Roman"/>
                <w:b/>
                <w:color w:val="auto"/>
                <w:kern w:val="20"/>
                <w:sz w:val="24"/>
                <w:szCs w:val="24"/>
                <w:highlight w:val="none"/>
                <w:u w:val="none"/>
                <w:lang w:val="en-US" w:eastAsia="zh-CN"/>
              </w:rPr>
              <w:t>2.10-</w:t>
            </w:r>
            <w:r>
              <w:rPr>
                <w:rFonts w:hint="eastAsia" w:ascii="Times New Roman" w:hAnsi="Times New Roman" w:cs="Times New Roman"/>
                <w:b/>
                <w:color w:val="auto"/>
                <w:kern w:val="20"/>
                <w:sz w:val="24"/>
                <w:szCs w:val="24"/>
                <w:highlight w:val="none"/>
                <w:u w:val="none"/>
                <w:lang w:val="en-US" w:eastAsia="zh-CN"/>
              </w:rPr>
              <w:t>5</w:t>
            </w:r>
            <w:r>
              <w:rPr>
                <w:rFonts w:hint="eastAsia" w:ascii="Times New Roman" w:hAnsi="Times New Roman" w:eastAsia="宋体" w:cs="Times New Roman"/>
                <w:b/>
                <w:color w:val="auto"/>
                <w:kern w:val="20"/>
                <w:sz w:val="24"/>
                <w:szCs w:val="24"/>
                <w:highlight w:val="none"/>
                <w:u w:val="none"/>
                <w:lang w:val="en-US" w:eastAsia="zh-CN"/>
              </w:rPr>
              <w:t>厂界无组织排放废气监测结果一览表</w:t>
            </w:r>
          </w:p>
          <w:tbl>
            <w:tblPr>
              <w:tblStyle w:val="9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37"/>
              <w:gridCol w:w="3733"/>
              <w:gridCol w:w="37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837" w:type="dxa"/>
                  <w:vMerge w:val="restart"/>
                  <w:noWrap w:val="0"/>
                  <w:vAlign w:val="center"/>
                </w:tcPr>
                <w:p>
                  <w:pPr>
                    <w:widowControl/>
                    <w:jc w:val="center"/>
                    <w:rPr>
                      <w:rFonts w:cs="Times New Roman"/>
                      <w:color w:val="auto"/>
                      <w:kern w:val="0"/>
                      <w:sz w:val="21"/>
                      <w:szCs w:val="21"/>
                      <w:u w:val="none"/>
                    </w:rPr>
                  </w:pPr>
                  <w:r>
                    <w:rPr>
                      <w:rFonts w:cs="Times New Roman"/>
                      <w:bCs/>
                      <w:color w:val="auto"/>
                      <w:kern w:val="0"/>
                      <w:sz w:val="21"/>
                      <w:szCs w:val="21"/>
                      <w:u w:val="none"/>
                    </w:rPr>
                    <w:t>采样点位</w:t>
                  </w:r>
                </w:p>
              </w:tc>
              <w:tc>
                <w:tcPr>
                  <w:tcW w:w="7471" w:type="dxa"/>
                  <w:gridSpan w:val="2"/>
                  <w:noWrap w:val="0"/>
                  <w:vAlign w:val="center"/>
                </w:tcPr>
                <w:p>
                  <w:pPr>
                    <w:widowControl/>
                    <w:adjustRightInd w:val="0"/>
                    <w:snapToGrid w:val="0"/>
                    <w:jc w:val="center"/>
                    <w:rPr>
                      <w:rFonts w:cs="Times New Roman"/>
                      <w:bCs/>
                      <w:color w:val="auto"/>
                      <w:kern w:val="0"/>
                      <w:sz w:val="21"/>
                      <w:szCs w:val="21"/>
                      <w:u w:val="none"/>
                    </w:rPr>
                  </w:pPr>
                  <w:r>
                    <w:rPr>
                      <w:rFonts w:cs="Times New Roman"/>
                      <w:bCs/>
                      <w:color w:val="auto"/>
                      <w:kern w:val="0"/>
                      <w:sz w:val="21"/>
                      <w:szCs w:val="21"/>
                      <w:u w:val="none"/>
                    </w:rPr>
                    <w:t>检测结果</w:t>
                  </w:r>
                  <w:r>
                    <w:rPr>
                      <w:rFonts w:hint="eastAsia" w:cs="Times New Roman"/>
                      <w:bCs/>
                      <w:color w:val="auto"/>
                      <w:kern w:val="0"/>
                      <w:sz w:val="21"/>
                      <w:szCs w:val="21"/>
                      <w:u w:val="none"/>
                    </w:rPr>
                    <w:t>（单位：</w:t>
                  </w:r>
                  <w:r>
                    <w:rPr>
                      <w:rFonts w:cs="Times New Roman"/>
                      <w:color w:val="auto"/>
                      <w:kern w:val="0"/>
                      <w:sz w:val="21"/>
                      <w:szCs w:val="21"/>
                      <w:u w:val="none"/>
                    </w:rPr>
                    <w:t>mg/m</w:t>
                  </w:r>
                  <w:r>
                    <w:rPr>
                      <w:rFonts w:cs="Times New Roman"/>
                      <w:color w:val="auto"/>
                      <w:kern w:val="0"/>
                      <w:sz w:val="21"/>
                      <w:szCs w:val="21"/>
                      <w:u w:val="none"/>
                      <w:vertAlign w:val="superscript"/>
                    </w:rPr>
                    <w:t>3</w:t>
                  </w:r>
                  <w:r>
                    <w:rPr>
                      <w:rFonts w:hint="eastAsia" w:cs="Times New Roman"/>
                      <w:bCs/>
                      <w:color w:val="auto"/>
                      <w:kern w:val="0"/>
                      <w:sz w:val="21"/>
                      <w:szCs w:val="21"/>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837" w:type="dxa"/>
                  <w:vMerge w:val="continue"/>
                  <w:noWrap w:val="0"/>
                  <w:vAlign w:val="center"/>
                </w:tcPr>
                <w:p>
                  <w:pPr>
                    <w:widowControl/>
                    <w:adjustRightInd w:val="0"/>
                    <w:snapToGrid w:val="0"/>
                    <w:jc w:val="center"/>
                    <w:rPr>
                      <w:rFonts w:cs="Times New Roman"/>
                      <w:color w:val="auto"/>
                      <w:kern w:val="0"/>
                      <w:sz w:val="21"/>
                      <w:szCs w:val="21"/>
                      <w:u w:val="none"/>
                    </w:rPr>
                  </w:pPr>
                </w:p>
              </w:tc>
              <w:tc>
                <w:tcPr>
                  <w:tcW w:w="3734" w:type="dxa"/>
                  <w:noWrap w:val="0"/>
                  <w:vAlign w:val="center"/>
                </w:tcPr>
                <w:p>
                  <w:pPr>
                    <w:widowControl/>
                    <w:jc w:val="center"/>
                    <w:rPr>
                      <w:rFonts w:hint="eastAsia" w:eastAsia="宋体" w:cs="Times New Roman"/>
                      <w:color w:val="auto"/>
                      <w:kern w:val="0"/>
                      <w:sz w:val="21"/>
                      <w:szCs w:val="21"/>
                      <w:u w:val="none"/>
                      <w:lang w:eastAsia="zh-CN"/>
                    </w:rPr>
                  </w:pPr>
                  <w:r>
                    <w:rPr>
                      <w:rFonts w:hint="eastAsia" w:cs="Times New Roman"/>
                      <w:color w:val="auto"/>
                      <w:kern w:val="0"/>
                      <w:sz w:val="21"/>
                      <w:szCs w:val="21"/>
                      <w:u w:val="none"/>
                      <w:lang w:eastAsia="zh-CN"/>
                    </w:rPr>
                    <w:t>颗粒物</w:t>
                  </w:r>
                </w:p>
              </w:tc>
              <w:tc>
                <w:tcPr>
                  <w:tcW w:w="3737" w:type="dxa"/>
                  <w:noWrap w:val="0"/>
                  <w:vAlign w:val="center"/>
                </w:tcPr>
                <w:p>
                  <w:pPr>
                    <w:widowControl/>
                    <w:jc w:val="center"/>
                    <w:rPr>
                      <w:rFonts w:hint="eastAsia" w:eastAsia="宋体" w:cs="Times New Roman"/>
                      <w:color w:val="auto"/>
                      <w:kern w:val="0"/>
                      <w:sz w:val="21"/>
                      <w:szCs w:val="21"/>
                      <w:u w:val="none"/>
                      <w:lang w:eastAsia="zh-CN"/>
                    </w:rPr>
                  </w:pPr>
                  <w:r>
                    <w:rPr>
                      <w:rFonts w:hint="eastAsia" w:cs="Times New Roman"/>
                      <w:color w:val="auto"/>
                      <w:kern w:val="0"/>
                      <w:sz w:val="21"/>
                      <w:szCs w:val="21"/>
                      <w:u w:val="none"/>
                      <w:lang w:eastAsia="zh-CN"/>
                    </w:rPr>
                    <w:t>硫酸雾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37" w:type="dxa"/>
                  <w:noWrap w:val="0"/>
                  <w:vAlign w:val="center"/>
                </w:tcPr>
                <w:p>
                  <w:pPr>
                    <w:widowControl/>
                    <w:jc w:val="center"/>
                    <w:rPr>
                      <w:rFonts w:cs="Times New Roman"/>
                      <w:color w:val="auto"/>
                      <w:kern w:val="0"/>
                      <w:sz w:val="21"/>
                      <w:szCs w:val="21"/>
                      <w:u w:val="none"/>
                    </w:rPr>
                  </w:pPr>
                  <w:r>
                    <w:rPr>
                      <w:rFonts w:cs="Times New Roman"/>
                      <w:color w:val="auto"/>
                      <w:kern w:val="0"/>
                      <w:sz w:val="21"/>
                      <w:szCs w:val="21"/>
                      <w:u w:val="none"/>
                    </w:rPr>
                    <w:t>A</w:t>
                  </w:r>
                  <w:r>
                    <w:rPr>
                      <w:rFonts w:hint="eastAsia" w:cs="Times New Roman"/>
                      <w:color w:val="auto"/>
                      <w:kern w:val="0"/>
                      <w:sz w:val="21"/>
                      <w:szCs w:val="21"/>
                      <w:u w:val="none"/>
                      <w:lang w:val="en-US" w:eastAsia="zh-CN"/>
                    </w:rPr>
                    <w:t>0</w:t>
                  </w:r>
                  <w:r>
                    <w:rPr>
                      <w:rFonts w:cs="Times New Roman"/>
                      <w:color w:val="auto"/>
                      <w:kern w:val="0"/>
                      <w:sz w:val="21"/>
                      <w:szCs w:val="21"/>
                      <w:u w:val="none"/>
                    </w:rPr>
                    <w:t>厂界上风向</w:t>
                  </w:r>
                </w:p>
              </w:tc>
              <w:tc>
                <w:tcPr>
                  <w:tcW w:w="3734" w:type="dxa"/>
                  <w:noWrap w:val="0"/>
                  <w:vAlign w:val="center"/>
                </w:tcPr>
                <w:p>
                  <w:pPr>
                    <w:widowControl/>
                    <w:jc w:val="center"/>
                    <w:rPr>
                      <w:rFonts w:hint="default"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0.683</w:t>
                  </w:r>
                </w:p>
              </w:tc>
              <w:tc>
                <w:tcPr>
                  <w:tcW w:w="3737" w:type="dxa"/>
                  <w:noWrap w:val="0"/>
                  <w:vAlign w:val="center"/>
                </w:tcPr>
                <w:p>
                  <w:pPr>
                    <w:widowControl/>
                    <w:jc w:val="center"/>
                    <w:rPr>
                      <w:rFonts w:hint="default"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37" w:type="dxa"/>
                  <w:noWrap w:val="0"/>
                  <w:vAlign w:val="center"/>
                </w:tcPr>
                <w:p>
                  <w:pPr>
                    <w:widowControl/>
                    <w:jc w:val="center"/>
                    <w:rPr>
                      <w:rFonts w:cs="Times New Roman"/>
                      <w:color w:val="auto"/>
                      <w:kern w:val="0"/>
                      <w:sz w:val="21"/>
                      <w:szCs w:val="21"/>
                      <w:u w:val="none"/>
                    </w:rPr>
                  </w:pPr>
                  <w:r>
                    <w:rPr>
                      <w:rFonts w:cs="Times New Roman"/>
                      <w:color w:val="auto"/>
                      <w:kern w:val="0"/>
                      <w:sz w:val="21"/>
                      <w:szCs w:val="21"/>
                      <w:u w:val="none"/>
                    </w:rPr>
                    <w:t>A</w:t>
                  </w:r>
                  <w:r>
                    <w:rPr>
                      <w:rFonts w:hint="eastAsia" w:cs="Times New Roman"/>
                      <w:color w:val="auto"/>
                      <w:kern w:val="0"/>
                      <w:sz w:val="21"/>
                      <w:szCs w:val="21"/>
                      <w:u w:val="none"/>
                      <w:lang w:val="en-US" w:eastAsia="zh-CN"/>
                    </w:rPr>
                    <w:t>1</w:t>
                  </w:r>
                  <w:r>
                    <w:rPr>
                      <w:rFonts w:cs="Times New Roman"/>
                      <w:color w:val="auto"/>
                      <w:kern w:val="0"/>
                      <w:sz w:val="21"/>
                      <w:szCs w:val="21"/>
                      <w:u w:val="none"/>
                    </w:rPr>
                    <w:t>厂界下风向</w:t>
                  </w:r>
                </w:p>
              </w:tc>
              <w:tc>
                <w:tcPr>
                  <w:tcW w:w="3734" w:type="dxa"/>
                  <w:noWrap w:val="0"/>
                  <w:vAlign w:val="center"/>
                </w:tcPr>
                <w:p>
                  <w:pPr>
                    <w:widowControl/>
                    <w:jc w:val="center"/>
                    <w:rPr>
                      <w:rFonts w:hint="default" w:cs="Times New Roman"/>
                      <w:color w:val="auto"/>
                      <w:kern w:val="0"/>
                      <w:sz w:val="21"/>
                      <w:szCs w:val="21"/>
                      <w:u w:val="none"/>
                      <w:lang w:val="en-US" w:eastAsia="zh-CN"/>
                    </w:rPr>
                  </w:pPr>
                  <w:r>
                    <w:rPr>
                      <w:rFonts w:hint="eastAsia" w:cs="Times New Roman"/>
                      <w:color w:val="auto"/>
                      <w:kern w:val="0"/>
                      <w:sz w:val="21"/>
                      <w:szCs w:val="21"/>
                      <w:u w:val="none"/>
                      <w:lang w:val="en-US" w:eastAsia="zh-CN"/>
                    </w:rPr>
                    <w:t>0.767</w:t>
                  </w:r>
                </w:p>
              </w:tc>
              <w:tc>
                <w:tcPr>
                  <w:tcW w:w="3737" w:type="dxa"/>
                  <w:noWrap w:val="0"/>
                  <w:vAlign w:val="center"/>
                </w:tcPr>
                <w:p>
                  <w:pPr>
                    <w:widowControl/>
                    <w:jc w:val="center"/>
                    <w:rPr>
                      <w:rFonts w:hint="default" w:cs="Times New Roman"/>
                      <w:color w:val="auto"/>
                      <w:kern w:val="0"/>
                      <w:sz w:val="21"/>
                      <w:szCs w:val="21"/>
                      <w:u w:val="none"/>
                      <w:lang w:val="en-US" w:eastAsia="zh-CN"/>
                    </w:rPr>
                  </w:pPr>
                  <w:r>
                    <w:rPr>
                      <w:rFonts w:hint="eastAsia" w:cs="Times New Roman"/>
                      <w:color w:val="auto"/>
                      <w:kern w:val="0"/>
                      <w:sz w:val="21"/>
                      <w:szCs w:val="21"/>
                      <w:u w:val="none"/>
                      <w:lang w:val="en-US" w:eastAsia="zh-CN"/>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37" w:type="dxa"/>
                  <w:noWrap w:val="0"/>
                  <w:vAlign w:val="center"/>
                </w:tcPr>
                <w:p>
                  <w:pPr>
                    <w:widowControl/>
                    <w:jc w:val="center"/>
                    <w:rPr>
                      <w:rFonts w:cs="Times New Roman"/>
                      <w:color w:val="auto"/>
                      <w:kern w:val="0"/>
                      <w:sz w:val="21"/>
                      <w:szCs w:val="21"/>
                      <w:u w:val="none"/>
                    </w:rPr>
                  </w:pPr>
                  <w:r>
                    <w:rPr>
                      <w:rFonts w:cs="Times New Roman"/>
                      <w:color w:val="auto"/>
                      <w:kern w:val="0"/>
                      <w:sz w:val="21"/>
                      <w:szCs w:val="21"/>
                      <w:u w:val="none"/>
                    </w:rPr>
                    <w:t>A2厂界下风向</w:t>
                  </w:r>
                </w:p>
              </w:tc>
              <w:tc>
                <w:tcPr>
                  <w:tcW w:w="3734" w:type="dxa"/>
                  <w:noWrap w:val="0"/>
                  <w:vAlign w:val="center"/>
                </w:tcPr>
                <w:p>
                  <w:pPr>
                    <w:widowControl/>
                    <w:jc w:val="center"/>
                    <w:rPr>
                      <w:rFonts w:hint="default"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0.750</w:t>
                  </w:r>
                </w:p>
              </w:tc>
              <w:tc>
                <w:tcPr>
                  <w:tcW w:w="3737" w:type="dxa"/>
                  <w:noWrap w:val="0"/>
                  <w:vAlign w:val="center"/>
                </w:tcPr>
                <w:p>
                  <w:pPr>
                    <w:widowControl/>
                    <w:jc w:val="center"/>
                    <w:rPr>
                      <w:rFonts w:hint="default" w:cs="Times New Roman"/>
                      <w:color w:val="auto"/>
                      <w:kern w:val="0"/>
                      <w:sz w:val="21"/>
                      <w:szCs w:val="21"/>
                      <w:u w:val="none"/>
                      <w:lang w:val="en-US"/>
                    </w:rPr>
                  </w:pPr>
                  <w:r>
                    <w:rPr>
                      <w:rFonts w:hint="eastAsia" w:cs="Times New Roman"/>
                      <w:color w:val="auto"/>
                      <w:kern w:val="0"/>
                      <w:sz w:val="21"/>
                      <w:szCs w:val="21"/>
                      <w:u w:val="none"/>
                      <w:lang w:val="en-US" w:eastAsia="zh-CN"/>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37" w:type="dxa"/>
                  <w:noWrap w:val="0"/>
                  <w:vAlign w:val="center"/>
                </w:tcPr>
                <w:p>
                  <w:pPr>
                    <w:widowControl/>
                    <w:jc w:val="center"/>
                    <w:rPr>
                      <w:rFonts w:hint="eastAsia" w:eastAsia="宋体" w:cs="Times New Roman"/>
                      <w:color w:val="auto"/>
                      <w:kern w:val="0"/>
                      <w:sz w:val="21"/>
                      <w:szCs w:val="21"/>
                      <w:u w:val="none"/>
                      <w:lang w:eastAsia="zh-CN"/>
                    </w:rPr>
                  </w:pPr>
                  <w:r>
                    <w:rPr>
                      <w:rFonts w:hint="eastAsia" w:cs="Times New Roman"/>
                      <w:color w:val="auto"/>
                      <w:kern w:val="0"/>
                      <w:sz w:val="21"/>
                      <w:szCs w:val="21"/>
                      <w:u w:val="none"/>
                      <w:lang w:eastAsia="zh-CN"/>
                    </w:rPr>
                    <w:t>标准限值</w:t>
                  </w:r>
                </w:p>
              </w:tc>
              <w:tc>
                <w:tcPr>
                  <w:tcW w:w="3734" w:type="dxa"/>
                  <w:noWrap w:val="0"/>
                  <w:vAlign w:val="center"/>
                </w:tcPr>
                <w:p>
                  <w:pPr>
                    <w:widowControl/>
                    <w:jc w:val="center"/>
                    <w:rPr>
                      <w:rFonts w:hint="default"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1.0</w:t>
                  </w:r>
                </w:p>
              </w:tc>
              <w:tc>
                <w:tcPr>
                  <w:tcW w:w="3737" w:type="dxa"/>
                  <w:noWrap w:val="0"/>
                  <w:vAlign w:val="center"/>
                </w:tcPr>
                <w:p>
                  <w:pPr>
                    <w:widowControl/>
                    <w:jc w:val="center"/>
                    <w:rPr>
                      <w:rFonts w:hint="default" w:eastAsia="宋体" w:cs="Times New Roman"/>
                      <w:color w:val="auto"/>
                      <w:kern w:val="0"/>
                      <w:sz w:val="21"/>
                      <w:szCs w:val="21"/>
                      <w:u w:val="none"/>
                      <w:lang w:val="en-US" w:eastAsia="zh-CN"/>
                    </w:rPr>
                  </w:pPr>
                  <w:r>
                    <w:rPr>
                      <w:rFonts w:hint="eastAsia" w:cs="Times New Roman"/>
                      <w:color w:val="auto"/>
                      <w:kern w:val="0"/>
                      <w:sz w:val="21"/>
                      <w:szCs w:val="21"/>
                      <w:u w:val="none"/>
                      <w:lang w:val="en-US" w:eastAsia="zh-CN"/>
                    </w:rPr>
                    <w:t>1.2</w:t>
                  </w:r>
                </w:p>
              </w:tc>
            </w:tr>
          </w:tbl>
          <w:p>
            <w:pPr>
              <w:numPr>
                <w:ilvl w:val="0"/>
                <w:numId w:val="0"/>
              </w:numPr>
              <w:spacing w:line="360" w:lineRule="auto"/>
              <w:ind w:firstLine="480" w:firstLineChars="200"/>
              <w:rPr>
                <w:rFonts w:hint="default" w:ascii="Times New Roman" w:hAnsi="Times New Roman" w:eastAsia="宋体" w:cs="Times New Roman"/>
                <w:b w:val="0"/>
                <w:bCs w:val="0"/>
                <w:color w:val="auto"/>
                <w:szCs w:val="21"/>
                <w:u w:val="none"/>
                <w:lang w:val="en-US" w:eastAsia="zh-CN"/>
              </w:rPr>
            </w:pPr>
            <w:r>
              <w:rPr>
                <w:rFonts w:hint="eastAsia" w:ascii="Times New Roman" w:hAnsi="Times New Roman" w:eastAsia="宋体" w:cs="Times New Roman"/>
                <w:b w:val="0"/>
                <w:bCs w:val="0"/>
                <w:color w:val="auto"/>
                <w:sz w:val="24"/>
                <w:szCs w:val="24"/>
                <w:u w:val="none"/>
                <w:lang w:val="en-US" w:eastAsia="zh-CN"/>
              </w:rPr>
              <w:t>由上表</w:t>
            </w:r>
            <w:r>
              <w:rPr>
                <w:rFonts w:hint="default" w:ascii="Times New Roman" w:hAnsi="Times New Roman" w:eastAsia="宋体" w:cs="Times New Roman"/>
                <w:b w:val="0"/>
                <w:bCs w:val="0"/>
                <w:color w:val="auto"/>
                <w:sz w:val="24"/>
                <w:szCs w:val="24"/>
                <w:u w:val="none"/>
                <w:lang w:val="en-US" w:eastAsia="zh-CN"/>
              </w:rPr>
              <w:t>可知，</w:t>
            </w:r>
            <w:r>
              <w:rPr>
                <w:rFonts w:hint="eastAsia" w:ascii="Times New Roman" w:hAnsi="Times New Roman" w:eastAsia="宋体" w:cs="Times New Roman"/>
                <w:b w:val="0"/>
                <w:bCs w:val="0"/>
                <w:color w:val="auto"/>
                <w:sz w:val="24"/>
                <w:szCs w:val="24"/>
                <w:u w:val="none"/>
                <w:lang w:val="en-US" w:eastAsia="zh-CN"/>
              </w:rPr>
              <w:t>颗粒物</w:t>
            </w:r>
            <w:r>
              <w:rPr>
                <w:rFonts w:hint="eastAsia" w:cs="Times New Roman"/>
                <w:b w:val="0"/>
                <w:bCs w:val="0"/>
                <w:color w:val="auto"/>
                <w:sz w:val="24"/>
                <w:szCs w:val="24"/>
                <w:u w:val="none"/>
                <w:lang w:val="en-US" w:eastAsia="zh-CN"/>
              </w:rPr>
              <w:t>、硫酸雾</w:t>
            </w:r>
            <w:r>
              <w:rPr>
                <w:rFonts w:hint="default" w:ascii="Times New Roman" w:hAnsi="Times New Roman" w:eastAsia="宋体" w:cs="Times New Roman"/>
                <w:b w:val="0"/>
                <w:bCs w:val="0"/>
                <w:color w:val="auto"/>
                <w:sz w:val="24"/>
                <w:szCs w:val="24"/>
                <w:u w:val="none"/>
                <w:lang w:val="en-US" w:eastAsia="zh-CN"/>
              </w:rPr>
              <w:t>厂界无组织排放</w:t>
            </w:r>
            <w:r>
              <w:rPr>
                <w:rFonts w:hint="eastAsia" w:ascii="Times New Roman" w:hAnsi="Times New Roman" w:eastAsia="宋体" w:cs="Times New Roman"/>
                <w:b w:val="0"/>
                <w:bCs w:val="0"/>
                <w:color w:val="auto"/>
                <w:sz w:val="24"/>
                <w:szCs w:val="24"/>
                <w:u w:val="none"/>
                <w:lang w:val="en-US" w:eastAsia="zh-CN"/>
              </w:rPr>
              <w:t>浓度满足</w:t>
            </w:r>
            <w:r>
              <w:rPr>
                <w:rFonts w:hint="default" w:ascii="Times New Roman" w:hAnsi="Times New Roman" w:eastAsia="宋体" w:cs="Times New Roman"/>
                <w:b w:val="0"/>
                <w:bCs w:val="0"/>
                <w:color w:val="auto"/>
                <w:sz w:val="24"/>
                <w:szCs w:val="24"/>
                <w:u w:val="none"/>
                <w:lang w:val="en-US" w:eastAsia="zh-CN"/>
              </w:rPr>
              <w:t>《大气污染物综合排放标准》（GB16297-1996）</w:t>
            </w:r>
            <w:r>
              <w:rPr>
                <w:rFonts w:hint="eastAsia" w:ascii="Times New Roman" w:hAnsi="Times New Roman" w:eastAsia="宋体" w:cs="Times New Roman"/>
                <w:b w:val="0"/>
                <w:bCs w:val="0"/>
                <w:color w:val="auto"/>
                <w:sz w:val="24"/>
                <w:szCs w:val="24"/>
                <w:u w:val="none"/>
                <w:lang w:val="en-US" w:eastAsia="zh-CN"/>
              </w:rPr>
              <w:t>无组织排放</w:t>
            </w:r>
            <w:r>
              <w:rPr>
                <w:rFonts w:hint="default" w:ascii="Times New Roman" w:hAnsi="Times New Roman" w:eastAsia="宋体" w:cs="Times New Roman"/>
                <w:b w:val="0"/>
                <w:bCs w:val="0"/>
                <w:color w:val="auto"/>
                <w:sz w:val="24"/>
                <w:szCs w:val="24"/>
                <w:u w:val="none"/>
                <w:lang w:val="en-US" w:eastAsia="zh-CN"/>
              </w:rPr>
              <w:t>限值要求。</w:t>
            </w:r>
          </w:p>
          <w:p>
            <w:pPr>
              <w:numPr>
                <w:ilvl w:val="0"/>
                <w:numId w:val="0"/>
              </w:numPr>
              <w:spacing w:line="360" w:lineRule="auto"/>
              <w:ind w:firstLine="482" w:firstLineChars="200"/>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3、废水</w:t>
            </w:r>
          </w:p>
          <w:p>
            <w:pPr>
              <w:keepNext w:val="0"/>
              <w:keepLines w:val="0"/>
              <w:widowControl w:val="0"/>
              <w:suppressLineNumbers w:val="0"/>
              <w:spacing w:before="0" w:beforeAutospacing="0" w:after="20" w:afterAutospacing="0" w:line="360" w:lineRule="auto"/>
              <w:ind w:left="0" w:right="0" w:firstLine="480"/>
              <w:jc w:val="both"/>
              <w:rPr>
                <w:rFonts w:hint="default" w:ascii="Times New Roman" w:hAnsi="Times New Roman" w:eastAsia="宋体" w:cs="Times New Roman"/>
                <w:color w:val="auto"/>
                <w:kern w:val="2"/>
                <w:sz w:val="24"/>
                <w:szCs w:val="24"/>
                <w:u w:val="none"/>
                <w:lang w:val="en-US" w:eastAsia="zh-CN" w:bidi="ar"/>
              </w:rPr>
            </w:pPr>
            <w:r>
              <w:rPr>
                <w:rFonts w:hint="default" w:ascii="Times New Roman" w:hAnsi="Times New Roman" w:eastAsia="宋体" w:cs="Times New Roman"/>
                <w:color w:val="auto"/>
                <w:kern w:val="2"/>
                <w:sz w:val="24"/>
                <w:szCs w:val="24"/>
                <w:u w:val="none"/>
                <w:lang w:val="en-US" w:eastAsia="zh-CN" w:bidi="ar"/>
              </w:rPr>
              <w:t>生产废水包括生产过程中</w:t>
            </w:r>
            <w:r>
              <w:rPr>
                <w:rFonts w:hint="default" w:ascii="Times New Roman" w:hAnsi="Times New Roman" w:cs="Times New Roman"/>
                <w:color w:val="auto"/>
                <w:kern w:val="2"/>
                <w:sz w:val="24"/>
                <w:szCs w:val="24"/>
                <w:u w:val="none"/>
                <w:lang w:val="en-US" w:eastAsia="zh-CN" w:bidi="ar"/>
              </w:rPr>
              <w:t>除锈废水、化学置换液（废硫酸铜溶液）、硼化废水、</w:t>
            </w:r>
            <w:r>
              <w:rPr>
                <w:rFonts w:hint="eastAsia" w:cs="Times New Roman"/>
                <w:color w:val="auto"/>
                <w:kern w:val="2"/>
                <w:sz w:val="24"/>
                <w:szCs w:val="24"/>
                <w:u w:val="none"/>
                <w:lang w:val="en-US" w:eastAsia="zh-CN" w:bidi="ar"/>
              </w:rPr>
              <w:t>涂膜</w:t>
            </w:r>
            <w:r>
              <w:rPr>
                <w:rFonts w:hint="default" w:ascii="Times New Roman" w:hAnsi="Times New Roman" w:cs="Times New Roman"/>
                <w:color w:val="auto"/>
                <w:kern w:val="2"/>
                <w:sz w:val="24"/>
                <w:szCs w:val="24"/>
                <w:u w:val="none"/>
                <w:lang w:val="en-US" w:eastAsia="zh-CN" w:bidi="ar"/>
              </w:rPr>
              <w:t>废水、酸电解废水、碱电解废水、活化废水、碱喷淋废水、水喷淋废水、设备冷却水和车间地面拖洗废水</w:t>
            </w:r>
            <w:r>
              <w:rPr>
                <w:rFonts w:hint="eastAsia" w:ascii="Times New Roman" w:hAnsi="Times New Roman" w:cs="Times New Roman"/>
                <w:color w:val="auto"/>
                <w:kern w:val="2"/>
                <w:sz w:val="24"/>
                <w:szCs w:val="24"/>
                <w:u w:val="none"/>
                <w:lang w:val="en-US" w:eastAsia="zh-CN" w:bidi="ar"/>
              </w:rPr>
              <w:t>、生活污水</w:t>
            </w:r>
            <w:r>
              <w:rPr>
                <w:rFonts w:hint="default" w:ascii="Times New Roman" w:hAnsi="Times New Roman" w:eastAsia="宋体" w:cs="Times New Roman"/>
                <w:color w:val="auto"/>
                <w:kern w:val="2"/>
                <w:sz w:val="24"/>
                <w:szCs w:val="24"/>
                <w:u w:val="none"/>
                <w:lang w:val="en-US" w:eastAsia="zh-CN" w:bidi="ar"/>
              </w:rPr>
              <w:t>。</w:t>
            </w:r>
          </w:p>
          <w:p>
            <w:pPr>
              <w:keepNext w:val="0"/>
              <w:keepLines w:val="0"/>
              <w:widowControl w:val="0"/>
              <w:suppressLineNumbers w:val="0"/>
              <w:spacing w:before="0" w:beforeAutospacing="0" w:after="20" w:afterAutospacing="0" w:line="360" w:lineRule="auto"/>
              <w:ind w:left="0" w:right="0" w:firstLine="480"/>
              <w:jc w:val="both"/>
              <w:rPr>
                <w:rFonts w:hint="default" w:ascii="Times New Roman" w:hAnsi="Times New Roman" w:cs="Times New Roman"/>
                <w:color w:val="auto"/>
                <w:kern w:val="2"/>
                <w:sz w:val="24"/>
                <w:szCs w:val="24"/>
                <w:highlight w:val="none"/>
                <w:u w:val="none"/>
                <w:lang w:val="en-US" w:eastAsia="zh-CN" w:bidi="ar"/>
              </w:rPr>
            </w:pPr>
            <w:r>
              <w:rPr>
                <w:rFonts w:hint="eastAsia" w:ascii="Times New Roman" w:hAnsi="Times New Roman" w:cs="Times New Roman"/>
                <w:color w:val="auto"/>
                <w:kern w:val="2"/>
                <w:sz w:val="24"/>
                <w:szCs w:val="24"/>
                <w:highlight w:val="none"/>
                <w:u w:val="none"/>
                <w:lang w:val="en-US" w:eastAsia="zh-CN" w:bidi="ar"/>
              </w:rPr>
              <w:t>设备冷却水、</w:t>
            </w:r>
            <w:r>
              <w:rPr>
                <w:rFonts w:hint="default" w:ascii="Times New Roman" w:hAnsi="Times New Roman" w:cs="Times New Roman"/>
                <w:color w:val="auto"/>
                <w:kern w:val="2"/>
                <w:sz w:val="24"/>
                <w:szCs w:val="24"/>
                <w:highlight w:val="none"/>
                <w:u w:val="none"/>
                <w:lang w:val="en-US" w:eastAsia="zh-CN" w:bidi="ar"/>
              </w:rPr>
              <w:t>硼化废水、</w:t>
            </w:r>
            <w:r>
              <w:rPr>
                <w:rFonts w:hint="eastAsia" w:cs="Times New Roman"/>
                <w:color w:val="auto"/>
                <w:kern w:val="2"/>
                <w:sz w:val="24"/>
                <w:szCs w:val="24"/>
                <w:highlight w:val="none"/>
                <w:u w:val="none"/>
                <w:lang w:val="en-US" w:eastAsia="zh-CN" w:bidi="ar"/>
              </w:rPr>
              <w:t>涂膜</w:t>
            </w:r>
            <w:r>
              <w:rPr>
                <w:rFonts w:hint="default" w:ascii="Times New Roman" w:hAnsi="Times New Roman" w:cs="Times New Roman"/>
                <w:color w:val="auto"/>
                <w:kern w:val="2"/>
                <w:sz w:val="24"/>
                <w:szCs w:val="24"/>
                <w:highlight w:val="none"/>
                <w:u w:val="none"/>
                <w:lang w:val="en-US" w:eastAsia="zh-CN" w:bidi="ar"/>
              </w:rPr>
              <w:t>废水</w:t>
            </w:r>
            <w:r>
              <w:rPr>
                <w:rFonts w:hint="eastAsia" w:ascii="Times New Roman" w:hAnsi="Times New Roman" w:cs="Times New Roman"/>
                <w:color w:val="auto"/>
                <w:kern w:val="2"/>
                <w:sz w:val="24"/>
                <w:szCs w:val="24"/>
                <w:highlight w:val="none"/>
                <w:u w:val="none"/>
                <w:lang w:val="en-US" w:eastAsia="zh-CN" w:bidi="ar"/>
              </w:rPr>
              <w:t>均循环使用，不外排。</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highlight w:val="none"/>
                <w:u w:val="single"/>
                <w:lang w:val="en-US" w:eastAsia="zh-CN" w:bidi="ar"/>
              </w:rPr>
            </w:pPr>
            <w:r>
              <w:rPr>
                <w:rFonts w:hint="eastAsia" w:cs="Times New Roman"/>
                <w:color w:val="auto"/>
                <w:kern w:val="2"/>
                <w:sz w:val="24"/>
                <w:szCs w:val="24"/>
                <w:highlight w:val="none"/>
                <w:u w:val="single"/>
                <w:lang w:val="en-US" w:eastAsia="zh-CN" w:bidi="ar"/>
              </w:rPr>
              <w:t>现有</w:t>
            </w:r>
            <w:r>
              <w:rPr>
                <w:rFonts w:hint="eastAsia" w:hAnsi="宋体" w:cs="宋体"/>
                <w:color w:val="auto"/>
                <w:sz w:val="24"/>
                <w:szCs w:val="24"/>
                <w:highlight w:val="none"/>
                <w:u w:val="single"/>
                <w:lang w:val="en-US" w:eastAsia="zh-CN"/>
              </w:rPr>
              <w:t>劳动定</w:t>
            </w:r>
            <w:r>
              <w:rPr>
                <w:rFonts w:hint="eastAsia" w:ascii="Times New Roman" w:hAnsi="宋体" w:eastAsia="宋体" w:cs="宋体"/>
                <w:color w:val="auto"/>
                <w:sz w:val="24"/>
                <w:szCs w:val="24"/>
                <w:highlight w:val="none"/>
                <w:u w:val="single"/>
                <w:lang w:val="en-US" w:eastAsia="zh-CN"/>
              </w:rPr>
              <w:t>员</w:t>
            </w:r>
            <w:r>
              <w:rPr>
                <w:rFonts w:hint="eastAsia" w:hAnsi="宋体" w:eastAsia="宋体" w:cs="宋体"/>
                <w:color w:val="auto"/>
                <w:sz w:val="24"/>
                <w:szCs w:val="24"/>
                <w:highlight w:val="none"/>
                <w:u w:val="single"/>
                <w:lang w:val="en-US" w:eastAsia="zh-CN"/>
              </w:rPr>
              <w:t>160人，</w:t>
            </w:r>
            <w:r>
              <w:rPr>
                <w:rFonts w:hint="eastAsia" w:cs="Times New Roman"/>
                <w:color w:val="auto"/>
                <w:kern w:val="2"/>
                <w:sz w:val="24"/>
                <w:szCs w:val="24"/>
                <w:highlight w:val="none"/>
                <w:u w:val="single"/>
                <w:lang w:val="en-US" w:eastAsia="zh-CN" w:bidi="ar"/>
              </w:rPr>
              <w:t>生活污水用水量</w:t>
            </w:r>
            <w:r>
              <w:rPr>
                <w:rFonts w:hint="eastAsia" w:hAnsi="宋体"/>
                <w:color w:val="auto"/>
                <w:sz w:val="24"/>
                <w:szCs w:val="24"/>
                <w:highlight w:val="none"/>
                <w:u w:val="single"/>
                <w:lang w:eastAsia="zh-CN"/>
              </w:rPr>
              <w:t>按</w:t>
            </w:r>
            <w:r>
              <w:rPr>
                <w:color w:val="auto"/>
                <w:sz w:val="24"/>
                <w:szCs w:val="24"/>
                <w:highlight w:val="none"/>
                <w:u w:val="single"/>
              </w:rPr>
              <w:t>50L/d</w:t>
            </w:r>
            <w:r>
              <w:rPr>
                <w:rFonts w:hint="default" w:ascii="Times New Roman" w:hAnsi="Times New Roman" w:cs="Times New Roman"/>
                <w:color w:val="auto"/>
                <w:sz w:val="24"/>
                <w:szCs w:val="24"/>
                <w:highlight w:val="none"/>
                <w:u w:val="single"/>
              </w:rPr>
              <w:t>计</w:t>
            </w:r>
            <w:r>
              <w:rPr>
                <w:rFonts w:hint="eastAsia" w:cs="Times New Roman"/>
                <w:color w:val="auto"/>
                <w:kern w:val="2"/>
                <w:sz w:val="24"/>
                <w:szCs w:val="24"/>
                <w:highlight w:val="none"/>
                <w:u w:val="single"/>
                <w:lang w:val="en-US" w:eastAsia="zh-CN" w:bidi="ar"/>
              </w:rPr>
              <w:t>，则用水量为2640m</w:t>
            </w:r>
            <w:r>
              <w:rPr>
                <w:rFonts w:hint="eastAsia" w:cs="Times New Roman"/>
                <w:color w:val="auto"/>
                <w:kern w:val="2"/>
                <w:sz w:val="24"/>
                <w:szCs w:val="24"/>
                <w:highlight w:val="none"/>
                <w:u w:val="single"/>
                <w:vertAlign w:val="superscript"/>
                <w:lang w:val="en-US" w:eastAsia="zh-CN" w:bidi="ar"/>
              </w:rPr>
              <w:t>3</w:t>
            </w:r>
            <w:r>
              <w:rPr>
                <w:rFonts w:hint="eastAsia" w:cs="Times New Roman"/>
                <w:color w:val="auto"/>
                <w:kern w:val="2"/>
                <w:sz w:val="24"/>
                <w:szCs w:val="24"/>
                <w:highlight w:val="none"/>
                <w:u w:val="single"/>
                <w:lang w:val="en-US" w:eastAsia="zh-CN" w:bidi="ar"/>
              </w:rPr>
              <w:t>/a。排放量按80%计算，则年废水量为2112m</w:t>
            </w:r>
            <w:r>
              <w:rPr>
                <w:rFonts w:hint="eastAsia" w:cs="Times New Roman"/>
                <w:color w:val="auto"/>
                <w:kern w:val="2"/>
                <w:sz w:val="24"/>
                <w:szCs w:val="24"/>
                <w:highlight w:val="none"/>
                <w:u w:val="single"/>
                <w:vertAlign w:val="superscript"/>
                <w:lang w:val="en-US" w:eastAsia="zh-CN" w:bidi="ar"/>
              </w:rPr>
              <w:t>3</w:t>
            </w:r>
            <w:r>
              <w:rPr>
                <w:rFonts w:hint="eastAsia" w:cs="Times New Roman"/>
                <w:color w:val="auto"/>
                <w:kern w:val="2"/>
                <w:sz w:val="24"/>
                <w:szCs w:val="24"/>
                <w:highlight w:val="none"/>
                <w:u w:val="single"/>
                <w:lang w:val="en-US" w:eastAsia="zh-CN" w:bidi="ar"/>
              </w:rPr>
              <w:t>，</w:t>
            </w:r>
            <w:r>
              <w:rPr>
                <w:rFonts w:hint="eastAsia" w:ascii="Times New Roman" w:hAnsi="Times New Roman" w:cs="Times New Roman"/>
                <w:color w:val="auto"/>
                <w:kern w:val="2"/>
                <w:sz w:val="24"/>
                <w:szCs w:val="24"/>
                <w:highlight w:val="none"/>
                <w:u w:val="single"/>
                <w:lang w:val="en-US" w:eastAsia="zh-CN" w:bidi="ar"/>
              </w:rPr>
              <w:t>生活污水通过化粪池处理后排湘阴县第三污水处理厂</w:t>
            </w:r>
            <w:r>
              <w:rPr>
                <w:rFonts w:hint="eastAsia" w:cs="Times New Roman"/>
                <w:color w:val="auto"/>
                <w:kern w:val="2"/>
                <w:sz w:val="24"/>
                <w:szCs w:val="24"/>
                <w:highlight w:val="none"/>
                <w:u w:val="single"/>
                <w:lang w:val="en-US" w:eastAsia="zh-CN" w:bidi="ar"/>
              </w:rPr>
              <w:t>。</w:t>
            </w:r>
          </w:p>
          <w:p>
            <w:pPr>
              <w:keepNext w:val="0"/>
              <w:keepLines w:val="0"/>
              <w:widowControl w:val="0"/>
              <w:suppressLineNumbers w:val="0"/>
              <w:spacing w:before="0" w:beforeAutospacing="0" w:after="20" w:afterAutospacing="0" w:line="360" w:lineRule="auto"/>
              <w:ind w:left="0" w:right="0" w:firstLine="480"/>
              <w:jc w:val="both"/>
              <w:rPr>
                <w:rFonts w:hint="default" w:ascii="Times New Roman" w:hAnsi="Times New Roman" w:eastAsia="宋体" w:cs="Times New Roman"/>
                <w:color w:val="auto"/>
                <w:kern w:val="2"/>
                <w:sz w:val="32"/>
                <w:szCs w:val="32"/>
                <w:highlight w:val="none"/>
                <w:u w:val="none"/>
                <w:lang w:val="en-US" w:eastAsia="zh-CN" w:bidi="ar"/>
              </w:rPr>
            </w:pPr>
            <w:r>
              <w:rPr>
                <w:rFonts w:hint="eastAsia" w:ascii="Times New Roman" w:hAnsi="Times New Roman" w:cs="Times New Roman"/>
                <w:color w:val="auto"/>
                <w:kern w:val="2"/>
                <w:sz w:val="24"/>
                <w:szCs w:val="24"/>
                <w:highlight w:val="none"/>
                <w:u w:val="none"/>
                <w:lang w:val="en-US" w:eastAsia="zh-CN" w:bidi="ar"/>
              </w:rPr>
              <w:t>企业</w:t>
            </w:r>
            <w:r>
              <w:rPr>
                <w:rFonts w:hint="default" w:ascii="Times New Roman" w:hAnsi="Times New Roman" w:cs="Times New Roman"/>
                <w:color w:val="auto"/>
                <w:kern w:val="2"/>
                <w:sz w:val="24"/>
                <w:szCs w:val="24"/>
                <w:highlight w:val="none"/>
                <w:u w:val="none"/>
                <w:lang w:val="en-US" w:eastAsia="zh-CN" w:bidi="ar"/>
              </w:rPr>
              <w:t>已建设计处理能力为200t/d的污水处理系统，除锈废水、化学置换液（废硫酸铜溶液）分别设置收集储存池，通过泵抽至“中和+混凝”处理后，送污泥脱水设备脱水，滤出液进调节池处理；车间地面拖洗废水</w:t>
            </w:r>
            <w:r>
              <w:rPr>
                <w:rFonts w:hint="eastAsia" w:ascii="Times New Roman" w:hAnsi="Times New Roman" w:cs="Times New Roman"/>
                <w:color w:val="auto"/>
                <w:kern w:val="2"/>
                <w:sz w:val="24"/>
                <w:szCs w:val="24"/>
                <w:highlight w:val="none"/>
                <w:u w:val="none"/>
                <w:lang w:val="en-US" w:eastAsia="zh-CN" w:bidi="ar"/>
              </w:rPr>
              <w:t>、喷淋废水、</w:t>
            </w:r>
            <w:r>
              <w:rPr>
                <w:rFonts w:hint="default" w:ascii="Times New Roman" w:hAnsi="Times New Roman" w:cs="Times New Roman"/>
                <w:color w:val="auto"/>
                <w:kern w:val="2"/>
                <w:sz w:val="24"/>
                <w:szCs w:val="24"/>
                <w:highlight w:val="none"/>
                <w:u w:val="none"/>
                <w:lang w:val="en-US" w:eastAsia="zh-CN" w:bidi="ar"/>
              </w:rPr>
              <w:t>酸电解废水、碱电解废水、活化废水</w:t>
            </w:r>
            <w:r>
              <w:rPr>
                <w:rFonts w:hint="eastAsia" w:ascii="Times New Roman" w:hAnsi="Times New Roman" w:cs="Times New Roman"/>
                <w:color w:val="auto"/>
                <w:kern w:val="2"/>
                <w:sz w:val="24"/>
                <w:szCs w:val="24"/>
                <w:highlight w:val="none"/>
                <w:u w:val="none"/>
                <w:lang w:val="en-US" w:eastAsia="zh-CN" w:bidi="ar"/>
              </w:rPr>
              <w:t>、水洗废水</w:t>
            </w:r>
            <w:r>
              <w:rPr>
                <w:rFonts w:hint="default" w:ascii="Times New Roman" w:hAnsi="Times New Roman" w:cs="Times New Roman"/>
                <w:color w:val="auto"/>
                <w:kern w:val="2"/>
                <w:sz w:val="24"/>
                <w:szCs w:val="24"/>
                <w:highlight w:val="none"/>
                <w:u w:val="none"/>
                <w:lang w:val="en-US" w:eastAsia="zh-CN" w:bidi="ar"/>
              </w:rPr>
              <w:t>直接进调节池，通过“中和+混凝+沉淀+砂滤”</w:t>
            </w:r>
            <w:r>
              <w:rPr>
                <w:rFonts w:hint="eastAsia" w:ascii="Times New Roman" w:hAnsi="Times New Roman" w:cs="Times New Roman"/>
                <w:color w:val="auto"/>
                <w:kern w:val="2"/>
                <w:sz w:val="24"/>
                <w:szCs w:val="24"/>
                <w:highlight w:val="none"/>
                <w:u w:val="none"/>
                <w:lang w:val="en-US" w:eastAsia="zh-CN" w:bidi="ar"/>
              </w:rPr>
              <w:t>处理</w:t>
            </w:r>
            <w:r>
              <w:rPr>
                <w:rFonts w:hint="default" w:ascii="Times New Roman" w:hAnsi="Times New Roman" w:cs="Times New Roman"/>
                <w:color w:val="auto"/>
                <w:kern w:val="2"/>
                <w:sz w:val="24"/>
                <w:szCs w:val="24"/>
                <w:highlight w:val="none"/>
                <w:u w:val="none"/>
                <w:lang w:val="en-US" w:eastAsia="zh-CN" w:bidi="ar"/>
              </w:rPr>
              <w:t>，</w:t>
            </w:r>
            <w:r>
              <w:rPr>
                <w:rFonts w:hint="eastAsia"/>
                <w:color w:val="auto"/>
                <w:sz w:val="24"/>
                <w:lang w:val="en-US" w:eastAsia="zh-CN"/>
              </w:rPr>
              <w:t>目前生产废水处理量70.57t/d（21170t/a），</w:t>
            </w:r>
            <w:r>
              <w:rPr>
                <w:rFonts w:hint="default" w:ascii="Times New Roman" w:hAnsi="Times New Roman" w:cs="Times New Roman"/>
                <w:color w:val="auto"/>
                <w:kern w:val="2"/>
                <w:sz w:val="24"/>
                <w:szCs w:val="24"/>
                <w:highlight w:val="none"/>
                <w:u w:val="none"/>
                <w:lang w:val="en-US" w:eastAsia="zh-CN" w:bidi="ar"/>
              </w:rPr>
              <w:t>60%的水回用于生产，</w:t>
            </w:r>
            <w:r>
              <w:rPr>
                <w:rFonts w:hint="eastAsia" w:ascii="Times New Roman" w:hAnsi="Times New Roman" w:cs="Times New Roman"/>
                <w:color w:val="auto"/>
                <w:kern w:val="2"/>
                <w:sz w:val="24"/>
                <w:szCs w:val="24"/>
                <w:highlight w:val="none"/>
                <w:u w:val="none"/>
                <w:lang w:val="en-US" w:eastAsia="zh-CN" w:bidi="ar"/>
              </w:rPr>
              <w:t>40%</w:t>
            </w:r>
            <w:r>
              <w:rPr>
                <w:rFonts w:hint="default" w:ascii="Times New Roman" w:hAnsi="Times New Roman" w:cs="Times New Roman"/>
                <w:color w:val="auto"/>
                <w:kern w:val="2"/>
                <w:sz w:val="24"/>
                <w:szCs w:val="24"/>
                <w:highlight w:val="none"/>
                <w:u w:val="none"/>
                <w:lang w:val="en-US" w:eastAsia="zh-CN" w:bidi="ar"/>
              </w:rPr>
              <w:t>水约8468t/a</w:t>
            </w:r>
            <w:r>
              <w:rPr>
                <w:rFonts w:hint="eastAsia" w:ascii="Times New Roman" w:hAnsi="Times New Roman" w:cs="Times New Roman"/>
                <w:color w:val="auto"/>
                <w:kern w:val="2"/>
                <w:sz w:val="24"/>
                <w:szCs w:val="24"/>
                <w:highlight w:val="none"/>
                <w:u w:val="none"/>
                <w:lang w:val="en-US" w:eastAsia="zh-CN" w:bidi="ar"/>
              </w:rPr>
              <w:t>排湘阴县第三污水处理厂</w:t>
            </w:r>
            <w:r>
              <w:rPr>
                <w:rFonts w:hint="default" w:ascii="Times New Roman" w:hAnsi="Times New Roman" w:cs="Times New Roman"/>
                <w:color w:val="auto"/>
                <w:kern w:val="2"/>
                <w:sz w:val="24"/>
                <w:szCs w:val="24"/>
                <w:highlight w:val="none"/>
                <w:u w:val="none"/>
                <w:lang w:val="en-US" w:eastAsia="zh-CN" w:bidi="ar"/>
              </w:rPr>
              <w:t>。</w:t>
            </w:r>
          </w:p>
          <w:p>
            <w:pPr>
              <w:ind w:firstLine="0" w:firstLineChars="0"/>
              <w:jc w:val="center"/>
              <w:rPr>
                <w:rFonts w:hint="eastAsia"/>
                <w:color w:val="auto"/>
                <w:sz w:val="24"/>
                <w:szCs w:val="32"/>
                <w:u w:val="none"/>
              </w:rPr>
            </w:pPr>
            <w:bookmarkStart w:id="62" w:name="_Ref92463886"/>
            <w:r>
              <w:rPr>
                <w:rFonts w:hint="eastAsia"/>
                <w:b/>
                <w:color w:val="auto"/>
                <w:sz w:val="24"/>
                <w:szCs w:val="32"/>
                <w:u w:val="none"/>
              </w:rPr>
              <w:t>表</w:t>
            </w:r>
            <w:r>
              <w:rPr>
                <w:rFonts w:hint="eastAsia"/>
                <w:b/>
                <w:color w:val="auto"/>
                <w:sz w:val="24"/>
                <w:szCs w:val="32"/>
                <w:u w:val="none"/>
                <w:lang w:val="en-US" w:eastAsia="zh-CN"/>
              </w:rPr>
              <w:t>2.10-6</w:t>
            </w:r>
            <w:r>
              <w:rPr>
                <w:rFonts w:hint="eastAsia"/>
                <w:b/>
                <w:color w:val="auto"/>
                <w:sz w:val="24"/>
                <w:szCs w:val="32"/>
                <w:u w:val="none"/>
              </w:rPr>
              <w:t>水污染物排放量统计表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3447"/>
              <w:gridCol w:w="3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5" w:type="dxa"/>
                  <w:noWrap w:val="0"/>
                  <w:vAlign w:val="center"/>
                </w:tcPr>
                <w:p>
                  <w:pPr>
                    <w:widowControl/>
                    <w:jc w:val="center"/>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污染物</w:t>
                  </w:r>
                </w:p>
              </w:tc>
              <w:tc>
                <w:tcPr>
                  <w:tcW w:w="1950" w:type="dxa"/>
                  <w:noWrap w:val="0"/>
                  <w:vAlign w:val="center"/>
                </w:tcPr>
                <w:p>
                  <w:pPr>
                    <w:widowControl/>
                    <w:jc w:val="center"/>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允许排放浓度（mg/L）</w:t>
                  </w:r>
                </w:p>
              </w:tc>
              <w:tc>
                <w:tcPr>
                  <w:tcW w:w="2143" w:type="dxa"/>
                  <w:noWrap w:val="0"/>
                  <w:vAlign w:val="center"/>
                </w:tcPr>
                <w:p>
                  <w:pPr>
                    <w:widowControl/>
                    <w:jc w:val="center"/>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允许排放量（t/a）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rPr>
                      <w:rFonts w:hint="eastAsia" w:ascii="Times New Roman" w:hAnsi="Times New Roman" w:eastAsia="宋体" w:cs="Times New Roman"/>
                      <w:color w:val="auto"/>
                      <w:kern w:val="0"/>
                      <w:sz w:val="21"/>
                      <w:szCs w:val="21"/>
                      <w:u w:val="none"/>
                      <w:lang w:eastAsia="zh-CN"/>
                    </w:rPr>
                  </w:pPr>
                  <w:r>
                    <w:rPr>
                      <w:rFonts w:hint="eastAsia" w:ascii="Times New Roman" w:hAnsi="Times New Roman" w:eastAsia="宋体" w:cs="Times New Roman"/>
                      <w:color w:val="auto"/>
                      <w:kern w:val="0"/>
                      <w:sz w:val="21"/>
                      <w:szCs w:val="21"/>
                      <w:u w:val="none"/>
                      <w:lang w:eastAsia="zh-CN"/>
                    </w:rPr>
                    <w:t>废水量</w:t>
                  </w:r>
                </w:p>
              </w:tc>
              <w:tc>
                <w:tcPr>
                  <w:tcW w:w="4093" w:type="dxa"/>
                  <w:gridSpan w:val="2"/>
                  <w:noWrap w:val="0"/>
                  <w:vAlign w:val="center"/>
                </w:tcPr>
                <w:p>
                  <w:pPr>
                    <w:widowControl/>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8468</w:t>
                  </w:r>
                  <w:r>
                    <w:rPr>
                      <w:rFonts w:hint="eastAsia" w:ascii="Times New Roman" w:hAnsi="Times New Roman" w:eastAsia="宋体" w:cs="Times New Roman"/>
                      <w:color w:val="auto"/>
                      <w:kern w:val="0"/>
                      <w:sz w:val="21"/>
                      <w:szCs w:val="21"/>
                      <w:u w:val="none"/>
                      <w:lang w:eastAsia="zh-CN"/>
                    </w:rPr>
                    <w:t>t/a（</w:t>
                  </w:r>
                  <w:r>
                    <w:rPr>
                      <w:rFonts w:hint="eastAsia" w:ascii="Times New Roman" w:hAnsi="Times New Roman" w:eastAsia="宋体" w:cs="Times New Roman"/>
                      <w:color w:val="auto"/>
                      <w:kern w:val="0"/>
                      <w:sz w:val="21"/>
                      <w:szCs w:val="21"/>
                      <w:u w:val="none"/>
                      <w:lang w:val="en-US" w:eastAsia="zh-CN"/>
                    </w:rPr>
                    <w:t>25.66</w:t>
                  </w:r>
                  <w:r>
                    <w:rPr>
                      <w:rFonts w:hint="eastAsia" w:ascii="Times New Roman" w:hAnsi="Times New Roman" w:eastAsia="宋体" w:cs="Times New Roman"/>
                      <w:color w:val="auto"/>
                      <w:kern w:val="0"/>
                      <w:sz w:val="21"/>
                      <w:szCs w:val="21"/>
                      <w:u w:val="none"/>
                      <w:lang w:eastAsia="zh-CN"/>
                    </w:rPr>
                    <w:t>t/d）</w:t>
                  </w:r>
                  <w:r>
                    <w:rPr>
                      <w:rFonts w:hint="eastAsia" w:cs="Times New Roman"/>
                      <w:color w:val="auto"/>
                      <w:kern w:val="0"/>
                      <w:sz w:val="21"/>
                      <w:szCs w:val="21"/>
                      <w:u w:val="none"/>
                      <w:lang w:val="en-US" w:eastAsia="zh-CN"/>
                    </w:rPr>
                    <w:t>+2112</w:t>
                  </w:r>
                  <w:r>
                    <w:rPr>
                      <w:rFonts w:hint="eastAsia" w:ascii="Times New Roman" w:hAnsi="Times New Roman" w:eastAsia="宋体" w:cs="Times New Roman"/>
                      <w:color w:val="auto"/>
                      <w:kern w:val="0"/>
                      <w:sz w:val="21"/>
                      <w:szCs w:val="21"/>
                      <w:u w:val="none"/>
                      <w:lang w:eastAsia="zh-CN"/>
                    </w:rPr>
                    <w:t>t/a（</w:t>
                  </w:r>
                  <w:r>
                    <w:rPr>
                      <w:rFonts w:hint="eastAsia" w:ascii="Times New Roman" w:hAnsi="Times New Roman" w:eastAsia="宋体" w:cs="Times New Roman"/>
                      <w:color w:val="auto"/>
                      <w:kern w:val="0"/>
                      <w:sz w:val="21"/>
                      <w:szCs w:val="21"/>
                      <w:u w:val="none"/>
                      <w:lang w:val="en-US" w:eastAsia="zh-CN"/>
                    </w:rPr>
                    <w:t>6.4</w:t>
                  </w:r>
                  <w:r>
                    <w:rPr>
                      <w:rFonts w:hint="eastAsia" w:ascii="Times New Roman" w:hAnsi="Times New Roman" w:eastAsia="宋体" w:cs="Times New Roman"/>
                      <w:color w:val="auto"/>
                      <w:kern w:val="0"/>
                      <w:sz w:val="21"/>
                      <w:szCs w:val="21"/>
                      <w:u w:val="none"/>
                      <w:lang w:eastAsia="zh-CN"/>
                    </w:rPr>
                    <w:t>t/d）</w:t>
                  </w:r>
                  <w:r>
                    <w:rPr>
                      <w:rFonts w:hint="eastAsia" w:ascii="Times New Roman" w:hAnsi="Times New Roman" w:eastAsia="宋体" w:cs="Times New Roman"/>
                      <w:color w:val="auto"/>
                      <w:kern w:val="0"/>
                      <w:sz w:val="21"/>
                      <w:szCs w:val="21"/>
                      <w:u w:val="none"/>
                      <w:lang w:val="en-US" w:eastAsia="zh-CN"/>
                    </w:rPr>
                    <w:t>=10580</w:t>
                  </w:r>
                  <w:r>
                    <w:rPr>
                      <w:rFonts w:hint="eastAsia" w:ascii="Times New Roman" w:hAnsi="Times New Roman" w:eastAsia="宋体" w:cs="Times New Roman"/>
                      <w:color w:val="auto"/>
                      <w:kern w:val="0"/>
                      <w:sz w:val="21"/>
                      <w:szCs w:val="21"/>
                      <w:u w:val="none"/>
                      <w:lang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cs="Times New Roman"/>
                      <w:bCs/>
                      <w:color w:val="auto"/>
                      <w:kern w:val="0"/>
                      <w:sz w:val="21"/>
                      <w:szCs w:val="21"/>
                      <w:u w:val="none"/>
                    </w:rPr>
                    <w:t>悬浮物</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220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adjustRightInd w:val="0"/>
                    <w:jc w:val="center"/>
                    <w:rPr>
                      <w:rFonts w:hint="eastAsia" w:ascii="Times New Roman" w:hAnsi="Times New Roman" w:eastAsia="宋体" w:cs="Times New Roman"/>
                      <w:color w:val="auto"/>
                      <w:kern w:val="0"/>
                      <w:sz w:val="21"/>
                      <w:szCs w:val="21"/>
                      <w:u w:val="none"/>
                      <w:lang w:eastAsia="zh-CN"/>
                    </w:rPr>
                  </w:pPr>
                  <w:r>
                    <w:rPr>
                      <w:rFonts w:hint="eastAsia" w:eastAsia="宋体" w:cs="Times New Roman"/>
                      <w:bCs/>
                      <w:color w:val="auto"/>
                      <w:kern w:val="0"/>
                      <w:sz w:val="21"/>
                      <w:szCs w:val="21"/>
                      <w:u w:val="none"/>
                      <w:lang w:val="en-US" w:eastAsia="zh-CN"/>
                    </w:rPr>
                    <w:t>COD</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500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b w:val="0"/>
                      <w:bCs/>
                      <w:color w:val="auto"/>
                      <w:kern w:val="28"/>
                      <w:sz w:val="21"/>
                      <w:szCs w:val="21"/>
                      <w:u w:val="none"/>
                      <w:lang w:val="en-US" w:eastAsia="zh-CN" w:bidi="ar"/>
                    </w:rPr>
                    <w:t>BOD</w:t>
                  </w:r>
                  <w:r>
                    <w:rPr>
                      <w:rFonts w:hint="default" w:ascii="Times New Roman" w:hAnsi="Times New Roman" w:eastAsia="宋体" w:cs="Times New Roman"/>
                      <w:b w:val="0"/>
                      <w:bCs/>
                      <w:color w:val="auto"/>
                      <w:kern w:val="28"/>
                      <w:sz w:val="21"/>
                      <w:szCs w:val="21"/>
                      <w:u w:val="none"/>
                      <w:vertAlign w:val="subscript"/>
                      <w:lang w:val="en-US" w:eastAsia="zh-CN" w:bidi="ar"/>
                    </w:rPr>
                    <w:t>5</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180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cs="Times New Roman"/>
                      <w:bCs/>
                      <w:color w:val="auto"/>
                      <w:kern w:val="0"/>
                      <w:sz w:val="21"/>
                      <w:szCs w:val="21"/>
                      <w:u w:val="none"/>
                    </w:rPr>
                    <w:t>氨氮</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30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eastAsia="zh-CN"/>
                    </w:rPr>
                    <w:t>石油类</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bCs/>
                      <w:color w:val="auto"/>
                      <w:kern w:val="0"/>
                      <w:sz w:val="21"/>
                      <w:szCs w:val="21"/>
                      <w:u w:val="none"/>
                      <w:lang w:val="en-US" w:eastAsia="zh-CN"/>
                    </w:rPr>
                    <w:t>3</w:t>
                  </w:r>
                  <w:r>
                    <w:rPr>
                      <w:rFonts w:hint="eastAsia" w:cs="Times New Roman"/>
                      <w:bCs/>
                      <w:color w:val="auto"/>
                      <w:kern w:val="0"/>
                      <w:sz w:val="21"/>
                      <w:szCs w:val="21"/>
                      <w:u w:val="none"/>
                      <w:lang w:val="en-US" w:eastAsia="zh-CN"/>
                    </w:rPr>
                    <w:t>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eastAsia="zh-CN"/>
                    </w:rPr>
                    <w:t>总铜</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2.0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eastAsia="zh-CN"/>
                    </w:rPr>
                    <w:t>总铁</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10</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eastAsia="zh-CN"/>
                    </w:rPr>
                    <w:t>总磷</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45</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5" w:type="dxa"/>
                  <w:noWrap w:val="0"/>
                  <w:vAlign w:val="center"/>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eastAsia="zh-CN"/>
                    </w:rPr>
                    <w:t>总氮</w:t>
                  </w:r>
                </w:p>
              </w:tc>
              <w:tc>
                <w:tcPr>
                  <w:tcW w:w="1950" w:type="dxa"/>
                  <w:noWrap w:val="0"/>
                  <w:vAlign w:val="bottom"/>
                </w:tcPr>
                <w:p>
                  <w:pPr>
                    <w:widowControl/>
                    <w:jc w:val="center"/>
                    <w:textAlignment w:val="bottom"/>
                    <w:rPr>
                      <w:rFonts w:hint="eastAsia" w:ascii="Times New Roman" w:hAnsi="Times New Roman" w:eastAsia="宋体" w:cs="Times New Roman"/>
                      <w:color w:val="auto"/>
                      <w:kern w:val="0"/>
                      <w:sz w:val="21"/>
                      <w:szCs w:val="21"/>
                      <w:u w:val="none"/>
                      <w:lang w:eastAsia="zh-CN"/>
                    </w:rPr>
                  </w:pPr>
                  <w:r>
                    <w:rPr>
                      <w:rFonts w:hint="eastAsia" w:cs="Times New Roman"/>
                      <w:bCs/>
                      <w:color w:val="auto"/>
                      <w:kern w:val="0"/>
                      <w:sz w:val="21"/>
                      <w:szCs w:val="21"/>
                      <w:u w:val="none"/>
                      <w:lang w:val="en-US" w:eastAsia="zh-CN"/>
                    </w:rPr>
                    <w:t>4</w:t>
                  </w:r>
                </w:p>
              </w:tc>
              <w:tc>
                <w:tcPr>
                  <w:tcW w:w="2143" w:type="dxa"/>
                  <w:noWrap w:val="0"/>
                  <w:vAlign w:val="bottom"/>
                </w:tcPr>
                <w:p>
                  <w:pPr>
                    <w:keepNext w:val="0"/>
                    <w:keepLines w:val="0"/>
                    <w:widowControl/>
                    <w:suppressLineNumbers w:val="0"/>
                    <w:jc w:val="center"/>
                    <w:textAlignment w:val="bottom"/>
                    <w:rPr>
                      <w:rFonts w:hint="eastAsia" w:ascii="Times New Roman" w:hAnsi="Times New Roman" w:eastAsia="宋体" w:cs="Times New Roman"/>
                      <w:color w:val="auto"/>
                      <w:kern w:val="0"/>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0.04</w:t>
                  </w:r>
                </w:p>
              </w:tc>
            </w:tr>
          </w:tbl>
          <w:p>
            <w:pPr>
              <w:keepNext w:val="0"/>
              <w:keepLines w:val="0"/>
              <w:widowControl w:val="0"/>
              <w:suppressLineNumbers w:val="0"/>
              <w:spacing w:before="0" w:beforeAutospacing="0" w:after="20" w:afterAutospacing="0" w:line="360" w:lineRule="auto"/>
              <w:ind w:left="0" w:right="0" w:firstLine="480"/>
              <w:jc w:val="both"/>
              <w:rPr>
                <w:rFonts w:hint="default" w:ascii="Times New Roman" w:hAnsi="Times New Roman" w:eastAsia="宋体" w:cs="Times New Roman"/>
                <w:color w:val="auto"/>
                <w:kern w:val="2"/>
                <w:sz w:val="24"/>
                <w:szCs w:val="24"/>
                <w:highlight w:val="none"/>
                <w:u w:val="none"/>
                <w:lang w:val="en-US" w:eastAsia="zh-CN" w:bidi="ar"/>
              </w:rPr>
            </w:pPr>
            <w:r>
              <w:rPr>
                <w:rFonts w:hint="eastAsia" w:ascii="Times New Roman" w:hAnsi="Times New Roman" w:eastAsia="宋体" w:cs="Times New Roman"/>
                <w:color w:val="auto"/>
                <w:kern w:val="2"/>
                <w:sz w:val="24"/>
                <w:szCs w:val="24"/>
                <w:highlight w:val="none"/>
                <w:u w:val="none"/>
                <w:lang w:val="en-US" w:eastAsia="zh-CN" w:bidi="ar"/>
              </w:rPr>
              <w:t>根据湖南求是检测科技有限公司2023年10月7日出具的《湖南西姆西科技有限公司自行监测报告》（报告编号：QS20230502-2），于2023年9月20日对该废水排放情况进行了检测，见表2.10-</w:t>
            </w:r>
            <w:r>
              <w:rPr>
                <w:rFonts w:hint="eastAsia" w:cs="Times New Roman"/>
                <w:color w:val="auto"/>
                <w:kern w:val="2"/>
                <w:sz w:val="24"/>
                <w:szCs w:val="24"/>
                <w:highlight w:val="none"/>
                <w:u w:val="none"/>
                <w:lang w:val="en-US" w:eastAsia="zh-CN" w:bidi="ar"/>
              </w:rPr>
              <w:t>7</w:t>
            </w:r>
            <w:r>
              <w:rPr>
                <w:rFonts w:hint="default" w:ascii="Times New Roman" w:hAnsi="Times New Roman" w:eastAsia="宋体" w:cs="Times New Roman"/>
                <w:color w:val="auto"/>
                <w:kern w:val="2"/>
                <w:sz w:val="24"/>
                <w:szCs w:val="24"/>
                <w:highlight w:val="none"/>
                <w:u w:val="none"/>
                <w:lang w:val="en-US" w:eastAsia="zh-CN" w:bidi="ar"/>
              </w:rPr>
              <w:t>。</w:t>
            </w:r>
          </w:p>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val="0"/>
                <w:color w:val="auto"/>
                <w:kern w:val="20"/>
                <w:sz w:val="24"/>
                <w:szCs w:val="24"/>
                <w:u w:val="none"/>
                <w:lang w:val="en-US" w:eastAsia="zh-CN" w:bidi="ar"/>
              </w:rPr>
            </w:pPr>
            <w:r>
              <w:rPr>
                <w:rFonts w:hint="default" w:ascii="Times New Roman" w:hAnsi="Times New Roman" w:eastAsia="宋体" w:cs="Times New Roman"/>
                <w:b/>
                <w:bCs w:val="0"/>
                <w:color w:val="auto"/>
                <w:kern w:val="20"/>
                <w:sz w:val="24"/>
                <w:szCs w:val="24"/>
                <w:u w:val="none"/>
                <w:lang w:val="en-US" w:eastAsia="zh-CN" w:bidi="ar"/>
              </w:rPr>
              <w:t>表</w:t>
            </w:r>
            <w:bookmarkEnd w:id="62"/>
            <w:r>
              <w:rPr>
                <w:rFonts w:hint="default" w:ascii="Times New Roman" w:hAnsi="Times New Roman" w:eastAsia="宋体" w:cs="Times New Roman"/>
                <w:b/>
                <w:bCs w:val="0"/>
                <w:color w:val="auto"/>
                <w:kern w:val="20"/>
                <w:sz w:val="24"/>
                <w:szCs w:val="24"/>
                <w:u w:val="none"/>
                <w:lang w:val="en-US" w:eastAsia="zh-CN" w:bidi="ar"/>
              </w:rPr>
              <w:t>2</w:t>
            </w:r>
            <w:r>
              <w:rPr>
                <w:rFonts w:hint="eastAsia" w:ascii="Times New Roman" w:hAnsi="Times New Roman" w:eastAsia="宋体" w:cs="Times New Roman"/>
                <w:b/>
                <w:bCs w:val="0"/>
                <w:color w:val="auto"/>
                <w:kern w:val="20"/>
                <w:sz w:val="24"/>
                <w:szCs w:val="24"/>
                <w:u w:val="none"/>
                <w:lang w:val="en-US" w:eastAsia="zh-CN" w:bidi="ar"/>
              </w:rPr>
              <w:t>.10-</w:t>
            </w:r>
            <w:r>
              <w:rPr>
                <w:rFonts w:hint="eastAsia" w:cs="Times New Roman"/>
                <w:b/>
                <w:bCs w:val="0"/>
                <w:color w:val="auto"/>
                <w:kern w:val="20"/>
                <w:sz w:val="24"/>
                <w:szCs w:val="24"/>
                <w:u w:val="none"/>
                <w:lang w:val="en-US" w:eastAsia="zh-CN" w:bidi="ar"/>
              </w:rPr>
              <w:t>7生产废水</w:t>
            </w:r>
            <w:r>
              <w:rPr>
                <w:rFonts w:hint="default" w:ascii="Times New Roman" w:hAnsi="Times New Roman" w:eastAsia="宋体" w:cs="Times New Roman"/>
                <w:b/>
                <w:bCs w:val="0"/>
                <w:color w:val="auto"/>
                <w:kern w:val="20"/>
                <w:sz w:val="24"/>
                <w:szCs w:val="24"/>
                <w:u w:val="none"/>
                <w:lang w:val="en-US" w:eastAsia="zh-CN" w:bidi="ar"/>
              </w:rPr>
              <w:t>监测结果一览表</w:t>
            </w:r>
          </w:p>
          <w:tbl>
            <w:tblPr>
              <w:tblStyle w:val="98"/>
              <w:tblW w:w="499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1882"/>
              <w:gridCol w:w="1882"/>
              <w:gridCol w:w="1806"/>
              <w:gridCol w:w="17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tc>
                <w:tcPr>
                  <w:tcW w:w="1044" w:type="pct"/>
                  <w:vMerge w:val="restart"/>
                  <w:noWrap w:val="0"/>
                  <w:vAlign w:val="center"/>
                </w:tcPr>
                <w:p>
                  <w:pPr>
                    <w:jc w:val="center"/>
                    <w:rPr>
                      <w:rFonts w:cs="Times New Roman"/>
                      <w:b/>
                      <w:bCs w:val="0"/>
                      <w:color w:val="auto"/>
                      <w:kern w:val="0"/>
                      <w:sz w:val="21"/>
                      <w:szCs w:val="21"/>
                      <w:u w:val="none"/>
                    </w:rPr>
                  </w:pPr>
                  <w:r>
                    <w:rPr>
                      <w:rFonts w:hint="eastAsia" w:cs="Times New Roman"/>
                      <w:b/>
                      <w:bCs w:val="0"/>
                      <w:color w:val="auto"/>
                      <w:kern w:val="0"/>
                      <w:sz w:val="21"/>
                      <w:szCs w:val="21"/>
                      <w:u w:val="none"/>
                    </w:rPr>
                    <w:t>采样</w:t>
                  </w:r>
                  <w:r>
                    <w:rPr>
                      <w:rFonts w:cs="Times New Roman"/>
                      <w:b/>
                      <w:bCs w:val="0"/>
                      <w:color w:val="auto"/>
                      <w:kern w:val="0"/>
                      <w:sz w:val="21"/>
                      <w:szCs w:val="21"/>
                      <w:u w:val="none"/>
                    </w:rPr>
                    <w:t>点位</w:t>
                  </w:r>
                </w:p>
              </w:tc>
              <w:tc>
                <w:tcPr>
                  <w:tcW w:w="1012" w:type="pct"/>
                  <w:noWrap w:val="0"/>
                  <w:vAlign w:val="center"/>
                </w:tcPr>
                <w:p>
                  <w:pPr>
                    <w:jc w:val="center"/>
                    <w:rPr>
                      <w:rFonts w:cs="Times New Roman"/>
                      <w:b/>
                      <w:bCs w:val="0"/>
                      <w:color w:val="auto"/>
                      <w:kern w:val="0"/>
                      <w:sz w:val="21"/>
                      <w:szCs w:val="21"/>
                      <w:u w:val="none"/>
                    </w:rPr>
                  </w:pPr>
                  <w:r>
                    <w:rPr>
                      <w:rFonts w:cs="Times New Roman"/>
                      <w:b/>
                      <w:bCs w:val="0"/>
                      <w:color w:val="auto"/>
                      <w:kern w:val="0"/>
                      <w:sz w:val="21"/>
                      <w:szCs w:val="21"/>
                      <w:u w:val="none"/>
                    </w:rPr>
                    <w:t>检测因子</w:t>
                  </w:r>
                </w:p>
              </w:tc>
              <w:tc>
                <w:tcPr>
                  <w:tcW w:w="1012" w:type="pct"/>
                  <w:noWrap w:val="0"/>
                  <w:vAlign w:val="center"/>
                </w:tcPr>
                <w:p>
                  <w:pPr>
                    <w:jc w:val="center"/>
                    <w:rPr>
                      <w:rFonts w:hint="eastAsia" w:eastAsia="宋体" w:cs="Times New Roman"/>
                      <w:b/>
                      <w:bCs w:val="0"/>
                      <w:color w:val="auto"/>
                      <w:kern w:val="0"/>
                      <w:sz w:val="21"/>
                      <w:szCs w:val="21"/>
                      <w:u w:val="none"/>
                      <w:lang w:eastAsia="zh-CN"/>
                    </w:rPr>
                  </w:pPr>
                  <w:r>
                    <w:rPr>
                      <w:rFonts w:hint="eastAsia" w:cs="Times New Roman"/>
                      <w:b/>
                      <w:bCs w:val="0"/>
                      <w:color w:val="auto"/>
                      <w:kern w:val="0"/>
                      <w:sz w:val="21"/>
                      <w:szCs w:val="21"/>
                      <w:u w:val="none"/>
                      <w:lang w:eastAsia="zh-CN"/>
                    </w:rPr>
                    <w:t>检测结果（</w:t>
                  </w:r>
                  <w:r>
                    <w:rPr>
                      <w:rFonts w:hint="eastAsia" w:cs="Times New Roman"/>
                      <w:b/>
                      <w:bCs w:val="0"/>
                      <w:color w:val="auto"/>
                      <w:kern w:val="0"/>
                      <w:sz w:val="21"/>
                      <w:szCs w:val="21"/>
                      <w:u w:val="none"/>
                      <w:lang w:val="en-US" w:eastAsia="zh-CN"/>
                    </w:rPr>
                    <w:t>mg/L</w:t>
                  </w:r>
                  <w:r>
                    <w:rPr>
                      <w:rFonts w:hint="eastAsia" w:cs="Times New Roman"/>
                      <w:b/>
                      <w:bCs w:val="0"/>
                      <w:color w:val="auto"/>
                      <w:kern w:val="0"/>
                      <w:sz w:val="21"/>
                      <w:szCs w:val="21"/>
                      <w:u w:val="none"/>
                      <w:lang w:eastAsia="zh-CN"/>
                    </w:rPr>
                    <w:t>）</w:t>
                  </w:r>
                </w:p>
              </w:tc>
              <w:tc>
                <w:tcPr>
                  <w:tcW w:w="971" w:type="pct"/>
                  <w:noWrap w:val="0"/>
                  <w:vAlign w:val="center"/>
                </w:tcPr>
                <w:p>
                  <w:pPr>
                    <w:overflowPunct w:val="0"/>
                    <w:topLinePunct/>
                    <w:adjustRightInd w:val="0"/>
                    <w:jc w:val="center"/>
                    <w:rPr>
                      <w:rFonts w:cs="Times New Roman"/>
                      <w:b/>
                      <w:bCs w:val="0"/>
                      <w:color w:val="auto"/>
                      <w:kern w:val="0"/>
                      <w:sz w:val="21"/>
                      <w:szCs w:val="21"/>
                      <w:highlight w:val="none"/>
                      <w:u w:val="none"/>
                    </w:rPr>
                  </w:pPr>
                  <w:r>
                    <w:rPr>
                      <w:rFonts w:hint="eastAsia" w:cs="Times New Roman"/>
                      <w:b/>
                      <w:bCs w:val="0"/>
                      <w:color w:val="auto"/>
                      <w:kern w:val="0"/>
                      <w:sz w:val="21"/>
                      <w:szCs w:val="21"/>
                      <w:highlight w:val="none"/>
                      <w:u w:val="none"/>
                    </w:rPr>
                    <w:t>标准限值</w:t>
                  </w:r>
                </w:p>
              </w:tc>
              <w:tc>
                <w:tcPr>
                  <w:tcW w:w="958" w:type="pct"/>
                  <w:tcBorders>
                    <w:top w:val="single" w:color="auto" w:sz="4" w:space="0"/>
                    <w:left w:val="single" w:color="auto" w:sz="4" w:space="0"/>
                    <w:right w:val="single" w:color="auto" w:sz="4" w:space="0"/>
                  </w:tcBorders>
                  <w:noWrap w:val="0"/>
                  <w:vAlign w:val="center"/>
                </w:tcPr>
                <w:p>
                  <w:pPr>
                    <w:overflowPunct w:val="0"/>
                    <w:topLinePunct/>
                    <w:adjustRightInd w:val="0"/>
                    <w:jc w:val="center"/>
                    <w:rPr>
                      <w:rFonts w:cs="Times New Roman"/>
                      <w:b/>
                      <w:bCs w:val="0"/>
                      <w:color w:val="auto"/>
                      <w:kern w:val="0"/>
                      <w:sz w:val="21"/>
                      <w:szCs w:val="21"/>
                      <w:u w:val="none"/>
                    </w:rPr>
                  </w:pPr>
                  <w:r>
                    <w:rPr>
                      <w:rFonts w:hint="eastAsia" w:cs="Times New Roman"/>
                      <w:b/>
                      <w:bCs w:val="0"/>
                      <w:color w:val="auto"/>
                      <w:kern w:val="0"/>
                      <w:sz w:val="21"/>
                      <w:szCs w:val="21"/>
                      <w:u w:val="none"/>
                    </w:rPr>
                    <w:t>达标情况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restart"/>
                  <w:noWrap w:val="0"/>
                  <w:vAlign w:val="center"/>
                </w:tcPr>
                <w:p>
                  <w:pPr>
                    <w:adjustRightInd w:val="0"/>
                    <w:jc w:val="center"/>
                    <w:textAlignment w:val="baseline"/>
                    <w:rPr>
                      <w:rFonts w:hint="eastAsia" w:eastAsia="宋体" w:cs="Times New Roman"/>
                      <w:bCs/>
                      <w:color w:val="auto"/>
                      <w:kern w:val="0"/>
                      <w:sz w:val="21"/>
                      <w:szCs w:val="21"/>
                      <w:u w:val="none"/>
                      <w:lang w:eastAsia="zh-CN"/>
                    </w:rPr>
                  </w:pPr>
                  <w:r>
                    <w:rPr>
                      <w:rFonts w:hint="eastAsia" w:cs="Times New Roman"/>
                      <w:color w:val="auto"/>
                      <w:kern w:val="0"/>
                      <w:sz w:val="21"/>
                      <w:szCs w:val="20"/>
                      <w:u w:val="none"/>
                      <w:lang w:eastAsia="zh-CN"/>
                    </w:rPr>
                    <w:t>废水总排口（</w:t>
                  </w:r>
                  <w:r>
                    <w:rPr>
                      <w:rFonts w:hint="eastAsia" w:cs="Times New Roman"/>
                      <w:color w:val="auto"/>
                      <w:kern w:val="0"/>
                      <w:sz w:val="21"/>
                      <w:szCs w:val="20"/>
                      <w:u w:val="none"/>
                      <w:lang w:val="en-US" w:eastAsia="zh-CN"/>
                    </w:rPr>
                    <w:t>DW001</w:t>
                  </w:r>
                  <w:r>
                    <w:rPr>
                      <w:rFonts w:hint="eastAsia" w:cs="Times New Roman"/>
                      <w:color w:val="auto"/>
                      <w:kern w:val="0"/>
                      <w:sz w:val="21"/>
                      <w:szCs w:val="20"/>
                      <w:u w:val="none"/>
                      <w:lang w:eastAsia="zh-CN"/>
                    </w:rPr>
                    <w:t>）</w:t>
                  </w:r>
                </w:p>
              </w:tc>
              <w:tc>
                <w:tcPr>
                  <w:tcW w:w="1012" w:type="pct"/>
                  <w:noWrap w:val="0"/>
                  <w:vAlign w:val="center"/>
                </w:tcPr>
                <w:p>
                  <w:pPr>
                    <w:jc w:val="center"/>
                    <w:rPr>
                      <w:rFonts w:cs="Times New Roman"/>
                      <w:bCs/>
                      <w:color w:val="auto"/>
                      <w:kern w:val="0"/>
                      <w:sz w:val="21"/>
                      <w:szCs w:val="21"/>
                      <w:u w:val="none"/>
                    </w:rPr>
                  </w:pPr>
                  <w:r>
                    <w:rPr>
                      <w:rFonts w:cs="Times New Roman"/>
                      <w:bCs/>
                      <w:color w:val="auto"/>
                      <w:kern w:val="0"/>
                      <w:sz w:val="21"/>
                      <w:szCs w:val="21"/>
                      <w:u w:val="none"/>
                    </w:rPr>
                    <w:t>pH值</w:t>
                  </w:r>
                </w:p>
              </w:tc>
              <w:tc>
                <w:tcPr>
                  <w:tcW w:w="1012" w:type="pct"/>
                  <w:noWrap w:val="0"/>
                  <w:vAlign w:val="center"/>
                </w:tcPr>
                <w:p>
                  <w:pPr>
                    <w:jc w:val="center"/>
                    <w:rPr>
                      <w:rFonts w:hint="default" w:eastAsia="宋体"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7.08</w:t>
                  </w:r>
                </w:p>
              </w:tc>
              <w:tc>
                <w:tcPr>
                  <w:tcW w:w="971" w:type="pct"/>
                  <w:noWrap w:val="0"/>
                  <w:vAlign w:val="center"/>
                </w:tcPr>
                <w:p>
                  <w:pPr>
                    <w:widowControl/>
                    <w:jc w:val="center"/>
                    <w:rPr>
                      <w:rFonts w:cs="Times New Roman"/>
                      <w:bCs/>
                      <w:color w:val="auto"/>
                      <w:kern w:val="0"/>
                      <w:sz w:val="21"/>
                      <w:szCs w:val="21"/>
                      <w:highlight w:val="none"/>
                      <w:u w:val="none"/>
                    </w:rPr>
                  </w:pPr>
                  <w:r>
                    <w:rPr>
                      <w:rFonts w:hint="eastAsia" w:cs="Times New Roman"/>
                      <w:bCs/>
                      <w:color w:val="auto"/>
                      <w:kern w:val="0"/>
                      <w:sz w:val="21"/>
                      <w:szCs w:val="21"/>
                      <w:highlight w:val="none"/>
                      <w:u w:val="none"/>
                    </w:rPr>
                    <w:t>6~</w:t>
                  </w:r>
                  <w:r>
                    <w:rPr>
                      <w:rFonts w:cs="Times New Roman"/>
                      <w:bCs/>
                      <w:color w:val="auto"/>
                      <w:kern w:val="0"/>
                      <w:sz w:val="21"/>
                      <w:szCs w:val="21"/>
                      <w:highlight w:val="none"/>
                      <w:u w:val="none"/>
                    </w:rPr>
                    <w:t>9</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center"/>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cs="Times New Roman"/>
                      <w:bCs/>
                      <w:color w:val="auto"/>
                      <w:kern w:val="0"/>
                      <w:sz w:val="21"/>
                      <w:szCs w:val="21"/>
                      <w:u w:val="none"/>
                    </w:rPr>
                  </w:pPr>
                  <w:r>
                    <w:rPr>
                      <w:rFonts w:cs="Times New Roman"/>
                      <w:bCs/>
                      <w:color w:val="auto"/>
                      <w:kern w:val="0"/>
                      <w:sz w:val="21"/>
                      <w:szCs w:val="21"/>
                      <w:u w:val="none"/>
                    </w:rPr>
                    <w:t>悬浮物</w:t>
                  </w:r>
                </w:p>
              </w:tc>
              <w:tc>
                <w:tcPr>
                  <w:tcW w:w="1012" w:type="pct"/>
                  <w:noWrap w:val="0"/>
                  <w:vAlign w:val="center"/>
                </w:tcPr>
                <w:p>
                  <w:pPr>
                    <w:widowControl/>
                    <w:jc w:val="center"/>
                    <w:textAlignment w:val="bottom"/>
                    <w:rPr>
                      <w:rFonts w:hint="default" w:eastAsia="宋体"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12</w:t>
                  </w:r>
                </w:p>
              </w:tc>
              <w:tc>
                <w:tcPr>
                  <w:tcW w:w="971" w:type="pct"/>
                  <w:noWrap w:val="0"/>
                  <w:vAlign w:val="center"/>
                </w:tcPr>
                <w:p>
                  <w:pPr>
                    <w:widowControl/>
                    <w:jc w:val="center"/>
                    <w:rPr>
                      <w:rFonts w:hint="default"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220</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44" w:type="pct"/>
                  <w:vMerge w:val="continue"/>
                  <w:noWrap w:val="0"/>
                  <w:vAlign w:val="center"/>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adjustRightInd w:val="0"/>
                    <w:jc w:val="center"/>
                    <w:rPr>
                      <w:rFonts w:cs="Times New Roman"/>
                      <w:bCs/>
                      <w:color w:val="auto"/>
                      <w:kern w:val="0"/>
                      <w:sz w:val="21"/>
                      <w:szCs w:val="21"/>
                      <w:u w:val="none"/>
                    </w:rPr>
                  </w:pPr>
                  <w:r>
                    <w:rPr>
                      <w:rFonts w:cs="Times New Roman"/>
                      <w:bCs/>
                      <w:color w:val="auto"/>
                      <w:kern w:val="0"/>
                      <w:sz w:val="21"/>
                      <w:szCs w:val="21"/>
                      <w:u w:val="none"/>
                    </w:rPr>
                    <w:t>化学需氧量</w:t>
                  </w:r>
                </w:p>
              </w:tc>
              <w:tc>
                <w:tcPr>
                  <w:tcW w:w="1012" w:type="pct"/>
                  <w:noWrap w:val="0"/>
                  <w:vAlign w:val="center"/>
                </w:tcPr>
                <w:p>
                  <w:pPr>
                    <w:widowControl/>
                    <w:adjustRightInd w:val="0"/>
                    <w:jc w:val="center"/>
                    <w:rPr>
                      <w:rFonts w:hint="default" w:eastAsia="宋体"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4</w:t>
                  </w:r>
                </w:p>
              </w:tc>
              <w:tc>
                <w:tcPr>
                  <w:tcW w:w="971" w:type="pct"/>
                  <w:noWrap w:val="0"/>
                  <w:vAlign w:val="center"/>
                </w:tcPr>
                <w:p>
                  <w:pPr>
                    <w:widowControl/>
                    <w:jc w:val="center"/>
                    <w:rPr>
                      <w:rFonts w:hint="default"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500</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cs="Times New Roman"/>
                      <w:bCs/>
                      <w:color w:val="auto"/>
                      <w:kern w:val="0"/>
                      <w:sz w:val="21"/>
                      <w:szCs w:val="21"/>
                      <w:u w:val="none"/>
                    </w:rPr>
                  </w:pPr>
                  <w:r>
                    <w:rPr>
                      <w:rFonts w:hint="default" w:ascii="Times New Roman" w:hAnsi="Times New Roman" w:eastAsia="宋体" w:cs="Times New Roman"/>
                      <w:b w:val="0"/>
                      <w:bCs/>
                      <w:color w:val="auto"/>
                      <w:kern w:val="28"/>
                      <w:sz w:val="21"/>
                      <w:szCs w:val="21"/>
                      <w:u w:val="none"/>
                      <w:lang w:val="en-US" w:eastAsia="zh-CN" w:bidi="ar"/>
                    </w:rPr>
                    <w:t>BOD</w:t>
                  </w:r>
                  <w:r>
                    <w:rPr>
                      <w:rFonts w:hint="default" w:ascii="Times New Roman" w:hAnsi="Times New Roman" w:eastAsia="宋体" w:cs="Times New Roman"/>
                      <w:b w:val="0"/>
                      <w:bCs/>
                      <w:color w:val="auto"/>
                      <w:kern w:val="28"/>
                      <w:sz w:val="21"/>
                      <w:szCs w:val="21"/>
                      <w:u w:val="none"/>
                      <w:vertAlign w:val="subscript"/>
                      <w:lang w:val="en-US" w:eastAsia="zh-CN" w:bidi="ar"/>
                    </w:rPr>
                    <w:t>5</w:t>
                  </w:r>
                </w:p>
              </w:tc>
              <w:tc>
                <w:tcPr>
                  <w:tcW w:w="1012" w:type="pct"/>
                  <w:noWrap w:val="0"/>
                  <w:vAlign w:val="center"/>
                </w:tcPr>
                <w:p>
                  <w:pPr>
                    <w:widowControl/>
                    <w:jc w:val="center"/>
                    <w:textAlignment w:val="bottom"/>
                    <w:rPr>
                      <w:rFonts w:hint="default" w:ascii="Times New Roman" w:hAnsi="Times New Roman" w:eastAsia="宋体" w:cs="Times New Roman"/>
                      <w:b w:val="0"/>
                      <w:bCs/>
                      <w:color w:val="auto"/>
                      <w:kern w:val="28"/>
                      <w:sz w:val="21"/>
                      <w:szCs w:val="21"/>
                      <w:u w:val="none"/>
                      <w:lang w:val="en-US" w:eastAsia="zh-CN" w:bidi="ar"/>
                    </w:rPr>
                  </w:pPr>
                  <w:r>
                    <w:rPr>
                      <w:rFonts w:hint="eastAsia" w:cs="Times New Roman"/>
                      <w:bCs/>
                      <w:color w:val="auto"/>
                      <w:kern w:val="0"/>
                      <w:sz w:val="21"/>
                      <w:szCs w:val="21"/>
                      <w:u w:val="none"/>
                      <w:lang w:val="en-US" w:eastAsia="zh-CN"/>
                    </w:rPr>
                    <w:t>1.7</w:t>
                  </w:r>
                </w:p>
              </w:tc>
              <w:tc>
                <w:tcPr>
                  <w:tcW w:w="971" w:type="pct"/>
                  <w:noWrap w:val="0"/>
                  <w:vAlign w:val="center"/>
                </w:tcPr>
                <w:p>
                  <w:pPr>
                    <w:widowControl/>
                    <w:jc w:val="center"/>
                    <w:rPr>
                      <w:rFonts w:hint="default"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180</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cs="Times New Roman"/>
                      <w:bCs/>
                      <w:color w:val="auto"/>
                      <w:kern w:val="0"/>
                      <w:sz w:val="21"/>
                      <w:szCs w:val="21"/>
                      <w:u w:val="none"/>
                    </w:rPr>
                  </w:pPr>
                  <w:r>
                    <w:rPr>
                      <w:rFonts w:cs="Times New Roman"/>
                      <w:bCs/>
                      <w:color w:val="auto"/>
                      <w:kern w:val="0"/>
                      <w:sz w:val="21"/>
                      <w:szCs w:val="21"/>
                      <w:u w:val="none"/>
                    </w:rPr>
                    <w:t>氨氮</w:t>
                  </w:r>
                </w:p>
              </w:tc>
              <w:tc>
                <w:tcPr>
                  <w:tcW w:w="1012" w:type="pct"/>
                  <w:noWrap w:val="0"/>
                  <w:vAlign w:val="center"/>
                </w:tcPr>
                <w:p>
                  <w:pPr>
                    <w:widowControl/>
                    <w:jc w:val="center"/>
                    <w:textAlignment w:val="bottom"/>
                    <w:rPr>
                      <w:rFonts w:hint="default" w:eastAsia="宋体"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0.65</w:t>
                  </w:r>
                </w:p>
              </w:tc>
              <w:tc>
                <w:tcPr>
                  <w:tcW w:w="971" w:type="pct"/>
                  <w:noWrap w:val="0"/>
                  <w:vAlign w:val="center"/>
                </w:tcPr>
                <w:p>
                  <w:pPr>
                    <w:widowControl/>
                    <w:jc w:val="center"/>
                    <w:rPr>
                      <w:rFonts w:hint="default"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30</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hint="eastAsia" w:eastAsia="宋体" w:cs="Times New Roman"/>
                      <w:bCs/>
                      <w:color w:val="auto"/>
                      <w:kern w:val="0"/>
                      <w:sz w:val="21"/>
                      <w:szCs w:val="21"/>
                      <w:u w:val="none"/>
                      <w:lang w:eastAsia="zh-CN"/>
                    </w:rPr>
                  </w:pPr>
                  <w:r>
                    <w:rPr>
                      <w:rFonts w:hint="eastAsia" w:cs="Times New Roman"/>
                      <w:bCs/>
                      <w:color w:val="auto"/>
                      <w:kern w:val="0"/>
                      <w:sz w:val="21"/>
                      <w:szCs w:val="21"/>
                      <w:u w:val="none"/>
                      <w:lang w:eastAsia="zh-CN"/>
                    </w:rPr>
                    <w:t>石油类</w:t>
                  </w:r>
                </w:p>
              </w:tc>
              <w:tc>
                <w:tcPr>
                  <w:tcW w:w="1012" w:type="pct"/>
                  <w:noWrap w:val="0"/>
                  <w:vAlign w:val="center"/>
                </w:tcPr>
                <w:p>
                  <w:pPr>
                    <w:widowControl/>
                    <w:jc w:val="center"/>
                    <w:textAlignment w:val="bottom"/>
                    <w:rPr>
                      <w:rFonts w:hint="default"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0.11</w:t>
                  </w:r>
                </w:p>
              </w:tc>
              <w:tc>
                <w:tcPr>
                  <w:tcW w:w="971" w:type="pct"/>
                  <w:noWrap w:val="0"/>
                  <w:vAlign w:val="center"/>
                </w:tcPr>
                <w:p>
                  <w:pPr>
                    <w:widowControl/>
                    <w:jc w:val="center"/>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30</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hint="eastAsia" w:eastAsia="宋体" w:cs="Times New Roman"/>
                      <w:bCs/>
                      <w:color w:val="auto"/>
                      <w:kern w:val="0"/>
                      <w:sz w:val="21"/>
                      <w:szCs w:val="21"/>
                      <w:u w:val="none"/>
                      <w:lang w:eastAsia="zh-CN"/>
                    </w:rPr>
                  </w:pPr>
                  <w:r>
                    <w:rPr>
                      <w:rFonts w:hint="eastAsia" w:cs="Times New Roman"/>
                      <w:bCs/>
                      <w:color w:val="auto"/>
                      <w:kern w:val="0"/>
                      <w:sz w:val="21"/>
                      <w:szCs w:val="21"/>
                      <w:u w:val="none"/>
                      <w:lang w:eastAsia="zh-CN"/>
                    </w:rPr>
                    <w:t>总铜</w:t>
                  </w:r>
                </w:p>
              </w:tc>
              <w:tc>
                <w:tcPr>
                  <w:tcW w:w="1012" w:type="pct"/>
                  <w:noWrap w:val="0"/>
                  <w:vAlign w:val="center"/>
                </w:tcPr>
                <w:p>
                  <w:pPr>
                    <w:widowControl/>
                    <w:jc w:val="center"/>
                    <w:textAlignment w:val="bottom"/>
                    <w:rPr>
                      <w:rFonts w:hint="default"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0.0325</w:t>
                  </w:r>
                </w:p>
              </w:tc>
              <w:tc>
                <w:tcPr>
                  <w:tcW w:w="971" w:type="pct"/>
                  <w:noWrap w:val="0"/>
                  <w:vAlign w:val="center"/>
                </w:tcPr>
                <w:p>
                  <w:pPr>
                    <w:widowControl/>
                    <w:jc w:val="center"/>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2.0</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hint="eastAsia" w:cs="Times New Roman"/>
                      <w:bCs/>
                      <w:color w:val="auto"/>
                      <w:kern w:val="0"/>
                      <w:sz w:val="21"/>
                      <w:szCs w:val="21"/>
                      <w:u w:val="none"/>
                      <w:lang w:eastAsia="zh-CN"/>
                    </w:rPr>
                  </w:pPr>
                  <w:r>
                    <w:rPr>
                      <w:rFonts w:hint="eastAsia" w:cs="Times New Roman"/>
                      <w:bCs/>
                      <w:color w:val="auto"/>
                      <w:kern w:val="0"/>
                      <w:sz w:val="21"/>
                      <w:szCs w:val="21"/>
                      <w:u w:val="none"/>
                      <w:lang w:eastAsia="zh-CN"/>
                    </w:rPr>
                    <w:t>总铁</w:t>
                  </w:r>
                </w:p>
              </w:tc>
              <w:tc>
                <w:tcPr>
                  <w:tcW w:w="1012" w:type="pct"/>
                  <w:noWrap w:val="0"/>
                  <w:vAlign w:val="center"/>
                </w:tcPr>
                <w:p>
                  <w:pPr>
                    <w:widowControl/>
                    <w:jc w:val="center"/>
                    <w:textAlignment w:val="bottom"/>
                    <w:rPr>
                      <w:rFonts w:hint="default"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0.53</w:t>
                  </w:r>
                </w:p>
              </w:tc>
              <w:tc>
                <w:tcPr>
                  <w:tcW w:w="971" w:type="pct"/>
                  <w:noWrap w:val="0"/>
                  <w:vAlign w:val="center"/>
                </w:tcPr>
                <w:p>
                  <w:pPr>
                    <w:widowControl/>
                    <w:jc w:val="center"/>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hint="eastAsia" w:cs="Times New Roman"/>
                      <w:bCs/>
                      <w:color w:val="auto"/>
                      <w:kern w:val="0"/>
                      <w:sz w:val="21"/>
                      <w:szCs w:val="21"/>
                      <w:u w:val="none"/>
                      <w:lang w:eastAsia="zh-CN"/>
                    </w:rPr>
                  </w:pPr>
                  <w:r>
                    <w:rPr>
                      <w:rFonts w:hint="eastAsia" w:cs="Times New Roman"/>
                      <w:bCs/>
                      <w:color w:val="auto"/>
                      <w:kern w:val="0"/>
                      <w:sz w:val="21"/>
                      <w:szCs w:val="21"/>
                      <w:u w:val="none"/>
                      <w:lang w:eastAsia="zh-CN"/>
                    </w:rPr>
                    <w:t>总氮</w:t>
                  </w:r>
                </w:p>
              </w:tc>
              <w:tc>
                <w:tcPr>
                  <w:tcW w:w="1012" w:type="pct"/>
                  <w:noWrap w:val="0"/>
                  <w:vAlign w:val="center"/>
                </w:tcPr>
                <w:p>
                  <w:pPr>
                    <w:widowControl/>
                    <w:jc w:val="center"/>
                    <w:textAlignment w:val="bottom"/>
                    <w:rPr>
                      <w:rFonts w:hint="default"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0.99</w:t>
                  </w:r>
                </w:p>
              </w:tc>
              <w:tc>
                <w:tcPr>
                  <w:tcW w:w="971" w:type="pct"/>
                  <w:noWrap w:val="0"/>
                  <w:vAlign w:val="center"/>
                </w:tcPr>
                <w:p>
                  <w:pPr>
                    <w:widowControl/>
                    <w:jc w:val="center"/>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45</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Times New Roman"/>
                      <w:bCs/>
                      <w:color w:val="auto"/>
                      <w:kern w:val="0"/>
                      <w:sz w:val="21"/>
                      <w:szCs w:val="21"/>
                      <w:u w:val="none"/>
                    </w:rPr>
                  </w:pPr>
                  <w:r>
                    <w:rPr>
                      <w:rFonts w:hint="eastAsia" w:cs="Times New Roman"/>
                      <w:bCs/>
                      <w:color w:val="auto"/>
                      <w:kern w:val="0"/>
                      <w:sz w:val="21"/>
                      <w:szCs w:val="21"/>
                      <w:u w:val="none"/>
                    </w:rPr>
                    <w:t>达标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vMerge w:val="continue"/>
                  <w:noWrap w:val="0"/>
                  <w:vAlign w:val="top"/>
                </w:tcPr>
                <w:p>
                  <w:pPr>
                    <w:adjustRightInd w:val="0"/>
                    <w:jc w:val="center"/>
                    <w:textAlignment w:val="baseline"/>
                    <w:rPr>
                      <w:rFonts w:cs="Times New Roman"/>
                      <w:bCs/>
                      <w:color w:val="auto"/>
                      <w:kern w:val="0"/>
                      <w:sz w:val="21"/>
                      <w:szCs w:val="21"/>
                      <w:u w:val="none"/>
                    </w:rPr>
                  </w:pPr>
                </w:p>
              </w:tc>
              <w:tc>
                <w:tcPr>
                  <w:tcW w:w="1012" w:type="pct"/>
                  <w:noWrap w:val="0"/>
                  <w:vAlign w:val="center"/>
                </w:tcPr>
                <w:p>
                  <w:pPr>
                    <w:widowControl/>
                    <w:jc w:val="center"/>
                    <w:textAlignment w:val="bottom"/>
                    <w:rPr>
                      <w:rFonts w:cs="Times New Roman"/>
                      <w:bCs/>
                      <w:color w:val="auto"/>
                      <w:kern w:val="0"/>
                      <w:sz w:val="21"/>
                      <w:szCs w:val="21"/>
                      <w:u w:val="none"/>
                    </w:rPr>
                  </w:pPr>
                  <w:r>
                    <w:rPr>
                      <w:rFonts w:cs="Times New Roman"/>
                      <w:bCs/>
                      <w:color w:val="auto"/>
                      <w:kern w:val="0"/>
                      <w:sz w:val="21"/>
                      <w:szCs w:val="21"/>
                      <w:u w:val="none"/>
                    </w:rPr>
                    <w:t>总磷</w:t>
                  </w:r>
                </w:p>
              </w:tc>
              <w:tc>
                <w:tcPr>
                  <w:tcW w:w="1012" w:type="pct"/>
                  <w:noWrap w:val="0"/>
                  <w:vAlign w:val="center"/>
                </w:tcPr>
                <w:p>
                  <w:pPr>
                    <w:widowControl/>
                    <w:jc w:val="center"/>
                    <w:textAlignment w:val="bottom"/>
                    <w:rPr>
                      <w:rFonts w:hint="default" w:eastAsia="宋体" w:cs="Times New Roman"/>
                      <w:bCs/>
                      <w:color w:val="auto"/>
                      <w:kern w:val="0"/>
                      <w:sz w:val="21"/>
                      <w:szCs w:val="21"/>
                      <w:u w:val="none"/>
                      <w:lang w:val="en-US" w:eastAsia="zh-CN"/>
                    </w:rPr>
                  </w:pPr>
                  <w:r>
                    <w:rPr>
                      <w:rFonts w:hint="eastAsia" w:cs="Times New Roman"/>
                      <w:bCs/>
                      <w:color w:val="auto"/>
                      <w:kern w:val="0"/>
                      <w:sz w:val="21"/>
                      <w:szCs w:val="21"/>
                      <w:u w:val="none"/>
                      <w:lang w:val="en-US" w:eastAsia="zh-CN"/>
                    </w:rPr>
                    <w:t>0.14</w:t>
                  </w:r>
                </w:p>
              </w:tc>
              <w:tc>
                <w:tcPr>
                  <w:tcW w:w="971" w:type="pct"/>
                  <w:noWrap w:val="0"/>
                  <w:vAlign w:val="center"/>
                </w:tcPr>
                <w:p>
                  <w:pPr>
                    <w:widowControl/>
                    <w:jc w:val="center"/>
                    <w:rPr>
                      <w:rFonts w:hint="default"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w:t>
                  </w:r>
                </w:p>
              </w:tc>
              <w:tc>
                <w:tcPr>
                  <w:tcW w:w="95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cs="Times New Roman"/>
                      <w:bCs/>
                      <w:color w:val="auto"/>
                      <w:kern w:val="0"/>
                      <w:sz w:val="21"/>
                      <w:szCs w:val="21"/>
                      <w:u w:val="none"/>
                    </w:rPr>
                  </w:pPr>
                  <w:r>
                    <w:rPr>
                      <w:rFonts w:hint="eastAsia" w:cs="Times New Roman"/>
                      <w:bCs/>
                      <w:color w:val="auto"/>
                      <w:kern w:val="0"/>
                      <w:sz w:val="21"/>
                      <w:szCs w:val="21"/>
                      <w:u w:val="none"/>
                    </w:rPr>
                    <w:t>达标</w:t>
                  </w:r>
                </w:p>
              </w:tc>
            </w:tr>
          </w:tbl>
          <w:p>
            <w:pPr>
              <w:pStyle w:val="2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val="0"/>
                <w:color w:val="auto"/>
                <w:kern w:val="28"/>
                <w:sz w:val="24"/>
                <w:szCs w:val="24"/>
                <w:highlight w:val="none"/>
                <w:u w:val="none"/>
                <w:lang w:val="en-US" w:eastAsia="zh-CN" w:bidi="ar"/>
              </w:rPr>
            </w:pPr>
            <w:r>
              <w:rPr>
                <w:rFonts w:hint="default" w:ascii="Times New Roman" w:hAnsi="Times New Roman" w:eastAsia="宋体" w:cs="Times New Roman"/>
                <w:b w:val="0"/>
                <w:bCs w:val="0"/>
                <w:color w:val="auto"/>
                <w:sz w:val="24"/>
                <w:szCs w:val="24"/>
                <w:u w:val="none"/>
                <w:lang w:val="en-US" w:eastAsia="zh-CN"/>
              </w:rPr>
              <w:t>由上表可知，</w:t>
            </w:r>
            <w:r>
              <w:rPr>
                <w:rFonts w:ascii="Times New Roman" w:hAnsi="Times New Roman" w:eastAsia="宋体" w:cs="Times New Roman"/>
                <w:color w:val="auto"/>
                <w:sz w:val="24"/>
                <w:szCs w:val="24"/>
              </w:rPr>
              <w:t>废水排放</w:t>
            </w:r>
            <w:r>
              <w:rPr>
                <w:rFonts w:hint="default" w:ascii="Times New Roman" w:hAnsi="Times New Roman" w:eastAsia="宋体" w:cs="Times New Roman"/>
                <w:color w:val="auto"/>
                <w:sz w:val="24"/>
                <w:szCs w:val="24"/>
                <w:lang w:eastAsia="zh-CN"/>
              </w:rPr>
              <w:t>浓度满足</w:t>
            </w:r>
            <w:r>
              <w:rPr>
                <w:rFonts w:hint="default" w:ascii="Times New Roman" w:hAnsi="Times New Roman" w:cs="Times New Roman"/>
                <w:color w:val="auto"/>
                <w:sz w:val="24"/>
                <w:szCs w:val="24"/>
                <w:u w:val="none"/>
                <w:lang w:val="en-US" w:eastAsia="zh-CN"/>
              </w:rPr>
              <w:t>《污水综合排放标准》（GB8978-1996）中三级标准和湘阴县第三污水处理厂进水水质要求的较严值</w:t>
            </w:r>
            <w:r>
              <w:rPr>
                <w:rFonts w:hint="eastAsia" w:ascii="Times New Roman" w:hAnsi="Times New Roman" w:cs="Times New Roman"/>
                <w:color w:val="auto"/>
                <w:sz w:val="24"/>
                <w:szCs w:val="24"/>
                <w:u w:val="none"/>
                <w:lang w:val="en-US" w:eastAsia="zh-CN"/>
              </w:rPr>
              <w:t>。</w:t>
            </w:r>
          </w:p>
          <w:p>
            <w:pPr>
              <w:pStyle w:val="2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auto"/>
                <w:kern w:val="28"/>
                <w:sz w:val="24"/>
                <w:szCs w:val="24"/>
                <w:highlight w:val="none"/>
                <w:u w:val="none"/>
              </w:rPr>
            </w:pPr>
            <w:r>
              <w:rPr>
                <w:rFonts w:hint="eastAsia" w:ascii="Times New Roman" w:hAnsi="Times New Roman" w:eastAsia="宋体" w:cs="Times New Roman"/>
                <w:b/>
                <w:bCs w:val="0"/>
                <w:color w:val="auto"/>
                <w:kern w:val="28"/>
                <w:sz w:val="24"/>
                <w:szCs w:val="24"/>
                <w:highlight w:val="none"/>
                <w:u w:val="none"/>
                <w:lang w:val="en-US" w:eastAsia="zh-CN" w:bidi="ar"/>
              </w:rPr>
              <w:t>4、</w:t>
            </w:r>
            <w:r>
              <w:rPr>
                <w:rFonts w:hint="default" w:ascii="Times New Roman" w:hAnsi="Times New Roman" w:eastAsia="宋体" w:cs="Times New Roman"/>
                <w:b/>
                <w:bCs w:val="0"/>
                <w:color w:val="auto"/>
                <w:kern w:val="28"/>
                <w:sz w:val="24"/>
                <w:szCs w:val="24"/>
                <w:highlight w:val="none"/>
                <w:u w:val="none"/>
                <w:lang w:val="en-US" w:eastAsia="zh-CN" w:bidi="ar"/>
              </w:rPr>
              <w:t>固体</w:t>
            </w:r>
            <w:r>
              <w:rPr>
                <w:rFonts w:hint="eastAsia" w:ascii="宋体" w:hAnsi="宋体" w:eastAsia="宋体" w:cs="宋体"/>
                <w:b/>
                <w:bCs w:val="0"/>
                <w:color w:val="auto"/>
                <w:kern w:val="28"/>
                <w:sz w:val="24"/>
                <w:szCs w:val="24"/>
                <w:highlight w:val="none"/>
                <w:u w:val="none"/>
                <w:lang w:val="en-US" w:eastAsia="zh-CN" w:bidi="ar"/>
              </w:rPr>
              <w:t>废物</w:t>
            </w:r>
          </w:p>
          <w:p>
            <w:pPr>
              <w:pStyle w:val="2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rPr>
            </w:pPr>
            <w:r>
              <w:rPr>
                <w:rFonts w:hint="eastAsia" w:ascii="宋体" w:hAnsi="宋体" w:eastAsia="宋体" w:cs="宋体"/>
                <w:color w:val="auto"/>
                <w:kern w:val="2"/>
                <w:sz w:val="24"/>
                <w:szCs w:val="24"/>
                <w:highlight w:val="none"/>
                <w:u w:val="none"/>
                <w:lang w:val="en-US" w:eastAsia="zh-CN" w:bidi="ar"/>
              </w:rPr>
              <w:t>营</w:t>
            </w:r>
            <w:r>
              <w:rPr>
                <w:rFonts w:hint="default" w:ascii="Times New Roman" w:hAnsi="Times New Roman" w:eastAsia="宋体" w:cs="Times New Roman"/>
                <w:color w:val="auto"/>
                <w:kern w:val="2"/>
                <w:sz w:val="24"/>
                <w:szCs w:val="24"/>
                <w:highlight w:val="none"/>
                <w:u w:val="none"/>
                <w:lang w:val="en-US" w:eastAsia="zh-CN" w:bidi="ar"/>
              </w:rPr>
              <w:t>运过程中产生的固体废物主要为</w:t>
            </w:r>
            <w:r>
              <w:rPr>
                <w:rFonts w:hint="eastAsia" w:ascii="Times New Roman" w:hAnsi="Times New Roman" w:cs="Times New Roman"/>
                <w:color w:val="auto"/>
                <w:kern w:val="2"/>
                <w:sz w:val="24"/>
                <w:szCs w:val="24"/>
                <w:highlight w:val="none"/>
                <w:u w:val="none"/>
                <w:lang w:val="en-US" w:eastAsia="zh-CN" w:bidi="ar"/>
              </w:rPr>
              <w:t>氧化皮、硼化渣、涂膜渣、废金属屑、非金属丝等一般固废，废乳化油、废机油及含油抹布和污泥等危险废物和生活垃圾</w:t>
            </w:r>
            <w:r>
              <w:rPr>
                <w:rFonts w:hint="default" w:ascii="Times New Roman" w:hAnsi="Times New Roman" w:eastAsia="宋体" w:cs="Times New Roman"/>
                <w:color w:val="auto"/>
                <w:kern w:val="2"/>
                <w:sz w:val="24"/>
                <w:szCs w:val="24"/>
                <w:highlight w:val="none"/>
                <w:u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lang w:val="en-US" w:eastAsia="zh-CN" w:bidi="ar"/>
              </w:rPr>
            </w:pPr>
            <w:r>
              <w:rPr>
                <w:rFonts w:hint="default" w:ascii="Times New Roman" w:hAnsi="Times New Roman" w:eastAsia="宋体" w:cs="Times New Roman"/>
                <w:color w:val="auto"/>
                <w:kern w:val="2"/>
                <w:sz w:val="24"/>
                <w:szCs w:val="24"/>
                <w:highlight w:val="none"/>
                <w:u w:val="none"/>
                <w:lang w:val="en-US" w:eastAsia="zh-CN" w:bidi="ar"/>
              </w:rPr>
              <w:t>根据</w:t>
            </w:r>
            <w:r>
              <w:rPr>
                <w:rFonts w:hint="eastAsia" w:cs="Times New Roman"/>
                <w:color w:val="auto"/>
                <w:kern w:val="2"/>
                <w:sz w:val="24"/>
                <w:szCs w:val="24"/>
                <w:highlight w:val="none"/>
                <w:u w:val="none"/>
                <w:lang w:val="en-US" w:eastAsia="zh-CN" w:bidi="ar"/>
              </w:rPr>
              <w:t>验收及危废协议可知</w:t>
            </w:r>
            <w:r>
              <w:rPr>
                <w:rFonts w:hint="default" w:ascii="Times New Roman" w:hAnsi="Times New Roman" w:eastAsia="宋体" w:cs="Times New Roman"/>
                <w:color w:val="auto"/>
                <w:kern w:val="2"/>
                <w:sz w:val="24"/>
                <w:szCs w:val="24"/>
                <w:highlight w:val="none"/>
                <w:u w:val="none"/>
                <w:lang w:val="en-US" w:eastAsia="zh-CN" w:bidi="ar"/>
              </w:rPr>
              <w:t>，现有项目固体废物的产生和处置情况见表</w:t>
            </w:r>
            <w:r>
              <w:rPr>
                <w:rFonts w:hint="default" w:ascii="Times New Roman" w:hAnsi="Times New Roman" w:eastAsia="宋体" w:cs="Times New Roman"/>
                <w:color w:val="auto"/>
                <w:kern w:val="20"/>
                <w:sz w:val="24"/>
                <w:szCs w:val="24"/>
                <w:highlight w:val="none"/>
                <w:u w:val="none"/>
                <w:lang w:val="en-US" w:eastAsia="zh-CN" w:bidi="ar"/>
              </w:rPr>
              <w:t>2</w:t>
            </w:r>
            <w:r>
              <w:rPr>
                <w:rFonts w:hint="eastAsia" w:ascii="Times New Roman" w:hAnsi="Times New Roman" w:eastAsia="宋体" w:cs="Times New Roman"/>
                <w:color w:val="auto"/>
                <w:kern w:val="20"/>
                <w:sz w:val="24"/>
                <w:szCs w:val="24"/>
                <w:highlight w:val="none"/>
                <w:u w:val="none"/>
                <w:lang w:val="en-US" w:eastAsia="zh-CN" w:bidi="ar"/>
              </w:rPr>
              <w:t>.10-</w:t>
            </w:r>
            <w:r>
              <w:rPr>
                <w:rFonts w:hint="eastAsia" w:cs="Times New Roman"/>
                <w:color w:val="auto"/>
                <w:kern w:val="20"/>
                <w:sz w:val="24"/>
                <w:szCs w:val="24"/>
                <w:highlight w:val="none"/>
                <w:u w:val="none"/>
                <w:lang w:val="en-US" w:eastAsia="zh-CN" w:bidi="ar"/>
              </w:rPr>
              <w:t>8</w:t>
            </w:r>
            <w:r>
              <w:rPr>
                <w:rFonts w:hint="default" w:ascii="Times New Roman" w:hAnsi="Times New Roman" w:eastAsia="宋体" w:cs="Times New Roman"/>
                <w:color w:val="auto"/>
                <w:kern w:val="2"/>
                <w:sz w:val="24"/>
                <w:szCs w:val="24"/>
                <w:highlight w:val="none"/>
                <w:u w:val="none"/>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auto"/>
                <w:kern w:val="20"/>
                <w:sz w:val="24"/>
                <w:szCs w:val="24"/>
                <w:highlight w:val="none"/>
                <w:u w:val="none"/>
              </w:rPr>
            </w:pPr>
            <w:r>
              <w:rPr>
                <w:rFonts w:hint="eastAsia" w:ascii="宋体" w:hAnsi="宋体" w:eastAsia="宋体" w:cs="宋体"/>
                <w:b/>
                <w:bCs w:val="0"/>
                <w:color w:val="auto"/>
                <w:kern w:val="20"/>
                <w:sz w:val="24"/>
                <w:szCs w:val="24"/>
                <w:highlight w:val="none"/>
                <w:u w:val="none"/>
                <w:lang w:val="en-US" w:eastAsia="zh-CN" w:bidi="ar"/>
              </w:rPr>
              <w:t>表</w:t>
            </w:r>
            <w:r>
              <w:rPr>
                <w:rFonts w:hint="eastAsia" w:ascii="Times New Roman" w:hAnsi="Times New Roman" w:eastAsia="宋体" w:cs="Times New Roman"/>
                <w:b/>
                <w:bCs w:val="0"/>
                <w:color w:val="auto"/>
                <w:kern w:val="20"/>
                <w:sz w:val="24"/>
                <w:szCs w:val="24"/>
                <w:highlight w:val="none"/>
                <w:u w:val="none"/>
                <w:lang w:val="en-US" w:eastAsia="zh-CN" w:bidi="ar"/>
              </w:rPr>
              <w:t>2.10-</w:t>
            </w:r>
            <w:r>
              <w:rPr>
                <w:rFonts w:hint="eastAsia" w:cs="Times New Roman"/>
                <w:b/>
                <w:bCs w:val="0"/>
                <w:color w:val="auto"/>
                <w:kern w:val="20"/>
                <w:sz w:val="24"/>
                <w:szCs w:val="24"/>
                <w:highlight w:val="none"/>
                <w:u w:val="none"/>
                <w:lang w:val="en-US" w:eastAsia="zh-CN" w:bidi="ar"/>
              </w:rPr>
              <w:t>8</w:t>
            </w:r>
            <w:r>
              <w:rPr>
                <w:rFonts w:hint="eastAsia" w:ascii="宋体" w:hAnsi="宋体" w:eastAsia="宋体" w:cs="宋体"/>
                <w:b/>
                <w:bCs w:val="0"/>
                <w:color w:val="auto"/>
                <w:kern w:val="20"/>
                <w:sz w:val="24"/>
                <w:szCs w:val="24"/>
                <w:highlight w:val="none"/>
                <w:u w:val="none"/>
                <w:lang w:val="en-US" w:eastAsia="zh-CN" w:bidi="ar"/>
              </w:rPr>
              <w:t>现有项目固体废物的产生和处置情况一览表</w:t>
            </w:r>
          </w:p>
          <w:tbl>
            <w:tblPr>
              <w:tblStyle w:val="29"/>
              <w:tblW w:w="9323" w:type="dxa"/>
              <w:jc w:val="center"/>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283"/>
              <w:gridCol w:w="1808"/>
              <w:gridCol w:w="1318"/>
              <w:gridCol w:w="2584"/>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0" w:type="dxa"/>
                  <w:tcBorders>
                    <w:top w:val="single" w:color="auto" w:sz="4" w:space="0"/>
                    <w:left w:val="single" w:color="auto" w:sz="2"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u w:val="none"/>
                      <w:vertAlign w:val="baseline"/>
                    </w:rPr>
                  </w:pPr>
                  <w:r>
                    <w:rPr>
                      <w:rFonts w:hint="eastAsia" w:ascii="宋体" w:hAnsi="宋体" w:eastAsia="宋体" w:cs="宋体"/>
                      <w:b/>
                      <w:bCs/>
                      <w:color w:val="auto"/>
                      <w:kern w:val="0"/>
                      <w:sz w:val="21"/>
                      <w:szCs w:val="21"/>
                      <w:highlight w:val="none"/>
                      <w:u w:val="none"/>
                      <w:vertAlign w:val="baseline"/>
                      <w:lang w:val="en-US" w:eastAsia="zh-CN" w:bidi="ar"/>
                    </w:rPr>
                    <w:t>类型</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u w:val="none"/>
                      <w:vertAlign w:val="baseline"/>
                    </w:rPr>
                  </w:pPr>
                  <w:r>
                    <w:rPr>
                      <w:rFonts w:hint="eastAsia" w:ascii="宋体" w:hAnsi="宋体" w:eastAsia="宋体" w:cs="宋体"/>
                      <w:b/>
                      <w:bCs/>
                      <w:color w:val="auto"/>
                      <w:kern w:val="0"/>
                      <w:sz w:val="21"/>
                      <w:szCs w:val="21"/>
                      <w:highlight w:val="none"/>
                      <w:u w:val="none"/>
                      <w:vertAlign w:val="baseline"/>
                      <w:lang w:val="en-US" w:eastAsia="zh-CN" w:bidi="ar"/>
                    </w:rPr>
                    <w:t>产生量</w:t>
                  </w:r>
                  <w:r>
                    <w:rPr>
                      <w:rFonts w:hint="default" w:ascii="Times New Roman" w:hAnsi="Times New Roman" w:eastAsia="宋体" w:cs="Times New Roman"/>
                      <w:b/>
                      <w:bCs/>
                      <w:color w:val="auto"/>
                      <w:kern w:val="0"/>
                      <w:sz w:val="21"/>
                      <w:szCs w:val="21"/>
                      <w:highlight w:val="none"/>
                      <w:u w:val="none"/>
                      <w:vertAlign w:val="baseline"/>
                      <w:lang w:val="en-US" w:eastAsia="zh-CN" w:bidi="ar"/>
                    </w:rPr>
                    <w:t>t/a</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u w:val="none"/>
                      <w:vertAlign w:val="baseline"/>
                    </w:rPr>
                  </w:pPr>
                  <w:r>
                    <w:rPr>
                      <w:rFonts w:hint="eastAsia" w:ascii="宋体" w:hAnsi="宋体" w:eastAsia="宋体" w:cs="宋体"/>
                      <w:b/>
                      <w:bCs/>
                      <w:color w:val="auto"/>
                      <w:kern w:val="0"/>
                      <w:sz w:val="21"/>
                      <w:szCs w:val="21"/>
                      <w:highlight w:val="none"/>
                      <w:u w:val="none"/>
                      <w:vertAlign w:val="baseline"/>
                      <w:lang w:val="en-US" w:eastAsia="zh-CN" w:bidi="ar"/>
                    </w:rPr>
                    <w:t>废物类别</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u w:val="none"/>
                      <w:vertAlign w:val="baseline"/>
                    </w:rPr>
                  </w:pPr>
                  <w:r>
                    <w:rPr>
                      <w:rFonts w:hint="eastAsia" w:ascii="宋体" w:hAnsi="宋体" w:eastAsia="宋体" w:cs="宋体"/>
                      <w:b/>
                      <w:bCs/>
                      <w:color w:val="auto"/>
                      <w:kern w:val="0"/>
                      <w:sz w:val="21"/>
                      <w:szCs w:val="21"/>
                      <w:highlight w:val="none"/>
                      <w:u w:val="none"/>
                      <w:vertAlign w:val="baseline"/>
                      <w:lang w:val="en-US" w:eastAsia="zh-CN" w:bidi="ar"/>
                    </w:rPr>
                    <w:t>废物性质</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u w:val="none"/>
                      <w:vertAlign w:val="baseline"/>
                    </w:rPr>
                  </w:pPr>
                  <w:r>
                    <w:rPr>
                      <w:rFonts w:hint="eastAsia" w:ascii="宋体" w:hAnsi="宋体" w:eastAsia="宋体" w:cs="宋体"/>
                      <w:b/>
                      <w:bCs/>
                      <w:color w:val="auto"/>
                      <w:kern w:val="0"/>
                      <w:sz w:val="21"/>
                      <w:szCs w:val="21"/>
                      <w:highlight w:val="none"/>
                      <w:u w:val="none"/>
                      <w:vertAlign w:val="baseline"/>
                      <w:lang w:val="en-US" w:eastAsia="zh-CN" w:bidi="ar"/>
                    </w:rPr>
                    <w:t>处置去向</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金属氧化皮</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rPr>
                  </w:pPr>
                  <w:r>
                    <w:rPr>
                      <w:rFonts w:hint="eastAsia" w:cs="Times New Roman"/>
                      <w:color w:val="auto"/>
                      <w:kern w:val="0"/>
                      <w:sz w:val="21"/>
                      <w:szCs w:val="21"/>
                      <w:highlight w:val="none"/>
                      <w:u w:val="none"/>
                      <w:vertAlign w:val="baseline"/>
                      <w:lang w:val="en-US" w:eastAsia="zh-CN" w:bidi="ar"/>
                    </w:rPr>
                    <w:t>10</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rPr>
                  </w:pPr>
                  <w:r>
                    <w:rPr>
                      <w:rFonts w:hint="eastAsia" w:ascii="Times New Roman" w:hAnsi="Times New Roman" w:eastAsia="宋体" w:cs="Times New Roman"/>
                      <w:color w:val="auto"/>
                      <w:kern w:val="0"/>
                      <w:sz w:val="21"/>
                      <w:szCs w:val="21"/>
                      <w:highlight w:val="none"/>
                      <w:u w:val="none"/>
                      <w:vertAlign w:val="baseline"/>
                      <w:lang w:val="en-US" w:eastAsia="zh-CN" w:bidi="ar"/>
                    </w:rPr>
                    <w:t>/</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一般固废</w:t>
                  </w:r>
                </w:p>
              </w:tc>
              <w:tc>
                <w:tcPr>
                  <w:tcW w:w="2584" w:type="dxa"/>
                  <w:vMerge w:val="restart"/>
                  <w:tcBorders>
                    <w:top w:val="single" w:color="auto" w:sz="4" w:space="0"/>
                    <w:left w:val="nil"/>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外售综合利用</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硼化渣</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0.1</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ascii="Times New Roman" w:hAnsi="Times New Roman" w:eastAsia="宋体" w:cs="Times New Roman"/>
                      <w:color w:val="auto"/>
                      <w:kern w:val="0"/>
                      <w:sz w:val="21"/>
                      <w:szCs w:val="21"/>
                      <w:highlight w:val="none"/>
                      <w:u w:val="none"/>
                      <w:vertAlign w:val="baseline"/>
                      <w:lang w:val="en-US" w:eastAsia="zh-CN" w:bidi="ar"/>
                    </w:rPr>
                    <w:t>/</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一般固废</w:t>
                  </w:r>
                </w:p>
              </w:tc>
              <w:tc>
                <w:tcPr>
                  <w:tcW w:w="2584" w:type="dxa"/>
                  <w:vMerge w:val="continue"/>
                  <w:tcBorders>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废金属丝</w:t>
                  </w:r>
                  <w:r>
                    <w:rPr>
                      <w:rFonts w:hint="eastAsia" w:ascii="宋体" w:hAnsi="宋体" w:cs="宋体"/>
                      <w:color w:val="auto"/>
                      <w:kern w:val="0"/>
                      <w:sz w:val="21"/>
                      <w:szCs w:val="21"/>
                      <w:highlight w:val="none"/>
                      <w:u w:val="none"/>
                      <w:vertAlign w:val="baseline"/>
                      <w:lang w:val="en-US" w:eastAsia="zh-CN" w:bidi="ar"/>
                    </w:rPr>
                    <w:t>、</w:t>
                  </w:r>
                  <w:r>
                    <w:rPr>
                      <w:rFonts w:hint="eastAsia" w:ascii="宋体" w:hAnsi="宋体" w:eastAsia="宋体" w:cs="宋体"/>
                      <w:color w:val="auto"/>
                      <w:kern w:val="0"/>
                      <w:sz w:val="21"/>
                      <w:szCs w:val="21"/>
                      <w:highlight w:val="none"/>
                      <w:u w:val="none"/>
                      <w:vertAlign w:val="baseline"/>
                      <w:lang w:val="en-US" w:eastAsia="zh-CN" w:bidi="ar"/>
                    </w:rPr>
                    <w:t>金属废屑</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rPr>
                  </w:pPr>
                  <w:r>
                    <w:rPr>
                      <w:rFonts w:hint="eastAsia" w:cs="Times New Roman"/>
                      <w:color w:val="auto"/>
                      <w:kern w:val="0"/>
                      <w:sz w:val="21"/>
                      <w:szCs w:val="21"/>
                      <w:highlight w:val="none"/>
                      <w:u w:val="none"/>
                      <w:vertAlign w:val="baseline"/>
                      <w:lang w:val="en-US" w:eastAsia="zh-CN" w:bidi="ar"/>
                    </w:rPr>
                    <w:t>13.5</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val="en-US" w:eastAsia="zh-CN" w:bidi="ar"/>
                    </w:rPr>
                    <w:t>/</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一般固废</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外售综合利用</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涂膜</w:t>
                  </w:r>
                  <w:r>
                    <w:rPr>
                      <w:rFonts w:hint="eastAsia" w:ascii="宋体" w:hAnsi="宋体" w:eastAsia="宋体" w:cs="宋体"/>
                      <w:color w:val="auto"/>
                      <w:kern w:val="0"/>
                      <w:sz w:val="21"/>
                      <w:szCs w:val="21"/>
                      <w:highlight w:val="none"/>
                      <w:u w:val="none"/>
                      <w:vertAlign w:val="baseline"/>
                      <w:lang w:val="en-US" w:eastAsia="zh-CN" w:bidi="ar"/>
                    </w:rPr>
                    <w:t>渣</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rPr>
                  </w:pPr>
                  <w:r>
                    <w:rPr>
                      <w:rFonts w:hint="eastAsia" w:ascii="Times New Roman" w:hAnsi="Times New Roman" w:eastAsia="宋体" w:cs="Times New Roman"/>
                      <w:color w:val="auto"/>
                      <w:kern w:val="0"/>
                      <w:sz w:val="21"/>
                      <w:szCs w:val="21"/>
                      <w:highlight w:val="none"/>
                      <w:u w:val="none"/>
                      <w:vertAlign w:val="baseline"/>
                      <w:lang w:val="en-US" w:eastAsia="zh-CN"/>
                    </w:rPr>
                    <w:t>0.</w:t>
                  </w:r>
                  <w:r>
                    <w:rPr>
                      <w:rFonts w:hint="eastAsia" w:cs="Times New Roman"/>
                      <w:color w:val="auto"/>
                      <w:kern w:val="0"/>
                      <w:sz w:val="21"/>
                      <w:szCs w:val="21"/>
                      <w:highlight w:val="none"/>
                      <w:u w:val="none"/>
                      <w:vertAlign w:val="baseline"/>
                      <w:lang w:val="en-US" w:eastAsia="zh-CN"/>
                    </w:rPr>
                    <w:t>1</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Times New Roman" w:hAnsi="Times New Roman" w:eastAsia="宋体" w:cs="Times New Roman"/>
                      <w:color w:val="auto"/>
                      <w:kern w:val="0"/>
                      <w:sz w:val="21"/>
                      <w:szCs w:val="21"/>
                      <w:highlight w:val="none"/>
                      <w:u w:val="none"/>
                      <w:vertAlign w:val="baseline"/>
                      <w:lang w:val="en-US" w:eastAsia="zh-CN"/>
                    </w:rPr>
                  </w:pPr>
                  <w:r>
                    <w:rPr>
                      <w:rFonts w:hint="eastAsia" w:cs="Times New Roman"/>
                      <w:color w:val="auto"/>
                      <w:kern w:val="0"/>
                      <w:sz w:val="21"/>
                      <w:szCs w:val="21"/>
                      <w:highlight w:val="none"/>
                      <w:u w:val="none"/>
                      <w:vertAlign w:val="baseline"/>
                      <w:lang w:val="en-US" w:eastAsia="zh-CN"/>
                    </w:rPr>
                    <w:t>/</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一般固废</w:t>
                  </w:r>
                </w:p>
              </w:tc>
              <w:tc>
                <w:tcPr>
                  <w:tcW w:w="2584" w:type="dxa"/>
                  <w:tcBorders>
                    <w:top w:val="single" w:color="auto" w:sz="4" w:space="0"/>
                    <w:left w:val="nil"/>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外售综合利用</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生活垃圾</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rPr>
                  </w:pPr>
                  <w:r>
                    <w:rPr>
                      <w:rFonts w:hint="eastAsia" w:cs="Times New Roman"/>
                      <w:color w:val="auto"/>
                      <w:kern w:val="0"/>
                      <w:sz w:val="21"/>
                      <w:szCs w:val="21"/>
                      <w:highlight w:val="none"/>
                      <w:u w:val="none"/>
                      <w:vertAlign w:val="baseline"/>
                      <w:lang w:val="en-US" w:eastAsia="zh-CN"/>
                    </w:rPr>
                    <w:t>6</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生活垃圾</w:t>
                  </w:r>
                </w:p>
              </w:tc>
              <w:tc>
                <w:tcPr>
                  <w:tcW w:w="2584" w:type="dxa"/>
                  <w:tcBorders>
                    <w:left w:val="nil"/>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厂区集中收集，由当地环卫部门定期清理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炉渣</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rPr>
                  </w:pPr>
                  <w:r>
                    <w:rPr>
                      <w:rFonts w:hint="eastAsia" w:cs="Times New Roman"/>
                      <w:color w:val="auto"/>
                      <w:kern w:val="0"/>
                      <w:sz w:val="21"/>
                      <w:szCs w:val="21"/>
                      <w:highlight w:val="none"/>
                      <w:u w:val="none"/>
                      <w:vertAlign w:val="baseline"/>
                      <w:lang w:val="en-US" w:eastAsia="zh-CN" w:bidi="ar"/>
                    </w:rPr>
                    <w:t>69</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val="en-US" w:eastAsia="zh-CN" w:bidi="ar"/>
                    </w:rPr>
                    <w:t>/</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一般固废</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rPr>
                  </w:pPr>
                  <w:r>
                    <w:rPr>
                      <w:rFonts w:hint="eastAsia" w:ascii="宋体" w:hAnsi="宋体" w:eastAsia="宋体" w:cs="宋体"/>
                      <w:color w:val="auto"/>
                      <w:kern w:val="0"/>
                      <w:sz w:val="21"/>
                      <w:szCs w:val="21"/>
                      <w:highlight w:val="none"/>
                      <w:u w:val="none"/>
                      <w:vertAlign w:val="baseline"/>
                      <w:lang w:val="en-US" w:eastAsia="zh-CN" w:bidi="ar"/>
                    </w:rPr>
                    <w:t>外售综合利用</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废润滑油、含油抹布等</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5</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HW49（900-041-49）</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危险废物</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委托有资质单位处置</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废片碱袋</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6</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HW49（900-041-49）</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危险废物</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委托有资质单位处置</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污泥</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200</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HW17（336-058-17）</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危险废物</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委托永兴鹏琨环保有限公司处置</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3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废乳化液</w:t>
                  </w:r>
                </w:p>
              </w:tc>
              <w:tc>
                <w:tcPr>
                  <w:tcW w:w="1283"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0.05</w:t>
                  </w:r>
                </w:p>
              </w:tc>
              <w:tc>
                <w:tcPr>
                  <w:tcW w:w="180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u w:val="none"/>
                      <w:vertAlign w:val="baseline"/>
                      <w:lang w:val="en-US" w:eastAsia="zh-CN" w:bidi="ar"/>
                    </w:rPr>
                  </w:pPr>
                  <w:r>
                    <w:rPr>
                      <w:rFonts w:hint="eastAsia" w:cs="Times New Roman"/>
                      <w:color w:val="auto"/>
                      <w:kern w:val="0"/>
                      <w:sz w:val="21"/>
                      <w:szCs w:val="21"/>
                      <w:highlight w:val="none"/>
                      <w:u w:val="none"/>
                      <w:vertAlign w:val="baseline"/>
                      <w:lang w:val="en-US" w:eastAsia="zh-CN" w:bidi="ar"/>
                    </w:rPr>
                    <w:t>HW49（900-041-49）</w:t>
                  </w:r>
                </w:p>
              </w:tc>
              <w:tc>
                <w:tcPr>
                  <w:tcW w:w="1318"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eastAsia="宋体" w:cs="宋体"/>
                      <w:color w:val="auto"/>
                      <w:kern w:val="0"/>
                      <w:sz w:val="21"/>
                      <w:szCs w:val="21"/>
                      <w:highlight w:val="none"/>
                      <w:u w:val="none"/>
                      <w:vertAlign w:val="baseline"/>
                      <w:lang w:val="en-US" w:eastAsia="zh-CN" w:bidi="ar"/>
                    </w:rPr>
                    <w:t>危险废物</w:t>
                  </w:r>
                </w:p>
              </w:tc>
              <w:tc>
                <w:tcPr>
                  <w:tcW w:w="2584"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line="240" w:lineRule="atLeast"/>
                    <w:ind w:left="0" w:right="0" w:firstLine="0" w:firstLineChars="0"/>
                    <w:jc w:val="center"/>
                    <w:textAlignment w:val="baseline"/>
                    <w:rPr>
                      <w:rFonts w:hint="eastAsia" w:ascii="宋体" w:hAnsi="宋体" w:eastAsia="宋体" w:cs="宋体"/>
                      <w:color w:val="auto"/>
                      <w:kern w:val="0"/>
                      <w:sz w:val="21"/>
                      <w:szCs w:val="21"/>
                      <w:highlight w:val="none"/>
                      <w:u w:val="none"/>
                      <w:vertAlign w:val="baseline"/>
                      <w:lang w:val="en-US" w:eastAsia="zh-CN" w:bidi="ar"/>
                    </w:rPr>
                  </w:pPr>
                  <w:r>
                    <w:rPr>
                      <w:rFonts w:hint="eastAsia" w:ascii="宋体" w:hAnsi="宋体" w:cs="宋体"/>
                      <w:color w:val="auto"/>
                      <w:kern w:val="0"/>
                      <w:sz w:val="21"/>
                      <w:szCs w:val="21"/>
                      <w:highlight w:val="none"/>
                      <w:u w:val="none"/>
                      <w:vertAlign w:val="baseline"/>
                      <w:lang w:val="en-US" w:eastAsia="zh-CN" w:bidi="ar"/>
                    </w:rPr>
                    <w:t>委托有资质单位</w:t>
                  </w:r>
                  <w:r>
                    <w:rPr>
                      <w:rFonts w:hint="eastAsia"/>
                      <w:color w:val="auto"/>
                      <w:lang w:eastAsia="zh-CN"/>
                    </w:rPr>
                    <w:t>处置</w:t>
                  </w:r>
                </w:p>
              </w:tc>
            </w:tr>
          </w:tbl>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b/>
                <w:bCs/>
                <w:color w:val="auto"/>
                <w:kern w:val="2"/>
                <w:sz w:val="24"/>
                <w:szCs w:val="24"/>
                <w:u w:val="none"/>
                <w:lang w:val="en-US" w:eastAsia="zh-CN" w:bidi="ar"/>
              </w:rPr>
            </w:pPr>
            <w:r>
              <w:rPr>
                <w:rFonts w:hint="eastAsia" w:ascii="Times New Roman" w:hAnsi="Times New Roman" w:cs="Times New Roman"/>
                <w:b/>
                <w:bCs/>
                <w:color w:val="auto"/>
                <w:kern w:val="2"/>
                <w:sz w:val="24"/>
                <w:szCs w:val="24"/>
                <w:u w:val="none"/>
                <w:lang w:val="en-US" w:eastAsia="zh-CN" w:bidi="ar"/>
              </w:rPr>
              <w:t>5、噪声</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b/>
                <w:bCs/>
                <w:color w:val="auto"/>
                <w:kern w:val="2"/>
                <w:sz w:val="24"/>
                <w:szCs w:val="24"/>
                <w:u w:val="none"/>
                <w:lang w:val="en-US" w:eastAsia="zh-CN" w:bidi="ar"/>
              </w:rPr>
            </w:pPr>
            <w:r>
              <w:rPr>
                <w:rFonts w:hint="eastAsia" w:ascii="Times New Roman" w:hAnsi="Times New Roman" w:cs="Times New Roman"/>
                <w:b/>
                <w:bCs/>
                <w:color w:val="auto"/>
                <w:kern w:val="2"/>
                <w:sz w:val="24"/>
                <w:szCs w:val="24"/>
                <w:u w:val="none"/>
                <w:lang w:val="en-US" w:eastAsia="zh-CN" w:bidi="ar"/>
              </w:rPr>
              <w:t>1）噪声源强</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u w:val="none"/>
                <w:lang w:val="en-US" w:eastAsia="zh-CN" w:bidi="ar"/>
              </w:rPr>
            </w:pPr>
            <w:r>
              <w:rPr>
                <w:rFonts w:hint="eastAsia" w:ascii="Times New Roman" w:hAnsi="Times New Roman" w:cs="Times New Roman"/>
                <w:color w:val="auto"/>
                <w:kern w:val="2"/>
                <w:sz w:val="24"/>
                <w:szCs w:val="24"/>
                <w:u w:val="none"/>
                <w:lang w:val="en-US" w:eastAsia="zh-CN" w:bidi="ar"/>
              </w:rPr>
              <w:t>现有项目主要噪声为机械设备运行产生的噪声，噪声源强75~85dB（A）。</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b/>
                <w:bCs/>
                <w:color w:val="auto"/>
                <w:kern w:val="2"/>
                <w:sz w:val="24"/>
                <w:szCs w:val="24"/>
                <w:u w:val="none"/>
                <w:lang w:val="en-US" w:eastAsia="zh-CN" w:bidi="ar"/>
              </w:rPr>
            </w:pPr>
            <w:r>
              <w:rPr>
                <w:rFonts w:hint="eastAsia" w:ascii="Times New Roman" w:hAnsi="Times New Roman" w:cs="Times New Roman"/>
                <w:b/>
                <w:bCs/>
                <w:color w:val="auto"/>
                <w:kern w:val="2"/>
                <w:sz w:val="24"/>
                <w:szCs w:val="24"/>
                <w:u w:val="none"/>
                <w:lang w:val="en-US" w:eastAsia="zh-CN" w:bidi="ar"/>
              </w:rPr>
              <w:t>2）噪声防治措施</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u w:val="none"/>
                <w:lang w:val="en-US" w:eastAsia="zh-CN" w:bidi="ar"/>
              </w:rPr>
            </w:pPr>
            <w:r>
              <w:rPr>
                <w:rFonts w:hint="eastAsia" w:ascii="Times New Roman" w:hAnsi="Times New Roman" w:cs="Times New Roman"/>
                <w:color w:val="auto"/>
                <w:kern w:val="2"/>
                <w:sz w:val="24"/>
                <w:szCs w:val="24"/>
                <w:u w:val="none"/>
                <w:lang w:val="en-US" w:eastAsia="zh-CN" w:bidi="ar"/>
              </w:rPr>
              <w:t>建设单位采取以下措施对项目噪音进行治理和防治：</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u w:val="none"/>
                <w:lang w:val="en-US" w:eastAsia="zh-CN" w:bidi="ar"/>
              </w:rPr>
            </w:pPr>
            <w:r>
              <w:rPr>
                <w:rFonts w:hint="eastAsia" w:ascii="Times New Roman" w:hAnsi="Times New Roman" w:cs="Times New Roman"/>
                <w:color w:val="auto"/>
                <w:kern w:val="2"/>
                <w:sz w:val="24"/>
                <w:szCs w:val="24"/>
                <w:u w:val="none"/>
                <w:lang w:val="en-US" w:eastAsia="zh-CN" w:bidi="ar"/>
              </w:rPr>
              <w:t>①选用低噪声的生产加工设备，并对设备采取减震、降噪措施。</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u w:val="none"/>
                <w:lang w:val="en-US" w:eastAsia="zh-CN" w:bidi="ar"/>
              </w:rPr>
            </w:pPr>
            <w:r>
              <w:rPr>
                <w:rFonts w:hint="eastAsia" w:ascii="Times New Roman" w:hAnsi="Times New Roman" w:cs="Times New Roman"/>
                <w:color w:val="auto"/>
                <w:kern w:val="2"/>
                <w:sz w:val="24"/>
                <w:szCs w:val="24"/>
                <w:u w:val="none"/>
                <w:lang w:val="en-US" w:eastAsia="zh-CN" w:bidi="ar"/>
              </w:rPr>
              <w:t>②通过墙体的阻隔作用，降低生产过程中产生的噪声对周边环境的影响。</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u w:val="none"/>
                <w:lang w:val="en-US" w:eastAsia="zh-CN" w:bidi="ar"/>
              </w:rPr>
            </w:pPr>
            <w:r>
              <w:rPr>
                <w:rFonts w:hint="eastAsia" w:ascii="Times New Roman" w:hAnsi="Times New Roman" w:cs="Times New Roman"/>
                <w:color w:val="auto"/>
                <w:kern w:val="2"/>
                <w:sz w:val="24"/>
                <w:szCs w:val="24"/>
                <w:u w:val="none"/>
                <w:lang w:val="en-US" w:eastAsia="zh-CN" w:bidi="ar"/>
              </w:rPr>
              <w:t>③合理布局，加强厂区绿化。</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b/>
                <w:bCs/>
                <w:color w:val="auto"/>
                <w:kern w:val="2"/>
                <w:sz w:val="24"/>
                <w:szCs w:val="24"/>
                <w:u w:val="none"/>
                <w:lang w:val="en-US" w:eastAsia="zh-CN" w:bidi="ar"/>
              </w:rPr>
            </w:pPr>
            <w:r>
              <w:rPr>
                <w:rFonts w:hint="eastAsia" w:ascii="Times New Roman" w:hAnsi="Times New Roman" w:cs="Times New Roman"/>
                <w:b/>
                <w:bCs/>
                <w:color w:val="auto"/>
                <w:kern w:val="2"/>
                <w:sz w:val="24"/>
                <w:szCs w:val="24"/>
                <w:u w:val="none"/>
                <w:lang w:val="en-US" w:eastAsia="zh-CN" w:bidi="ar"/>
              </w:rPr>
              <w:t>3）噪声排放达标分析</w:t>
            </w:r>
          </w:p>
          <w:p>
            <w:pPr>
              <w:keepNext w:val="0"/>
              <w:keepLines w:val="0"/>
              <w:widowControl w:val="0"/>
              <w:suppressLineNumbers w:val="0"/>
              <w:spacing w:before="0" w:beforeAutospacing="0" w:after="20" w:afterAutospacing="0" w:line="360" w:lineRule="auto"/>
              <w:ind w:left="0" w:right="0" w:firstLine="480"/>
              <w:jc w:val="both"/>
              <w:rPr>
                <w:rFonts w:hint="eastAsia" w:ascii="Times New Roman" w:hAnsi="Times New Roman" w:cs="Times New Roman"/>
                <w:color w:val="auto"/>
                <w:kern w:val="2"/>
                <w:sz w:val="24"/>
                <w:szCs w:val="24"/>
                <w:u w:val="none"/>
                <w:lang w:val="en-US" w:eastAsia="zh-CN" w:bidi="ar"/>
              </w:rPr>
            </w:pPr>
            <w:r>
              <w:rPr>
                <w:rFonts w:hint="eastAsia" w:ascii="Times New Roman" w:hAnsi="Times New Roman" w:eastAsia="宋体" w:cs="Times New Roman"/>
                <w:color w:val="auto"/>
                <w:kern w:val="2"/>
                <w:sz w:val="24"/>
                <w:szCs w:val="24"/>
                <w:highlight w:val="none"/>
                <w:u w:val="none"/>
                <w:lang w:val="en-US" w:eastAsia="zh-CN" w:bidi="ar"/>
              </w:rPr>
              <w:t>根据湖南求是检测科技有限公司2023年12月12日出具的《湖南西姆西科技有限公司自行监测报告》（报告编号：QS20230502-3）</w:t>
            </w:r>
            <w:r>
              <w:rPr>
                <w:rFonts w:hint="eastAsia" w:ascii="Times New Roman" w:hAnsi="Times New Roman" w:cs="Times New Roman"/>
                <w:color w:val="auto"/>
                <w:kern w:val="2"/>
                <w:sz w:val="24"/>
                <w:szCs w:val="24"/>
                <w:u w:val="none"/>
                <w:lang w:val="en-US" w:eastAsia="zh-CN" w:bidi="ar"/>
              </w:rPr>
              <w:t>，项目噪声监测结果见下表。</w:t>
            </w:r>
          </w:p>
          <w:p>
            <w:pPr>
              <w:spacing w:line="240" w:lineRule="auto"/>
              <w:jc w:val="center"/>
              <w:rPr>
                <w:rFonts w:ascii="Times New Roman" w:hAnsi="Times New Roman"/>
                <w:b/>
                <w:color w:val="auto"/>
                <w:sz w:val="24"/>
                <w:szCs w:val="24"/>
                <w:highlight w:val="none"/>
              </w:rPr>
            </w:pPr>
            <w:r>
              <w:rPr>
                <w:rFonts w:hint="default" w:ascii="Times New Roman Regular" w:hAnsi="Times New Roman Regular" w:eastAsia="宋体" w:cs="Times New Roman"/>
                <w:b/>
                <w:bCs/>
                <w:color w:val="auto"/>
                <w:spacing w:val="0"/>
                <w:kern w:val="2"/>
                <w:sz w:val="24"/>
                <w:szCs w:val="24"/>
                <w:lang w:val="en-US" w:eastAsia="en-US" w:bidi="ar-SA"/>
              </w:rPr>
              <w:t>表</w:t>
            </w:r>
            <w:r>
              <w:rPr>
                <w:rFonts w:hint="eastAsia" w:ascii="Times New Roman Regular" w:hAnsi="Times New Roman Regular" w:eastAsia="宋体" w:cs="Times New Roman"/>
                <w:b/>
                <w:bCs/>
                <w:color w:val="auto"/>
                <w:spacing w:val="0"/>
                <w:kern w:val="2"/>
                <w:sz w:val="24"/>
                <w:szCs w:val="24"/>
                <w:lang w:val="en-US" w:eastAsia="zh-CN" w:bidi="ar-SA"/>
              </w:rPr>
              <w:t>2.10-</w:t>
            </w:r>
            <w:r>
              <w:rPr>
                <w:rFonts w:hint="eastAsia" w:ascii="Times New Roman Regular" w:hAnsi="Times New Roman Regular" w:cs="Times New Roman"/>
                <w:b/>
                <w:bCs/>
                <w:color w:val="auto"/>
                <w:spacing w:val="0"/>
                <w:kern w:val="2"/>
                <w:sz w:val="24"/>
                <w:szCs w:val="24"/>
                <w:lang w:val="en-US" w:eastAsia="zh-CN" w:bidi="ar-SA"/>
              </w:rPr>
              <w:t>9</w:t>
            </w:r>
            <w:r>
              <w:rPr>
                <w:rFonts w:hint="default" w:ascii="Times New Roman Regular" w:hAnsi="Times New Roman Regular" w:eastAsia="宋体" w:cs="Times New Roman"/>
                <w:b/>
                <w:bCs/>
                <w:color w:val="auto"/>
                <w:spacing w:val="0"/>
                <w:kern w:val="2"/>
                <w:sz w:val="24"/>
                <w:szCs w:val="24"/>
                <w:lang w:val="en-US" w:eastAsia="en-US" w:bidi="ar-SA"/>
              </w:rPr>
              <w:t>厂界</w:t>
            </w:r>
            <w:r>
              <w:rPr>
                <w:rFonts w:ascii="Times New Roman" w:hAnsi="Times New Roman"/>
                <w:b/>
                <w:color w:val="auto"/>
                <w:sz w:val="24"/>
                <w:szCs w:val="24"/>
                <w:highlight w:val="none"/>
              </w:rPr>
              <w:t>环境噪声监测结果一览表</w:t>
            </w:r>
          </w:p>
          <w:tbl>
            <w:tblPr>
              <w:tblStyle w:val="9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08"/>
              <w:gridCol w:w="1511"/>
              <w:gridCol w:w="1525"/>
              <w:gridCol w:w="1502"/>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724" w:type="pct"/>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检测点位</w:t>
                  </w:r>
                </w:p>
              </w:tc>
              <w:tc>
                <w:tcPr>
                  <w:tcW w:w="1632" w:type="pct"/>
                  <w:gridSpan w:val="2"/>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检测结果</w:t>
                  </w:r>
                </w:p>
              </w:tc>
              <w:tc>
                <w:tcPr>
                  <w:tcW w:w="1642" w:type="pct"/>
                  <w:gridSpan w:val="2"/>
                  <w:vMerge w:val="restar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1724" w:type="pct"/>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Regular" w:hAnsi="Times New Roman Regular" w:eastAsia="宋体" w:cs="Times New Roman"/>
                      <w:color w:val="auto"/>
                      <w:spacing w:val="0"/>
                      <w:sz w:val="21"/>
                      <w:szCs w:val="21"/>
                    </w:rPr>
                  </w:pPr>
                </w:p>
              </w:tc>
              <w:tc>
                <w:tcPr>
                  <w:tcW w:w="1632" w:type="pct"/>
                  <w:gridSpan w:val="2"/>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b/>
                      <w:bCs/>
                      <w:color w:val="auto"/>
                      <w:spacing w:val="0"/>
                      <w:sz w:val="21"/>
                      <w:szCs w:val="21"/>
                      <w:lang w:eastAsia="zh-CN"/>
                    </w:rPr>
                  </w:pPr>
                  <w:r>
                    <w:rPr>
                      <w:rFonts w:hint="default" w:ascii="Times New Roman Regular" w:hAnsi="Times New Roman Regular" w:eastAsia="宋体" w:cs="Times New Roman"/>
                      <w:b/>
                      <w:bCs/>
                      <w:color w:val="auto"/>
                      <w:spacing w:val="0"/>
                      <w:sz w:val="21"/>
                      <w:szCs w:val="21"/>
                    </w:rPr>
                    <w:t>2023.</w:t>
                  </w:r>
                  <w:r>
                    <w:rPr>
                      <w:rFonts w:hint="eastAsia" w:ascii="Times New Roman Regular" w:hAnsi="Times New Roman Regular" w:eastAsia="宋体" w:cs="Times New Roman"/>
                      <w:b/>
                      <w:bCs/>
                      <w:color w:val="auto"/>
                      <w:spacing w:val="0"/>
                      <w:sz w:val="21"/>
                      <w:szCs w:val="21"/>
                      <w:lang w:val="en-US" w:eastAsia="zh-CN"/>
                    </w:rPr>
                    <w:t>11</w:t>
                  </w:r>
                  <w:r>
                    <w:rPr>
                      <w:rFonts w:hint="default" w:ascii="Times New Roman Regular" w:hAnsi="Times New Roman Regular" w:eastAsia="宋体" w:cs="Times New Roman"/>
                      <w:b/>
                      <w:bCs/>
                      <w:color w:val="auto"/>
                      <w:spacing w:val="0"/>
                      <w:sz w:val="21"/>
                      <w:szCs w:val="21"/>
                    </w:rPr>
                    <w:t>.2</w:t>
                  </w:r>
                  <w:r>
                    <w:rPr>
                      <w:rFonts w:hint="eastAsia" w:ascii="Times New Roman Regular" w:hAnsi="Times New Roman Regular" w:eastAsia="宋体" w:cs="Times New Roman"/>
                      <w:b/>
                      <w:bCs/>
                      <w:color w:val="auto"/>
                      <w:spacing w:val="0"/>
                      <w:sz w:val="21"/>
                      <w:szCs w:val="21"/>
                      <w:lang w:val="en-US" w:eastAsia="zh-CN"/>
                    </w:rPr>
                    <w:t>4</w:t>
                  </w:r>
                </w:p>
              </w:tc>
              <w:tc>
                <w:tcPr>
                  <w:tcW w:w="1642" w:type="pct"/>
                  <w:gridSpan w:val="2"/>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Regular" w:hAnsi="Times New Roman Regular" w:eastAsia="宋体" w:cs="Times New Roman"/>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724" w:type="pct"/>
                  <w:vMerge w:val="continue"/>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Regular" w:hAnsi="Times New Roman Regular" w:eastAsia="宋体" w:cs="Times New Roman"/>
                      <w:color w:val="auto"/>
                      <w:spacing w:val="0"/>
                      <w:sz w:val="21"/>
                      <w:szCs w:val="21"/>
                    </w:rPr>
                  </w:pPr>
                </w:p>
              </w:tc>
              <w:tc>
                <w:tcPr>
                  <w:tcW w:w="812"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昼间</w:t>
                  </w:r>
                </w:p>
              </w:tc>
              <w:tc>
                <w:tcPr>
                  <w:tcW w:w="819"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夜间</w:t>
                  </w:r>
                </w:p>
              </w:tc>
              <w:tc>
                <w:tcPr>
                  <w:tcW w:w="807"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昼间</w:t>
                  </w:r>
                </w:p>
              </w:tc>
              <w:tc>
                <w:tcPr>
                  <w:tcW w:w="835"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bCs/>
                      <w:color w:val="auto"/>
                      <w:spacing w:val="0"/>
                      <w:sz w:val="21"/>
                      <w:szCs w:val="21"/>
                    </w:rPr>
                  </w:pPr>
                  <w:r>
                    <w:rPr>
                      <w:rFonts w:hint="default" w:ascii="Times New Roman Regular" w:hAnsi="Times New Roman Regular" w:eastAsia="宋体" w:cs="Times New Roman"/>
                      <w:b/>
                      <w:bCs/>
                      <w:color w:val="auto"/>
                      <w:spacing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724"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rPr>
                  </w:pPr>
                  <w:r>
                    <w:rPr>
                      <w:rFonts w:hint="default" w:ascii="Times New Roman Regular" w:hAnsi="Times New Roman Regular" w:eastAsia="宋体" w:cs="Times New Roman"/>
                      <w:b w:val="0"/>
                      <w:bCs w:val="0"/>
                      <w:color w:val="auto"/>
                      <w:spacing w:val="0"/>
                      <w:sz w:val="21"/>
                      <w:szCs w:val="21"/>
                    </w:rPr>
                    <w:t>N1厂界东侧外1m处</w:t>
                  </w:r>
                </w:p>
              </w:tc>
              <w:tc>
                <w:tcPr>
                  <w:tcW w:w="812"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51.0</w:t>
                  </w:r>
                </w:p>
              </w:tc>
              <w:tc>
                <w:tcPr>
                  <w:tcW w:w="819"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45.6</w:t>
                  </w:r>
                </w:p>
              </w:tc>
              <w:tc>
                <w:tcPr>
                  <w:tcW w:w="807"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70</w:t>
                  </w:r>
                </w:p>
              </w:tc>
              <w:tc>
                <w:tcPr>
                  <w:tcW w:w="835"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Regular" w:hAnsi="Times New Roman Regular" w:eastAsia="宋体" w:cs="Times New Roman"/>
                      <w:b w:val="0"/>
                      <w:bCs w:val="0"/>
                      <w:color w:val="auto"/>
                      <w:spacing w:val="0"/>
                      <w:sz w:val="21"/>
                      <w:szCs w:val="21"/>
                      <w:lang w:eastAsia="zh-CN"/>
                    </w:rPr>
                  </w:pPr>
                  <w:r>
                    <w:rPr>
                      <w:rFonts w:hint="default" w:ascii="Times New Roman Regular" w:hAnsi="Times New Roman Regular" w:eastAsia="宋体" w:cs="Times New Roman"/>
                      <w:b w:val="0"/>
                      <w:bCs w:val="0"/>
                      <w:color w:val="auto"/>
                      <w:spacing w:val="0"/>
                      <w:sz w:val="21"/>
                      <w:szCs w:val="21"/>
                    </w:rPr>
                    <w:t>5</w:t>
                  </w:r>
                  <w:r>
                    <w:rPr>
                      <w:rFonts w:hint="eastAsia" w:ascii="Times New Roman Regular" w:hAnsi="Times New Roman Regular" w:eastAsia="宋体" w:cs="Times New Roman"/>
                      <w:b w:val="0"/>
                      <w:bCs w:val="0"/>
                      <w:color w:val="auto"/>
                      <w:spacing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1724"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rPr>
                  </w:pPr>
                  <w:r>
                    <w:rPr>
                      <w:rFonts w:hint="default" w:ascii="Times New Roman Regular" w:hAnsi="Times New Roman Regular" w:eastAsia="宋体" w:cs="Times New Roman"/>
                      <w:b w:val="0"/>
                      <w:bCs w:val="0"/>
                      <w:color w:val="auto"/>
                      <w:spacing w:val="0"/>
                      <w:sz w:val="21"/>
                      <w:szCs w:val="21"/>
                    </w:rPr>
                    <w:t>N2厂界南侧外1m处</w:t>
                  </w:r>
                </w:p>
              </w:tc>
              <w:tc>
                <w:tcPr>
                  <w:tcW w:w="812"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57.0</w:t>
                  </w:r>
                </w:p>
              </w:tc>
              <w:tc>
                <w:tcPr>
                  <w:tcW w:w="819"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48.4</w:t>
                  </w:r>
                </w:p>
              </w:tc>
              <w:tc>
                <w:tcPr>
                  <w:tcW w:w="1502"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Arial"/>
                      <w:color w:val="auto"/>
                      <w:sz w:val="21"/>
                    </w:rPr>
                  </w:pPr>
                  <w:r>
                    <w:rPr>
                      <w:rFonts w:hint="eastAsia" w:ascii="Times New Roman Regular" w:hAnsi="Times New Roman Regular" w:eastAsia="宋体" w:cs="Times New Roman"/>
                      <w:b w:val="0"/>
                      <w:bCs w:val="0"/>
                      <w:color w:val="auto"/>
                      <w:spacing w:val="0"/>
                      <w:sz w:val="21"/>
                      <w:szCs w:val="21"/>
                      <w:lang w:val="en-US" w:eastAsia="zh-CN"/>
                    </w:rPr>
                    <w:t>70</w:t>
                  </w:r>
                </w:p>
              </w:tc>
              <w:tc>
                <w:tcPr>
                  <w:tcW w:w="1553"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Arial"/>
                      <w:color w:val="auto"/>
                      <w:sz w:val="21"/>
                    </w:rPr>
                  </w:pPr>
                  <w:r>
                    <w:rPr>
                      <w:rFonts w:hint="default" w:ascii="Times New Roman Regular" w:hAnsi="Times New Roman Regular" w:eastAsia="宋体" w:cs="Times New Roman"/>
                      <w:b w:val="0"/>
                      <w:bCs w:val="0"/>
                      <w:color w:val="auto"/>
                      <w:spacing w:val="0"/>
                      <w:sz w:val="21"/>
                      <w:szCs w:val="21"/>
                    </w:rPr>
                    <w:t>5</w:t>
                  </w:r>
                  <w:r>
                    <w:rPr>
                      <w:rFonts w:hint="eastAsia" w:ascii="Times New Roman Regular" w:hAnsi="Times New Roman Regular" w:eastAsia="宋体" w:cs="Times New Roman"/>
                      <w:b w:val="0"/>
                      <w:bCs w:val="0"/>
                      <w:color w:val="auto"/>
                      <w:spacing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724"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rPr>
                  </w:pPr>
                  <w:r>
                    <w:rPr>
                      <w:rFonts w:hint="default" w:ascii="Times New Roman Regular" w:hAnsi="Times New Roman Regular" w:eastAsia="宋体" w:cs="Times New Roman"/>
                      <w:b w:val="0"/>
                      <w:bCs w:val="0"/>
                      <w:color w:val="auto"/>
                      <w:spacing w:val="0"/>
                      <w:sz w:val="21"/>
                      <w:szCs w:val="21"/>
                    </w:rPr>
                    <w:t>N3厂界西侧外1m处</w:t>
                  </w:r>
                </w:p>
              </w:tc>
              <w:tc>
                <w:tcPr>
                  <w:tcW w:w="812"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53.8</w:t>
                  </w:r>
                </w:p>
              </w:tc>
              <w:tc>
                <w:tcPr>
                  <w:tcW w:w="819"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45.5</w:t>
                  </w:r>
                </w:p>
              </w:tc>
              <w:tc>
                <w:tcPr>
                  <w:tcW w:w="1502"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Arial"/>
                      <w:color w:val="auto"/>
                      <w:sz w:val="21"/>
                    </w:rPr>
                  </w:pPr>
                  <w:r>
                    <w:rPr>
                      <w:rFonts w:hint="default" w:ascii="Times New Roman Regular" w:hAnsi="Times New Roman Regular" w:eastAsia="宋体" w:cs="Times New Roman"/>
                      <w:b w:val="0"/>
                      <w:bCs w:val="0"/>
                      <w:color w:val="auto"/>
                      <w:spacing w:val="0"/>
                      <w:sz w:val="21"/>
                      <w:szCs w:val="21"/>
                    </w:rPr>
                    <w:t>6</w:t>
                  </w:r>
                  <w:r>
                    <w:rPr>
                      <w:rFonts w:hint="eastAsia" w:ascii="Times New Roman Regular" w:hAnsi="Times New Roman Regular" w:eastAsia="宋体" w:cs="Times New Roman"/>
                      <w:b w:val="0"/>
                      <w:bCs w:val="0"/>
                      <w:color w:val="auto"/>
                      <w:spacing w:val="0"/>
                      <w:sz w:val="21"/>
                      <w:szCs w:val="21"/>
                      <w:lang w:val="en-US" w:eastAsia="zh-CN"/>
                    </w:rPr>
                    <w:t>5</w:t>
                  </w:r>
                </w:p>
              </w:tc>
              <w:tc>
                <w:tcPr>
                  <w:tcW w:w="1553"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Arial"/>
                      <w:color w:val="auto"/>
                      <w:sz w:val="21"/>
                    </w:rPr>
                  </w:pPr>
                  <w:r>
                    <w:rPr>
                      <w:rFonts w:hint="default" w:ascii="Times New Roman Regular" w:hAnsi="Times New Roman Regular" w:eastAsia="宋体" w:cs="Times New Roman"/>
                      <w:b w:val="0"/>
                      <w:bCs w:val="0"/>
                      <w:color w:val="auto"/>
                      <w:spacing w:val="0"/>
                      <w:sz w:val="21"/>
                      <w:szCs w:val="21"/>
                    </w:rPr>
                    <w:t>5</w:t>
                  </w:r>
                  <w:r>
                    <w:rPr>
                      <w:rFonts w:hint="eastAsia" w:ascii="Times New Roman Regular" w:hAnsi="Times New Roman Regular" w:eastAsia="宋体" w:cs="Times New Roman"/>
                      <w:b w:val="0"/>
                      <w:bCs w:val="0"/>
                      <w:color w:val="auto"/>
                      <w:spacing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724"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rPr>
                  </w:pPr>
                  <w:r>
                    <w:rPr>
                      <w:rFonts w:hint="default" w:ascii="Times New Roman Regular" w:hAnsi="Times New Roman Regular" w:eastAsia="宋体" w:cs="Times New Roman"/>
                      <w:b w:val="0"/>
                      <w:bCs w:val="0"/>
                      <w:color w:val="auto"/>
                      <w:spacing w:val="0"/>
                      <w:sz w:val="21"/>
                      <w:szCs w:val="21"/>
                    </w:rPr>
                    <w:t>N4厂界北侧外1m处</w:t>
                  </w:r>
                </w:p>
              </w:tc>
              <w:tc>
                <w:tcPr>
                  <w:tcW w:w="812"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54.4</w:t>
                  </w:r>
                </w:p>
              </w:tc>
              <w:tc>
                <w:tcPr>
                  <w:tcW w:w="819" w:type="pct"/>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47.0</w:t>
                  </w:r>
                </w:p>
              </w:tc>
              <w:tc>
                <w:tcPr>
                  <w:tcW w:w="1502"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Arial"/>
                      <w:color w:val="auto"/>
                      <w:sz w:val="21"/>
                    </w:rPr>
                  </w:pPr>
                  <w:r>
                    <w:rPr>
                      <w:rFonts w:hint="default" w:ascii="Times New Roman Regular" w:hAnsi="Times New Roman Regular" w:eastAsia="宋体" w:cs="Times New Roman"/>
                      <w:b w:val="0"/>
                      <w:bCs w:val="0"/>
                      <w:color w:val="auto"/>
                      <w:spacing w:val="0"/>
                      <w:sz w:val="21"/>
                      <w:szCs w:val="21"/>
                    </w:rPr>
                    <w:t>6</w:t>
                  </w:r>
                  <w:r>
                    <w:rPr>
                      <w:rFonts w:hint="eastAsia" w:ascii="Times New Roman Regular" w:hAnsi="Times New Roman Regular" w:eastAsia="宋体" w:cs="Times New Roman"/>
                      <w:b w:val="0"/>
                      <w:bCs w:val="0"/>
                      <w:color w:val="auto"/>
                      <w:spacing w:val="0"/>
                      <w:sz w:val="21"/>
                      <w:szCs w:val="21"/>
                      <w:lang w:val="en-US" w:eastAsia="zh-CN"/>
                    </w:rPr>
                    <w:t>5</w:t>
                  </w:r>
                </w:p>
              </w:tc>
              <w:tc>
                <w:tcPr>
                  <w:tcW w:w="1553"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Arial"/>
                      <w:color w:val="auto"/>
                      <w:sz w:val="21"/>
                    </w:rPr>
                  </w:pPr>
                  <w:r>
                    <w:rPr>
                      <w:rFonts w:hint="default" w:ascii="Times New Roman Regular" w:hAnsi="Times New Roman Regular" w:eastAsia="宋体" w:cs="Times New Roman"/>
                      <w:b w:val="0"/>
                      <w:bCs w:val="0"/>
                      <w:color w:val="auto"/>
                      <w:spacing w:val="0"/>
                      <w:sz w:val="21"/>
                      <w:szCs w:val="21"/>
                    </w:rPr>
                    <w:t>5</w:t>
                  </w:r>
                  <w:r>
                    <w:rPr>
                      <w:rFonts w:hint="eastAsia" w:ascii="Times New Roman Regular" w:hAnsi="Times New Roman Regular" w:eastAsia="宋体" w:cs="Times New Roman"/>
                      <w:b w:val="0"/>
                      <w:bCs w:val="0"/>
                      <w:color w:val="auto"/>
                      <w:spacing w:val="0"/>
                      <w:sz w:val="21"/>
                      <w:szCs w:val="21"/>
                      <w:lang w:val="en-US" w:eastAsia="zh-CN"/>
                    </w:rPr>
                    <w:t>5</w:t>
                  </w:r>
                </w:p>
              </w:tc>
            </w:tr>
          </w:tbl>
          <w:p>
            <w:pPr>
              <w:pStyle w:val="25"/>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olor w:val="auto"/>
                <w:highlight w:val="none"/>
              </w:rPr>
            </w:pPr>
            <w:r>
              <w:rPr>
                <w:rFonts w:ascii="Times New Roman" w:hAnsi="Times New Roman"/>
                <w:color w:val="auto"/>
                <w:highlight w:val="none"/>
              </w:rPr>
              <w:t>由上表内容可知，监测期间项目</w:t>
            </w:r>
            <w:r>
              <w:rPr>
                <w:rFonts w:hint="eastAsia"/>
                <w:color w:val="auto"/>
                <w:highlight w:val="none"/>
                <w:lang w:val="en-US" w:eastAsia="zh-CN"/>
              </w:rPr>
              <w:t>厂界噪声</w:t>
            </w:r>
            <w:r>
              <w:rPr>
                <w:rFonts w:ascii="Times New Roman" w:hAnsi="Times New Roman"/>
                <w:color w:val="auto"/>
                <w:highlight w:val="none"/>
              </w:rPr>
              <w:t>符合《工业企业厂界环境噪声排放标准》（GB12348-2008）中的3类</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4类</w:t>
            </w:r>
            <w:r>
              <w:rPr>
                <w:rFonts w:ascii="Times New Roman" w:hAnsi="Times New Roman"/>
                <w:color w:val="auto"/>
                <w:highlight w:val="none"/>
              </w:rPr>
              <w:t>标准限值要求。</w:t>
            </w:r>
          </w:p>
          <w:p>
            <w:pPr>
              <w:pStyle w:val="25"/>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u w:val="single"/>
                <w:lang w:val="en-US" w:eastAsia="zh-CN" w:bidi="ar"/>
              </w:rPr>
            </w:pPr>
            <w:r>
              <w:rPr>
                <w:rFonts w:hint="eastAsia" w:ascii="Times New Roman" w:hAnsi="Times New Roman" w:eastAsia="宋体" w:cs="Times New Roman"/>
                <w:b/>
                <w:bCs/>
                <w:color w:val="auto"/>
                <w:kern w:val="0"/>
                <w:sz w:val="24"/>
                <w:szCs w:val="24"/>
                <w:u w:val="single"/>
                <w:lang w:val="en-US" w:eastAsia="zh-CN" w:bidi="ar"/>
              </w:rPr>
              <w:t>6、</w:t>
            </w:r>
            <w:r>
              <w:rPr>
                <w:rFonts w:hint="eastAsia"/>
                <w:b/>
                <w:color w:val="auto"/>
                <w:spacing w:val="6"/>
                <w:sz w:val="24"/>
                <w:szCs w:val="24"/>
                <w:u w:val="single"/>
                <w:lang w:bidi="ar"/>
              </w:rPr>
              <w:t>现有工程污染物排放汇总</w:t>
            </w:r>
          </w:p>
          <w:p>
            <w:pPr>
              <w:pStyle w:val="25"/>
              <w:widowControl w:val="0"/>
              <w:adjustRightInd w:val="0"/>
              <w:snapToGrid w:val="0"/>
              <w:spacing w:before="0" w:beforeAutospacing="0" w:after="0" w:afterAutospacing="0" w:line="360" w:lineRule="auto"/>
              <w:ind w:firstLine="480" w:firstLineChars="200"/>
              <w:rPr>
                <w:rFonts w:ascii="Calibri" w:hAnsi="Calibri" w:eastAsia="Calibri" w:cs="Calibri"/>
                <w:color w:val="auto"/>
                <w:spacing w:val="-1"/>
                <w:kern w:val="2"/>
                <w:sz w:val="24"/>
                <w:szCs w:val="24"/>
                <w:u w:val="single"/>
                <w:lang w:bidi="ar"/>
              </w:rPr>
            </w:pPr>
            <w:r>
              <w:rPr>
                <w:rFonts w:hint="eastAsia" w:ascii="宋体" w:hAnsi="宋体" w:eastAsia="宋体" w:cs="宋体"/>
                <w:b w:val="0"/>
                <w:bCs w:val="0"/>
                <w:color w:val="auto"/>
                <w:kern w:val="0"/>
                <w:sz w:val="24"/>
                <w:szCs w:val="24"/>
                <w:u w:val="single"/>
                <w:lang w:val="en-US" w:eastAsia="zh-CN" w:bidi="ar"/>
              </w:rPr>
              <w:t>现有工程总排放量参考自行监测数据及现有环评，</w:t>
            </w:r>
            <w:r>
              <w:rPr>
                <w:rFonts w:hint="eastAsia"/>
                <w:color w:val="auto"/>
                <w:spacing w:val="6"/>
                <w:kern w:val="2"/>
                <w:sz w:val="24"/>
                <w:szCs w:val="24"/>
                <w:u w:val="single"/>
                <w:lang w:bidi="ar"/>
              </w:rPr>
              <w:t>现有工程</w:t>
            </w:r>
            <w:r>
              <w:rPr>
                <w:rFonts w:ascii="Calibri" w:hAnsi="Calibri" w:eastAsia="Calibri" w:cs="Calibri"/>
                <w:color w:val="auto"/>
                <w:spacing w:val="6"/>
                <w:kern w:val="2"/>
                <w:sz w:val="24"/>
                <w:szCs w:val="24"/>
                <w:u w:val="single"/>
                <w:lang w:bidi="ar"/>
              </w:rPr>
              <w:t>废气</w:t>
            </w:r>
            <w:r>
              <w:rPr>
                <w:rFonts w:hint="eastAsia" w:ascii="Calibri" w:hAnsi="Calibri" w:eastAsia="宋体" w:cs="Calibri"/>
                <w:color w:val="auto"/>
                <w:spacing w:val="6"/>
                <w:kern w:val="2"/>
                <w:sz w:val="24"/>
                <w:szCs w:val="24"/>
                <w:u w:val="single"/>
                <w:lang w:eastAsia="zh-CN" w:bidi="ar"/>
              </w:rPr>
              <w:t>、废水</w:t>
            </w:r>
            <w:r>
              <w:rPr>
                <w:rFonts w:ascii="Calibri" w:hAnsi="Calibri" w:eastAsia="Calibri" w:cs="Calibri"/>
                <w:color w:val="auto"/>
                <w:spacing w:val="6"/>
                <w:kern w:val="2"/>
                <w:sz w:val="24"/>
                <w:szCs w:val="24"/>
                <w:u w:val="single"/>
                <w:lang w:bidi="ar"/>
              </w:rPr>
              <w:t>、</w:t>
            </w:r>
            <w:r>
              <w:rPr>
                <w:rFonts w:hint="eastAsia"/>
                <w:color w:val="auto"/>
                <w:spacing w:val="6"/>
                <w:kern w:val="2"/>
                <w:sz w:val="24"/>
                <w:szCs w:val="24"/>
                <w:u w:val="single"/>
                <w:lang w:bidi="ar"/>
              </w:rPr>
              <w:t>固废</w:t>
            </w:r>
            <w:r>
              <w:rPr>
                <w:rFonts w:ascii="Calibri" w:hAnsi="Calibri" w:eastAsia="Calibri" w:cs="Calibri"/>
                <w:color w:val="auto"/>
                <w:spacing w:val="6"/>
                <w:kern w:val="2"/>
                <w:sz w:val="24"/>
                <w:szCs w:val="24"/>
                <w:u w:val="single"/>
                <w:lang w:bidi="ar"/>
              </w:rPr>
              <w:t>以及噪声产排情况见</w:t>
            </w:r>
            <w:r>
              <w:rPr>
                <w:rFonts w:hint="eastAsia"/>
                <w:color w:val="auto"/>
                <w:spacing w:val="6"/>
                <w:kern w:val="2"/>
                <w:sz w:val="24"/>
                <w:szCs w:val="24"/>
                <w:u w:val="single"/>
                <w:lang w:bidi="ar"/>
              </w:rPr>
              <w:t>下表</w:t>
            </w:r>
            <w:r>
              <w:rPr>
                <w:rFonts w:ascii="Calibri" w:hAnsi="Calibri" w:eastAsia="Calibri" w:cs="Calibri"/>
                <w:color w:val="auto"/>
                <w:spacing w:val="-1"/>
                <w:kern w:val="2"/>
                <w:sz w:val="24"/>
                <w:szCs w:val="24"/>
                <w:u w:val="single"/>
                <w:lang w:bidi="ar"/>
              </w:rPr>
              <w:t>。</w:t>
            </w:r>
          </w:p>
          <w:p>
            <w:pPr>
              <w:pStyle w:val="25"/>
              <w:widowControl w:val="0"/>
              <w:autoSpaceDE w:val="0"/>
              <w:autoSpaceDN w:val="0"/>
              <w:adjustRightInd w:val="0"/>
              <w:spacing w:before="0" w:beforeAutospacing="0" w:after="0" w:afterAutospacing="0"/>
              <w:jc w:val="center"/>
              <w:rPr>
                <w:rFonts w:ascii="Times New Roman" w:hAnsi="Times New Roman" w:cs="Times New Roman"/>
                <w:b/>
                <w:color w:val="auto"/>
                <w:sz w:val="24"/>
                <w:szCs w:val="24"/>
                <w:u w:val="single"/>
                <w:lang w:bidi="ar"/>
              </w:rPr>
            </w:pPr>
            <w:r>
              <w:rPr>
                <w:rFonts w:hint="eastAsia" w:ascii="Times New Roman" w:hAnsi="Times New Roman" w:cs="Times New Roman"/>
                <w:b/>
                <w:color w:val="auto"/>
                <w:sz w:val="24"/>
                <w:szCs w:val="24"/>
                <w:u w:val="single"/>
                <w:lang w:bidi="ar"/>
              </w:rPr>
              <w:t>表</w:t>
            </w:r>
            <w:r>
              <w:rPr>
                <w:rFonts w:hint="eastAsia" w:ascii="Times New Roman" w:hAnsi="Times New Roman" w:cs="Times New Roman"/>
                <w:b/>
                <w:color w:val="auto"/>
                <w:sz w:val="24"/>
                <w:szCs w:val="24"/>
                <w:u w:val="single"/>
                <w:lang w:val="en-US" w:eastAsia="zh-CN" w:bidi="ar"/>
              </w:rPr>
              <w:t>2.10-10</w:t>
            </w:r>
            <w:r>
              <w:rPr>
                <w:rFonts w:hint="eastAsia" w:ascii="Times New Roman" w:hAnsi="Times New Roman" w:cs="Times New Roman"/>
                <w:b/>
                <w:color w:val="auto"/>
                <w:sz w:val="24"/>
                <w:szCs w:val="24"/>
                <w:u w:val="single"/>
                <w:lang w:bidi="ar"/>
              </w:rPr>
              <w:t>现有工程废气、</w:t>
            </w:r>
            <w:r>
              <w:rPr>
                <w:rFonts w:hint="eastAsia" w:ascii="Times New Roman" w:hAnsi="Times New Roman" w:cs="Times New Roman"/>
                <w:b/>
                <w:color w:val="auto"/>
                <w:sz w:val="24"/>
                <w:szCs w:val="24"/>
                <w:u w:val="single"/>
                <w:lang w:eastAsia="zh-CN" w:bidi="ar"/>
              </w:rPr>
              <w:t>废水、</w:t>
            </w:r>
            <w:r>
              <w:rPr>
                <w:rFonts w:hint="eastAsia" w:ascii="Times New Roman" w:hAnsi="Times New Roman" w:cs="Times New Roman"/>
                <w:b/>
                <w:color w:val="auto"/>
                <w:sz w:val="24"/>
                <w:szCs w:val="24"/>
                <w:u w:val="single"/>
                <w:lang w:bidi="ar"/>
              </w:rPr>
              <w:t>固废及噪声产排情况汇总</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8"/>
              <w:gridCol w:w="342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noWrap w:val="0"/>
                  <w:vAlign w:val="center"/>
                </w:tcPr>
                <w:p>
                  <w:pPr>
                    <w:adjustRightInd w:val="0"/>
                    <w:snapToGrid w:val="0"/>
                    <w:spacing w:before="81" w:beforeLines="25" w:line="240" w:lineRule="auto"/>
                    <w:jc w:val="center"/>
                    <w:rPr>
                      <w:b/>
                      <w:color w:val="auto"/>
                      <w:sz w:val="21"/>
                      <w:szCs w:val="21"/>
                      <w:u w:val="single"/>
                    </w:rPr>
                  </w:pPr>
                  <w:r>
                    <w:rPr>
                      <w:b/>
                      <w:color w:val="auto"/>
                      <w:sz w:val="21"/>
                      <w:szCs w:val="21"/>
                      <w:u w:val="single"/>
                      <w:lang w:bidi="ar"/>
                    </w:rPr>
                    <w:t>内容类型</w:t>
                  </w:r>
                </w:p>
              </w:tc>
              <w:tc>
                <w:tcPr>
                  <w:tcW w:w="1837" w:type="pct"/>
                  <w:noWrap w:val="0"/>
                  <w:vAlign w:val="center"/>
                </w:tcPr>
                <w:p>
                  <w:pPr>
                    <w:adjustRightInd w:val="0"/>
                    <w:snapToGrid w:val="0"/>
                    <w:spacing w:before="81" w:beforeLines="25" w:line="240" w:lineRule="auto"/>
                    <w:jc w:val="center"/>
                    <w:rPr>
                      <w:b/>
                      <w:color w:val="auto"/>
                      <w:sz w:val="21"/>
                      <w:szCs w:val="21"/>
                      <w:u w:val="single"/>
                    </w:rPr>
                  </w:pPr>
                  <w:r>
                    <w:rPr>
                      <w:b/>
                      <w:color w:val="auto"/>
                      <w:sz w:val="21"/>
                      <w:szCs w:val="21"/>
                      <w:u w:val="single"/>
                      <w:lang w:bidi="ar"/>
                    </w:rPr>
                    <w:t>污染物名称</w:t>
                  </w:r>
                </w:p>
              </w:tc>
              <w:tc>
                <w:tcPr>
                  <w:tcW w:w="1971" w:type="pct"/>
                  <w:noWrap w:val="0"/>
                  <w:vAlign w:val="center"/>
                </w:tcPr>
                <w:p>
                  <w:pPr>
                    <w:adjustRightInd w:val="0"/>
                    <w:snapToGrid w:val="0"/>
                    <w:spacing w:before="81" w:beforeLines="25" w:line="240" w:lineRule="auto"/>
                    <w:jc w:val="center"/>
                    <w:rPr>
                      <w:b/>
                      <w:bCs w:val="0"/>
                      <w:color w:val="auto"/>
                      <w:sz w:val="21"/>
                      <w:szCs w:val="21"/>
                      <w:u w:val="single"/>
                      <w:lang w:bidi="ar"/>
                    </w:rPr>
                  </w:pPr>
                  <w:r>
                    <w:rPr>
                      <w:rFonts w:hint="eastAsia"/>
                      <w:b/>
                      <w:bCs w:val="0"/>
                      <w:color w:val="auto"/>
                      <w:sz w:val="21"/>
                      <w:u w:val="single"/>
                    </w:rPr>
                    <w:t>实际排放量</w:t>
                  </w:r>
                  <w:r>
                    <w:rPr>
                      <w:rFonts w:hint="eastAsia"/>
                      <w:b/>
                      <w:bCs w:val="0"/>
                      <w:color w:val="auto"/>
                      <w:u w:val="single"/>
                      <w:lang w:eastAsia="zh-CN"/>
                    </w:rPr>
                    <w:t>（固废</w:t>
                  </w:r>
                  <w:r>
                    <w:rPr>
                      <w:rFonts w:hint="eastAsia"/>
                      <w:b/>
                      <w:bCs w:val="0"/>
                      <w:color w:val="auto"/>
                      <w:sz w:val="21"/>
                      <w:u w:val="single"/>
                      <w:lang w:val="en-US" w:eastAsia="zh-CN"/>
                    </w:rPr>
                    <w:t>产生量</w:t>
                  </w:r>
                  <w:r>
                    <w:rPr>
                      <w:rFonts w:hint="eastAsia"/>
                      <w:b/>
                      <w:bCs w:val="0"/>
                      <w:color w:val="auto"/>
                      <w:u w:val="single"/>
                      <w:lang w:eastAsia="zh-CN"/>
                    </w:rPr>
                    <w:t>）</w:t>
                  </w:r>
                  <w:r>
                    <w:rPr>
                      <w:rFonts w:hint="eastAsia"/>
                      <w:b/>
                      <w:bCs w:val="0"/>
                      <w:color w:val="auto"/>
                      <w:sz w:val="21"/>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restar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eastAsia="宋体"/>
                      <w:color w:val="auto"/>
                      <w:sz w:val="21"/>
                      <w:szCs w:val="21"/>
                      <w:u w:val="single"/>
                      <w:lang w:eastAsia="zh-CN"/>
                    </w:rPr>
                  </w:pPr>
                  <w:r>
                    <w:rPr>
                      <w:rFonts w:hint="eastAsia"/>
                      <w:color w:val="auto"/>
                      <w:sz w:val="21"/>
                      <w:szCs w:val="21"/>
                      <w:u w:val="single"/>
                      <w:lang w:eastAsia="zh-CN" w:bidi="ar"/>
                    </w:rPr>
                    <w:t>废气</w:t>
                  </w:r>
                </w:p>
              </w:tc>
              <w:tc>
                <w:tcPr>
                  <w:tcW w:w="1837"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eastAsia="宋体"/>
                      <w:color w:val="auto"/>
                      <w:sz w:val="21"/>
                      <w:szCs w:val="21"/>
                      <w:highlight w:val="none"/>
                      <w:u w:val="single"/>
                      <w:lang w:eastAsia="zh-CN"/>
                    </w:rPr>
                  </w:pPr>
                  <w:r>
                    <w:rPr>
                      <w:rFonts w:hint="eastAsia"/>
                      <w:color w:val="auto"/>
                      <w:sz w:val="21"/>
                      <w:szCs w:val="21"/>
                      <w:highlight w:val="none"/>
                      <w:u w:val="single"/>
                      <w:lang w:eastAsia="zh-CN"/>
                    </w:rPr>
                    <w:t>硫酸雾</w:t>
                  </w:r>
                </w:p>
              </w:tc>
              <w:tc>
                <w:tcPr>
                  <w:tcW w:w="1971" w:type="pct"/>
                  <w:noWrap w:val="0"/>
                  <w:vAlign w:val="center"/>
                </w:tcPr>
                <w:p>
                  <w:pPr>
                    <w:keepNext w:val="0"/>
                    <w:keepLines w:val="0"/>
                    <w:widowControl/>
                    <w:suppressLineNumbers w:val="0"/>
                    <w:jc w:val="center"/>
                    <w:textAlignment w:val="center"/>
                    <w:rPr>
                      <w:rFonts w:hint="default" w:eastAsia="宋体"/>
                      <w:bCs/>
                      <w:color w:val="auto"/>
                      <w:sz w:val="21"/>
                      <w:szCs w:val="21"/>
                      <w:highlight w:val="none"/>
                      <w:u w:val="single"/>
                      <w:lang w:val="en-US" w:eastAsia="zh-CN" w:bidi="ar"/>
                    </w:rPr>
                  </w:pPr>
                  <w:r>
                    <w:rPr>
                      <w:rFonts w:hint="eastAsia"/>
                      <w:bCs/>
                      <w:color w:val="auto"/>
                      <w:sz w:val="21"/>
                      <w:szCs w:val="21"/>
                      <w:highlight w:val="none"/>
                      <w:u w:val="single"/>
                      <w:lang w:val="en-US" w:eastAsia="zh-CN" w:bidi="ar"/>
                    </w:rPr>
                    <w:t>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u w:val="single"/>
                      <w:lang w:eastAsia="zh-CN" w:bidi="ar"/>
                    </w:rPr>
                  </w:pPr>
                </w:p>
              </w:tc>
              <w:tc>
                <w:tcPr>
                  <w:tcW w:w="1837"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u w:val="single"/>
                      <w:lang w:eastAsia="zh-CN"/>
                    </w:rPr>
                  </w:pPr>
                  <w:r>
                    <w:rPr>
                      <w:rFonts w:hint="eastAsia"/>
                      <w:color w:val="auto"/>
                      <w:sz w:val="21"/>
                      <w:szCs w:val="21"/>
                      <w:highlight w:val="none"/>
                      <w:u w:val="single"/>
                      <w:lang w:eastAsia="zh-CN"/>
                    </w:rPr>
                    <w:t>硫酸雾（无组织）</w:t>
                  </w:r>
                </w:p>
              </w:tc>
              <w:tc>
                <w:tcPr>
                  <w:tcW w:w="1971" w:type="pct"/>
                  <w:noWrap w:val="0"/>
                  <w:vAlign w:val="center"/>
                </w:tcPr>
                <w:p>
                  <w:pPr>
                    <w:keepNext w:val="0"/>
                    <w:keepLines w:val="0"/>
                    <w:widowControl/>
                    <w:suppressLineNumbers w:val="0"/>
                    <w:jc w:val="center"/>
                    <w:textAlignment w:val="center"/>
                    <w:rPr>
                      <w:rFonts w:hint="default"/>
                      <w:bCs/>
                      <w:color w:val="auto"/>
                      <w:sz w:val="21"/>
                      <w:szCs w:val="21"/>
                      <w:highlight w:val="none"/>
                      <w:u w:val="single"/>
                      <w:lang w:val="en-US" w:eastAsia="zh-CN" w:bidi="ar"/>
                    </w:rPr>
                  </w:pPr>
                  <w:r>
                    <w:rPr>
                      <w:rFonts w:hint="eastAsia"/>
                      <w:bCs/>
                      <w:color w:val="auto"/>
                      <w:sz w:val="21"/>
                      <w:szCs w:val="21"/>
                      <w:highlight w:val="none"/>
                      <w:u w:val="single"/>
                      <w:lang w:val="en-US" w:eastAsia="zh-CN" w:bidi="ar"/>
                    </w:rPr>
                    <w:t>0.0078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rPr>
                      <w:color w:val="auto"/>
                      <w:sz w:val="21"/>
                      <w:szCs w:val="21"/>
                      <w:u w:val="single"/>
                    </w:rPr>
                  </w:pPr>
                </w:p>
              </w:tc>
              <w:tc>
                <w:tcPr>
                  <w:tcW w:w="1837"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color w:val="auto"/>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二氧化硫</w:t>
                  </w:r>
                </w:p>
              </w:tc>
              <w:tc>
                <w:tcPr>
                  <w:tcW w:w="1971" w:type="pct"/>
                  <w:noWrap w:val="0"/>
                  <w:vAlign w:val="center"/>
                </w:tcPr>
                <w:p>
                  <w:pPr>
                    <w:keepNext w:val="0"/>
                    <w:keepLines w:val="0"/>
                    <w:widowControl/>
                    <w:suppressLineNumbers w:val="0"/>
                    <w:jc w:val="center"/>
                    <w:textAlignment w:val="center"/>
                    <w:rPr>
                      <w:rFonts w:hint="default" w:eastAsia="宋体"/>
                      <w:bCs/>
                      <w:color w:val="auto"/>
                      <w:sz w:val="21"/>
                      <w:szCs w:val="21"/>
                      <w:highlight w:val="none"/>
                      <w:u w:val="single"/>
                      <w:lang w:val="en-US" w:eastAsia="zh-CN" w:bidi="ar"/>
                    </w:rPr>
                  </w:pPr>
                  <w:r>
                    <w:rPr>
                      <w:rFonts w:hint="eastAsia"/>
                      <w:bCs/>
                      <w:color w:val="auto"/>
                      <w:sz w:val="21"/>
                      <w:szCs w:val="21"/>
                      <w:highlight w:val="none"/>
                      <w:u w:val="single"/>
                      <w:lang w:val="en-US" w:eastAsia="zh-CN" w:bidi="ar"/>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rPr>
                      <w:rFonts w:hint="eastAsia"/>
                      <w:color w:val="auto"/>
                      <w:sz w:val="21"/>
                      <w:szCs w:val="21"/>
                      <w:u w:val="single"/>
                    </w:rPr>
                  </w:pPr>
                </w:p>
              </w:tc>
              <w:tc>
                <w:tcPr>
                  <w:tcW w:w="1837"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color w:val="auto"/>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氮氧化物</w:t>
                  </w:r>
                </w:p>
              </w:tc>
              <w:tc>
                <w:tcPr>
                  <w:tcW w:w="1971" w:type="pct"/>
                  <w:noWrap w:val="0"/>
                  <w:vAlign w:val="center"/>
                </w:tcPr>
                <w:p>
                  <w:pPr>
                    <w:keepNext w:val="0"/>
                    <w:keepLines w:val="0"/>
                    <w:widowControl/>
                    <w:suppressLineNumbers w:val="0"/>
                    <w:jc w:val="center"/>
                    <w:textAlignment w:val="center"/>
                    <w:rPr>
                      <w:rFonts w:hint="default" w:eastAsia="宋体"/>
                      <w:bCs/>
                      <w:color w:val="auto"/>
                      <w:sz w:val="21"/>
                      <w:szCs w:val="21"/>
                      <w:highlight w:val="none"/>
                      <w:u w:val="single"/>
                      <w:lang w:val="en-US" w:eastAsia="zh-CN" w:bidi="ar"/>
                    </w:rPr>
                  </w:pPr>
                  <w:r>
                    <w:rPr>
                      <w:rFonts w:hint="eastAsia"/>
                      <w:bCs/>
                      <w:color w:val="auto"/>
                      <w:sz w:val="21"/>
                      <w:szCs w:val="21"/>
                      <w:highlight w:val="none"/>
                      <w:u w:val="single"/>
                      <w:lang w:val="en-US" w:eastAsia="zh-CN" w:bidi="ar"/>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rPr>
                      <w:rFonts w:hint="eastAsia"/>
                      <w:color w:val="auto"/>
                      <w:sz w:val="21"/>
                      <w:szCs w:val="21"/>
                      <w:u w:val="single"/>
                    </w:rPr>
                  </w:pPr>
                </w:p>
              </w:tc>
              <w:tc>
                <w:tcPr>
                  <w:tcW w:w="1837"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宋体" w:hAnsi="宋体" w:eastAsia="宋体" w:cs="宋体"/>
                      <w:color w:val="auto"/>
                      <w:kern w:val="2"/>
                      <w:sz w:val="21"/>
                      <w:szCs w:val="21"/>
                      <w:highlight w:val="none"/>
                      <w:u w:val="single"/>
                      <w:lang w:val="en-US" w:eastAsia="zh-CN" w:bidi="ar"/>
                    </w:rPr>
                  </w:pPr>
                  <w:r>
                    <w:rPr>
                      <w:rFonts w:hint="eastAsia" w:ascii="宋体" w:hAnsi="宋体" w:cs="宋体"/>
                      <w:color w:val="auto"/>
                      <w:kern w:val="2"/>
                      <w:sz w:val="21"/>
                      <w:szCs w:val="21"/>
                      <w:highlight w:val="none"/>
                      <w:u w:val="single"/>
                      <w:lang w:val="en-US" w:eastAsia="zh-CN" w:bidi="ar"/>
                    </w:rPr>
                    <w:t>烟尘</w:t>
                  </w:r>
                </w:p>
              </w:tc>
              <w:tc>
                <w:tcPr>
                  <w:tcW w:w="1971" w:type="pct"/>
                  <w:noWrap w:val="0"/>
                  <w:vAlign w:val="center"/>
                </w:tcPr>
                <w:p>
                  <w:pPr>
                    <w:keepNext w:val="0"/>
                    <w:keepLines w:val="0"/>
                    <w:widowControl/>
                    <w:suppressLineNumbers w:val="0"/>
                    <w:jc w:val="center"/>
                    <w:textAlignment w:val="center"/>
                    <w:rPr>
                      <w:rFonts w:hint="default" w:eastAsia="宋体"/>
                      <w:bCs/>
                      <w:color w:val="auto"/>
                      <w:sz w:val="21"/>
                      <w:szCs w:val="21"/>
                      <w:highlight w:val="none"/>
                      <w:u w:val="single"/>
                      <w:lang w:val="en-US" w:eastAsia="zh-CN" w:bidi="ar"/>
                    </w:rPr>
                  </w:pPr>
                  <w:r>
                    <w:rPr>
                      <w:rFonts w:hint="eastAsia"/>
                      <w:bCs/>
                      <w:color w:val="auto"/>
                      <w:sz w:val="21"/>
                      <w:szCs w:val="21"/>
                      <w:highlight w:val="none"/>
                      <w:u w:val="singl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restart"/>
                  <w:noWrap w:val="0"/>
                  <w:vAlign w:val="center"/>
                </w:tcPr>
                <w:p>
                  <w:pPr>
                    <w:jc w:val="center"/>
                    <w:rPr>
                      <w:rFonts w:hint="eastAsia" w:eastAsia="宋体"/>
                      <w:color w:val="auto"/>
                      <w:sz w:val="21"/>
                      <w:szCs w:val="21"/>
                      <w:highlight w:val="none"/>
                      <w:u w:val="single"/>
                      <w:lang w:eastAsia="zh-CN"/>
                    </w:rPr>
                  </w:pPr>
                  <w:r>
                    <w:rPr>
                      <w:rFonts w:hint="eastAsia"/>
                      <w:color w:val="auto"/>
                      <w:sz w:val="21"/>
                      <w:szCs w:val="21"/>
                      <w:highlight w:val="none"/>
                      <w:u w:val="single"/>
                      <w:lang w:eastAsia="zh-CN"/>
                    </w:rPr>
                    <w:t>废水（</w:t>
                  </w:r>
                  <w:r>
                    <w:rPr>
                      <w:rFonts w:hint="eastAsia"/>
                      <w:color w:val="auto"/>
                      <w:sz w:val="21"/>
                      <w:szCs w:val="21"/>
                      <w:highlight w:val="none"/>
                      <w:u w:val="single"/>
                      <w:lang w:val="en-US" w:eastAsia="zh-CN"/>
                    </w:rPr>
                    <w:t>10580</w:t>
                  </w:r>
                  <w:r>
                    <w:rPr>
                      <w:rFonts w:hint="eastAsia"/>
                      <w:color w:val="auto"/>
                      <w:highlight w:val="none"/>
                      <w:u w:val="single"/>
                    </w:rPr>
                    <w:t>m</w:t>
                  </w:r>
                  <w:r>
                    <w:rPr>
                      <w:rFonts w:hint="eastAsia"/>
                      <w:color w:val="auto"/>
                      <w:highlight w:val="none"/>
                      <w:u w:val="single"/>
                      <w:vertAlign w:val="superscript"/>
                    </w:rPr>
                    <w:t>3</w:t>
                  </w:r>
                  <w:r>
                    <w:rPr>
                      <w:rFonts w:hint="eastAsia"/>
                      <w:color w:val="auto"/>
                      <w:highlight w:val="none"/>
                      <w:u w:val="single"/>
                    </w:rPr>
                    <w:t>/</w:t>
                  </w:r>
                  <w:r>
                    <w:rPr>
                      <w:rFonts w:hint="eastAsia"/>
                      <w:color w:val="auto"/>
                      <w:highlight w:val="none"/>
                      <w:u w:val="single"/>
                      <w:lang w:val="en-US" w:eastAsia="zh-CN"/>
                    </w:rPr>
                    <w:t>a</w:t>
                  </w:r>
                  <w:r>
                    <w:rPr>
                      <w:rFonts w:hint="eastAsia"/>
                      <w:color w:val="auto"/>
                      <w:sz w:val="21"/>
                      <w:szCs w:val="21"/>
                      <w:highlight w:val="none"/>
                      <w:u w:val="single"/>
                      <w:lang w:eastAsia="zh-CN"/>
                    </w:rPr>
                    <w:t>）</w:t>
                  </w: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悬浮物</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COD</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BOD</w:t>
                  </w:r>
                  <w:r>
                    <w:rPr>
                      <w:rFonts w:hint="default" w:ascii="Times New Roman" w:hAnsi="Times New Roman" w:eastAsia="宋体" w:cs="Times New Roman"/>
                      <w:i w:val="0"/>
                      <w:iCs w:val="0"/>
                      <w:color w:val="auto"/>
                      <w:kern w:val="0"/>
                      <w:sz w:val="21"/>
                      <w:szCs w:val="21"/>
                      <w:highlight w:val="none"/>
                      <w:u w:val="single"/>
                      <w:vertAlign w:val="subscript"/>
                      <w:lang w:val="en-US" w:eastAsia="zh-CN" w:bidi="ar"/>
                    </w:rPr>
                    <w:t>5</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氨氮</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石油类</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总铜</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总铁</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总磷</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jc w:val="center"/>
                    <w:rPr>
                      <w:color w:val="auto"/>
                      <w:sz w:val="21"/>
                      <w:szCs w:val="21"/>
                      <w:highlight w:val="none"/>
                      <w:u w:val="single"/>
                    </w:rPr>
                  </w:pPr>
                </w:p>
              </w:tc>
              <w:tc>
                <w:tcPr>
                  <w:tcW w:w="1837" w:type="pct"/>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总氮</w:t>
                  </w:r>
                </w:p>
              </w:tc>
              <w:tc>
                <w:tcPr>
                  <w:tcW w:w="3670" w:type="dxa"/>
                  <w:noWrap w:val="0"/>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restart"/>
                  <w:noWrap w:val="0"/>
                  <w:vAlign w:val="center"/>
                </w:tcPr>
                <w:p>
                  <w:pPr>
                    <w:pStyle w:val="25"/>
                    <w:widowControl w:val="0"/>
                    <w:overflowPunct w:val="0"/>
                    <w:autoSpaceDE w:val="0"/>
                    <w:autoSpaceDN w:val="0"/>
                    <w:adjustRightInd w:val="0"/>
                    <w:snapToGrid w:val="0"/>
                    <w:spacing w:before="81" w:beforeLines="25" w:beforeAutospacing="0" w:after="0" w:afterAutospacing="0" w:line="240" w:lineRule="auto"/>
                    <w:jc w:val="center"/>
                    <w:textAlignment w:val="baseline"/>
                    <w:rPr>
                      <w:rFonts w:ascii="Times New Roman" w:hAnsi="Times New Roman" w:eastAsia="宋体" w:cs="Times New Roman"/>
                      <w:color w:val="auto"/>
                      <w:kern w:val="2"/>
                      <w:sz w:val="21"/>
                      <w:szCs w:val="21"/>
                      <w:u w:val="single"/>
                    </w:rPr>
                  </w:pPr>
                  <w:r>
                    <w:rPr>
                      <w:color w:val="auto"/>
                      <w:sz w:val="21"/>
                      <w:szCs w:val="21"/>
                      <w:u w:val="single"/>
                      <w:lang w:bidi="ar"/>
                    </w:rPr>
                    <w:t>固体废物</w:t>
                  </w: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eastAsia="宋体" w:cs="宋体"/>
                      <w:color w:val="auto"/>
                      <w:kern w:val="0"/>
                      <w:sz w:val="21"/>
                      <w:szCs w:val="21"/>
                      <w:highlight w:val="none"/>
                      <w:u w:val="single"/>
                      <w:vertAlign w:val="baseline"/>
                      <w:lang w:val="en-US" w:eastAsia="zh-CN" w:bidi="ar"/>
                    </w:rPr>
                    <w:t>金属氧化皮</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bCs/>
                      <w:color w:val="auto"/>
                      <w:sz w:val="21"/>
                      <w:highlight w:val="none"/>
                      <w:u w:val="single"/>
                    </w:rPr>
                  </w:pPr>
                  <w:r>
                    <w:rPr>
                      <w:rFonts w:hint="eastAsia" w:cs="Times New Roman"/>
                      <w:color w:val="auto"/>
                      <w:kern w:val="0"/>
                      <w:sz w:val="21"/>
                      <w:szCs w:val="21"/>
                      <w:highlight w:val="none"/>
                      <w:u w:val="single"/>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pStyle w:val="25"/>
                    <w:widowControl w:val="0"/>
                    <w:overflowPunct w:val="0"/>
                    <w:autoSpaceDE w:val="0"/>
                    <w:autoSpaceDN w:val="0"/>
                    <w:adjustRightInd w:val="0"/>
                    <w:snapToGrid w:val="0"/>
                    <w:spacing w:before="81" w:beforeLines="25" w:beforeAutospacing="0" w:after="0" w:afterAutospacing="0" w:line="240" w:lineRule="auto"/>
                    <w:jc w:val="center"/>
                    <w:textAlignment w:val="baseline"/>
                    <w:rPr>
                      <w:rFonts w:ascii="Times New Roman" w:hAnsi="Times New Roman" w:eastAsia="宋体" w:cs="Times New Roman"/>
                      <w:color w:val="auto"/>
                      <w:kern w:val="2"/>
                      <w:sz w:val="21"/>
                      <w:szCs w:val="21"/>
                      <w:u w:val="single"/>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eastAsia="宋体" w:cs="宋体"/>
                      <w:color w:val="auto"/>
                      <w:kern w:val="0"/>
                      <w:sz w:val="21"/>
                      <w:szCs w:val="21"/>
                      <w:highlight w:val="none"/>
                      <w:u w:val="single"/>
                      <w:vertAlign w:val="baseline"/>
                      <w:lang w:val="en-US" w:eastAsia="zh-CN" w:bidi="ar"/>
                    </w:rPr>
                    <w:t>硼化渣</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default"/>
                      <w:bCs/>
                      <w:color w:val="auto"/>
                      <w:sz w:val="21"/>
                      <w:highlight w:val="none"/>
                      <w:u w:val="single"/>
                      <w:lang w:val="en-US"/>
                    </w:rPr>
                  </w:pPr>
                  <w:r>
                    <w:rPr>
                      <w:rFonts w:hint="eastAsia" w:cs="Times New Roman"/>
                      <w:color w:val="auto"/>
                      <w:kern w:val="0"/>
                      <w:sz w:val="21"/>
                      <w:szCs w:val="21"/>
                      <w:highlight w:val="none"/>
                      <w:u w:val="single"/>
                      <w:vertAlign w:val="baseli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pStyle w:val="25"/>
                    <w:widowControl w:val="0"/>
                    <w:overflowPunct w:val="0"/>
                    <w:autoSpaceDE w:val="0"/>
                    <w:autoSpaceDN w:val="0"/>
                    <w:adjustRightInd w:val="0"/>
                    <w:snapToGrid w:val="0"/>
                    <w:spacing w:before="81" w:beforeLines="25" w:beforeAutospacing="0" w:after="0" w:afterAutospacing="0" w:line="240" w:lineRule="auto"/>
                    <w:jc w:val="center"/>
                    <w:textAlignment w:val="baseline"/>
                    <w:rPr>
                      <w:rFonts w:ascii="Times New Roman" w:hAnsi="Times New Roman" w:eastAsia="宋体" w:cs="Times New Roman"/>
                      <w:color w:val="auto"/>
                      <w:kern w:val="2"/>
                      <w:sz w:val="21"/>
                      <w:szCs w:val="21"/>
                      <w:u w:val="single"/>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eastAsia="宋体" w:cs="宋体"/>
                      <w:color w:val="auto"/>
                      <w:kern w:val="0"/>
                      <w:sz w:val="21"/>
                      <w:szCs w:val="21"/>
                      <w:highlight w:val="none"/>
                      <w:u w:val="single"/>
                      <w:vertAlign w:val="baseline"/>
                      <w:lang w:val="en-US" w:eastAsia="zh-CN" w:bidi="ar"/>
                    </w:rPr>
                    <w:t>废金属丝</w:t>
                  </w:r>
                  <w:r>
                    <w:rPr>
                      <w:rFonts w:hint="eastAsia" w:ascii="宋体" w:hAnsi="宋体" w:cs="宋体"/>
                      <w:color w:val="auto"/>
                      <w:kern w:val="0"/>
                      <w:sz w:val="21"/>
                      <w:szCs w:val="21"/>
                      <w:highlight w:val="none"/>
                      <w:u w:val="single"/>
                      <w:vertAlign w:val="baseline"/>
                      <w:lang w:val="en-US" w:eastAsia="zh-CN" w:bidi="ar"/>
                    </w:rPr>
                    <w:t>、</w:t>
                  </w:r>
                  <w:r>
                    <w:rPr>
                      <w:rFonts w:hint="eastAsia" w:ascii="宋体" w:hAnsi="宋体" w:eastAsia="宋体" w:cs="宋体"/>
                      <w:color w:val="auto"/>
                      <w:kern w:val="0"/>
                      <w:sz w:val="21"/>
                      <w:szCs w:val="21"/>
                      <w:highlight w:val="none"/>
                      <w:u w:val="single"/>
                      <w:vertAlign w:val="baseline"/>
                      <w:lang w:val="en-US" w:eastAsia="zh-CN" w:bidi="ar"/>
                    </w:rPr>
                    <w:t>金属废屑</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bCs/>
                      <w:color w:val="auto"/>
                      <w:sz w:val="21"/>
                      <w:highlight w:val="none"/>
                      <w:u w:val="single"/>
                    </w:rPr>
                  </w:pPr>
                  <w:r>
                    <w:rPr>
                      <w:rFonts w:hint="eastAsia" w:cs="Times New Roman"/>
                      <w:color w:val="auto"/>
                      <w:kern w:val="0"/>
                      <w:sz w:val="21"/>
                      <w:szCs w:val="21"/>
                      <w:highlight w:val="none"/>
                      <w:u w:val="single"/>
                      <w:vertAlign w:val="baseline"/>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u w:val="single"/>
                      <w:vertAlign w:val="baseline"/>
                      <w:lang w:val="en-US" w:eastAsia="zh-CN" w:bidi="ar"/>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cs="宋体"/>
                      <w:color w:val="auto"/>
                      <w:kern w:val="0"/>
                      <w:sz w:val="21"/>
                      <w:szCs w:val="21"/>
                      <w:highlight w:val="none"/>
                      <w:u w:val="single"/>
                      <w:vertAlign w:val="baseline"/>
                      <w:lang w:val="en-US" w:eastAsia="zh-CN" w:bidi="ar"/>
                    </w:rPr>
                    <w:t>涂膜</w:t>
                  </w:r>
                  <w:r>
                    <w:rPr>
                      <w:rFonts w:hint="eastAsia" w:ascii="宋体" w:hAnsi="宋体" w:eastAsia="宋体" w:cs="宋体"/>
                      <w:color w:val="auto"/>
                      <w:kern w:val="0"/>
                      <w:sz w:val="21"/>
                      <w:szCs w:val="21"/>
                      <w:highlight w:val="none"/>
                      <w:u w:val="single"/>
                      <w:vertAlign w:val="baseline"/>
                      <w:lang w:val="en-US" w:eastAsia="zh-CN" w:bidi="ar"/>
                    </w:rPr>
                    <w:t>渣</w:t>
                  </w:r>
                </w:p>
              </w:tc>
              <w:tc>
                <w:tcPr>
                  <w:tcW w:w="1971"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eastAsia"/>
                      <w:bCs/>
                      <w:color w:val="auto"/>
                      <w:sz w:val="21"/>
                      <w:highlight w:val="none"/>
                      <w:u w:val="single"/>
                    </w:rPr>
                  </w:pPr>
                  <w:r>
                    <w:rPr>
                      <w:rFonts w:hint="eastAsia" w:ascii="Times New Roman" w:hAnsi="Times New Roman" w:eastAsia="宋体" w:cs="Times New Roman"/>
                      <w:color w:val="auto"/>
                      <w:kern w:val="0"/>
                      <w:sz w:val="21"/>
                      <w:szCs w:val="21"/>
                      <w:highlight w:val="none"/>
                      <w:u w:val="single"/>
                      <w:vertAlign w:val="baseline"/>
                      <w:lang w:val="en-US" w:eastAsia="zh-CN"/>
                    </w:rPr>
                    <w:t>0.</w:t>
                  </w:r>
                  <w:r>
                    <w:rPr>
                      <w:rFonts w:hint="eastAsia" w:cs="Times New Roman"/>
                      <w:color w:val="auto"/>
                      <w:kern w:val="0"/>
                      <w:sz w:val="21"/>
                      <w:szCs w:val="21"/>
                      <w:highlight w:val="none"/>
                      <w:u w:val="singl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u w:val="single"/>
                      <w:vertAlign w:val="baseline"/>
                      <w:lang w:val="en-US" w:eastAsia="zh-CN" w:bidi="ar"/>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eastAsia="宋体" w:cs="宋体"/>
                      <w:color w:val="auto"/>
                      <w:kern w:val="0"/>
                      <w:sz w:val="21"/>
                      <w:szCs w:val="21"/>
                      <w:highlight w:val="none"/>
                      <w:u w:val="single"/>
                      <w:vertAlign w:val="baseline"/>
                      <w:lang w:val="en-US" w:eastAsia="zh-CN" w:bidi="ar"/>
                    </w:rPr>
                    <w:t>生活垃圾</w:t>
                  </w:r>
                </w:p>
              </w:tc>
              <w:tc>
                <w:tcPr>
                  <w:tcW w:w="1971"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default" w:eastAsia="宋体"/>
                      <w:bCs/>
                      <w:color w:val="auto"/>
                      <w:sz w:val="21"/>
                      <w:highlight w:val="none"/>
                      <w:u w:val="single"/>
                      <w:lang w:val="en-US" w:eastAsia="zh-CN"/>
                    </w:rPr>
                  </w:pPr>
                  <w:r>
                    <w:rPr>
                      <w:rFonts w:hint="eastAsia" w:cs="Times New Roman"/>
                      <w:color w:val="auto"/>
                      <w:kern w:val="0"/>
                      <w:sz w:val="21"/>
                      <w:szCs w:val="21"/>
                      <w:highlight w:val="none"/>
                      <w:u w:val="singl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u w:val="single"/>
                      <w:vertAlign w:val="baseline"/>
                      <w:lang w:val="en-US" w:eastAsia="zh-CN" w:bidi="ar"/>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eastAsia="宋体" w:cs="宋体"/>
                      <w:color w:val="auto"/>
                      <w:kern w:val="0"/>
                      <w:sz w:val="21"/>
                      <w:szCs w:val="21"/>
                      <w:highlight w:val="none"/>
                      <w:u w:val="single"/>
                      <w:vertAlign w:val="baseline"/>
                      <w:lang w:val="en-US" w:eastAsia="zh-CN" w:bidi="ar"/>
                    </w:rPr>
                    <w:t>炉渣</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bCs/>
                      <w:color w:val="auto"/>
                      <w:sz w:val="21"/>
                      <w:highlight w:val="none"/>
                      <w:u w:val="single"/>
                    </w:rPr>
                  </w:pPr>
                  <w:r>
                    <w:rPr>
                      <w:rFonts w:hint="eastAsia" w:cs="Times New Roman"/>
                      <w:color w:val="auto"/>
                      <w:kern w:val="0"/>
                      <w:sz w:val="21"/>
                      <w:szCs w:val="21"/>
                      <w:highlight w:val="none"/>
                      <w:u w:val="single"/>
                      <w:vertAlign w:val="baseline"/>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u w:val="single"/>
                      <w:vertAlign w:val="baseline"/>
                      <w:lang w:val="en-US" w:eastAsia="zh-CN" w:bidi="ar"/>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eastAsia" w:eastAsia="宋体"/>
                      <w:color w:val="auto"/>
                      <w:sz w:val="21"/>
                      <w:szCs w:val="21"/>
                      <w:highlight w:val="none"/>
                      <w:u w:val="single"/>
                      <w:lang w:eastAsia="zh-CN"/>
                    </w:rPr>
                  </w:pPr>
                  <w:r>
                    <w:rPr>
                      <w:rFonts w:hint="eastAsia" w:ascii="宋体" w:hAnsi="宋体" w:eastAsia="宋体" w:cs="宋体"/>
                      <w:color w:val="auto"/>
                      <w:kern w:val="0"/>
                      <w:sz w:val="21"/>
                      <w:szCs w:val="21"/>
                      <w:highlight w:val="none"/>
                      <w:u w:val="single"/>
                      <w:vertAlign w:val="baseline"/>
                      <w:lang w:val="en-US" w:eastAsia="zh-CN" w:bidi="ar"/>
                    </w:rPr>
                    <w:t>废润滑油、含油抹布等</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bCs/>
                      <w:color w:val="auto"/>
                      <w:sz w:val="21"/>
                      <w:highlight w:val="none"/>
                      <w:u w:val="single"/>
                    </w:rPr>
                  </w:pPr>
                  <w:r>
                    <w:rPr>
                      <w:rFonts w:hint="eastAsia" w:cs="Times New Roman"/>
                      <w:color w:val="auto"/>
                      <w:kern w:val="0"/>
                      <w:sz w:val="21"/>
                      <w:szCs w:val="21"/>
                      <w:highlight w:val="none"/>
                      <w:u w:val="single"/>
                      <w:vertAlign w:val="baseli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pStyle w:val="25"/>
                    <w:widowControl w:val="0"/>
                    <w:overflowPunct w:val="0"/>
                    <w:autoSpaceDE w:val="0"/>
                    <w:autoSpaceDN w:val="0"/>
                    <w:adjustRightInd w:val="0"/>
                    <w:snapToGrid w:val="0"/>
                    <w:spacing w:before="81" w:beforeLines="25" w:beforeAutospacing="0" w:after="0" w:afterAutospacing="0" w:line="240" w:lineRule="auto"/>
                    <w:jc w:val="center"/>
                    <w:textAlignment w:val="baseline"/>
                    <w:rPr>
                      <w:rFonts w:hint="eastAsia" w:ascii="Times New Roman" w:hAnsi="Times New Roman" w:eastAsia="宋体" w:cs="Times New Roman"/>
                      <w:color w:val="auto"/>
                      <w:sz w:val="21"/>
                      <w:szCs w:val="21"/>
                      <w:u w:val="single"/>
                      <w:lang w:eastAsia="zh-CN"/>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color w:val="auto"/>
                      <w:sz w:val="21"/>
                      <w:szCs w:val="21"/>
                      <w:highlight w:val="none"/>
                      <w:u w:val="single"/>
                    </w:rPr>
                  </w:pPr>
                  <w:r>
                    <w:rPr>
                      <w:rFonts w:hint="eastAsia" w:ascii="宋体" w:hAnsi="宋体" w:eastAsia="宋体" w:cs="宋体"/>
                      <w:color w:val="auto"/>
                      <w:kern w:val="0"/>
                      <w:sz w:val="21"/>
                      <w:szCs w:val="21"/>
                      <w:highlight w:val="none"/>
                      <w:u w:val="single"/>
                      <w:vertAlign w:val="baseline"/>
                      <w:lang w:val="en-US" w:eastAsia="zh-CN" w:bidi="ar"/>
                    </w:rPr>
                    <w:t>污泥</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bCs/>
                      <w:color w:val="auto"/>
                      <w:sz w:val="21"/>
                      <w:highlight w:val="none"/>
                      <w:u w:val="single"/>
                    </w:rPr>
                  </w:pPr>
                  <w:r>
                    <w:rPr>
                      <w:rFonts w:hint="eastAsia" w:cs="Times New Roman"/>
                      <w:color w:val="auto"/>
                      <w:kern w:val="0"/>
                      <w:sz w:val="21"/>
                      <w:szCs w:val="21"/>
                      <w:highlight w:val="none"/>
                      <w:u w:val="single"/>
                      <w:vertAlign w:val="baseli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vMerge w:val="continue"/>
                  <w:noWrap w:val="0"/>
                  <w:vAlign w:val="center"/>
                </w:tcPr>
                <w:p>
                  <w:pPr>
                    <w:pStyle w:val="25"/>
                    <w:widowControl w:val="0"/>
                    <w:overflowPunct w:val="0"/>
                    <w:autoSpaceDE w:val="0"/>
                    <w:autoSpaceDN w:val="0"/>
                    <w:adjustRightInd w:val="0"/>
                    <w:snapToGrid w:val="0"/>
                    <w:spacing w:before="81" w:beforeLines="25" w:beforeAutospacing="0" w:after="0" w:afterAutospacing="0" w:line="240" w:lineRule="auto"/>
                    <w:jc w:val="center"/>
                    <w:textAlignment w:val="baseline"/>
                    <w:rPr>
                      <w:rFonts w:hint="eastAsia" w:ascii="Times New Roman" w:hAnsi="Times New Roman" w:eastAsia="宋体" w:cs="Times New Roman"/>
                      <w:color w:val="auto"/>
                      <w:sz w:val="21"/>
                      <w:szCs w:val="21"/>
                      <w:u w:val="single"/>
                      <w:lang w:eastAsia="zh-CN"/>
                    </w:rPr>
                  </w:pPr>
                </w:p>
              </w:tc>
              <w:tc>
                <w:tcPr>
                  <w:tcW w:w="1837" w:type="pct"/>
                  <w:noWrap w:val="0"/>
                  <w:vAlign w:val="center"/>
                </w:tcPr>
                <w:p>
                  <w:pPr>
                    <w:keepNext w:val="0"/>
                    <w:keepLines w:val="0"/>
                    <w:widowControl w:val="0"/>
                    <w:suppressLineNumbers w:val="0"/>
                    <w:adjustRightInd w:val="0"/>
                    <w:snapToGrid w:val="0"/>
                    <w:spacing w:before="0" w:beforeLines="0" w:beforeAutospacing="0" w:after="0" w:afterLines="0" w:afterAutospacing="0" w:line="240" w:lineRule="atLeast"/>
                    <w:ind w:left="0" w:leftChars="0" w:right="0" w:rightChars="0" w:firstLine="0" w:firstLineChars="0"/>
                    <w:jc w:val="center"/>
                    <w:textAlignment w:val="baseline"/>
                    <w:rPr>
                      <w:rFonts w:hint="eastAsia" w:ascii="宋体" w:hAnsi="宋体" w:eastAsia="宋体" w:cs="宋体"/>
                      <w:color w:val="auto"/>
                      <w:kern w:val="0"/>
                      <w:sz w:val="21"/>
                      <w:szCs w:val="21"/>
                      <w:u w:val="single"/>
                      <w:vertAlign w:val="baseline"/>
                      <w:lang w:val="en-US" w:eastAsia="zh-CN" w:bidi="ar"/>
                    </w:rPr>
                  </w:pPr>
                  <w:r>
                    <w:rPr>
                      <w:rFonts w:hint="eastAsia" w:ascii="宋体" w:hAnsi="宋体" w:cs="宋体"/>
                      <w:color w:val="auto"/>
                      <w:kern w:val="0"/>
                      <w:sz w:val="21"/>
                      <w:szCs w:val="21"/>
                      <w:highlight w:val="none"/>
                      <w:u w:val="single"/>
                      <w:vertAlign w:val="baseline"/>
                      <w:lang w:val="en-US" w:eastAsia="zh-CN" w:bidi="ar"/>
                    </w:rPr>
                    <w:t>废乳化液</w:t>
                  </w:r>
                </w:p>
              </w:tc>
              <w:tc>
                <w:tcPr>
                  <w:tcW w:w="1971" w:type="pct"/>
                  <w:noWrap w:val="0"/>
                  <w:vAlign w:val="center"/>
                </w:tcPr>
                <w:p>
                  <w:pPr>
                    <w:keepNext w:val="0"/>
                    <w:keepLines w:val="0"/>
                    <w:widowControl w:val="0"/>
                    <w:suppressLineNumbers w:val="0"/>
                    <w:adjustRightInd w:val="0"/>
                    <w:snapToGrid w:val="0"/>
                    <w:spacing w:before="0" w:beforeAutospacing="0" w:after="0" w:afterAutospacing="0" w:line="240" w:lineRule="atLeast"/>
                    <w:ind w:left="0" w:leftChars="0" w:right="0" w:rightChars="0" w:firstLine="0" w:firstLineChars="0"/>
                    <w:jc w:val="center"/>
                    <w:textAlignment w:val="baseline"/>
                    <w:rPr>
                      <w:rFonts w:hint="eastAsia" w:ascii="Times New Roman" w:hAnsi="Times New Roman" w:eastAsia="宋体" w:cs="Times New Roman"/>
                      <w:color w:val="auto"/>
                      <w:kern w:val="0"/>
                      <w:sz w:val="21"/>
                      <w:szCs w:val="21"/>
                      <w:u w:val="single"/>
                      <w:vertAlign w:val="baseline"/>
                      <w:lang w:val="en-US" w:eastAsia="zh-CN" w:bidi="ar"/>
                    </w:rPr>
                  </w:pPr>
                  <w:r>
                    <w:rPr>
                      <w:rFonts w:hint="eastAsia" w:cs="Times New Roman"/>
                      <w:color w:val="auto"/>
                      <w:kern w:val="0"/>
                      <w:sz w:val="21"/>
                      <w:szCs w:val="21"/>
                      <w:highlight w:val="none"/>
                      <w:u w:val="single"/>
                      <w:vertAlign w:val="baseli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1" w:type="pct"/>
                  <w:noWrap w:val="0"/>
                  <w:vAlign w:val="center"/>
                </w:tcPr>
                <w:p>
                  <w:pPr>
                    <w:pStyle w:val="25"/>
                    <w:widowControl w:val="0"/>
                    <w:autoSpaceDE w:val="0"/>
                    <w:autoSpaceDN w:val="0"/>
                    <w:adjustRightInd w:val="0"/>
                    <w:spacing w:before="1" w:beforeAutospacing="0" w:after="0" w:afterAutospacing="0" w:line="240" w:lineRule="auto"/>
                    <w:jc w:val="center"/>
                    <w:rPr>
                      <w:rFonts w:ascii="Times New Roman" w:hAnsi="Times New Roman" w:cs="Times New Roman"/>
                      <w:color w:val="auto"/>
                      <w:sz w:val="21"/>
                      <w:szCs w:val="21"/>
                      <w:u w:val="single"/>
                    </w:rPr>
                  </w:pPr>
                  <w:r>
                    <w:rPr>
                      <w:rFonts w:ascii="Times New Roman" w:hAnsi="Times New Roman" w:cs="Times New Roman"/>
                      <w:color w:val="auto"/>
                      <w:sz w:val="21"/>
                      <w:szCs w:val="21"/>
                      <w:u w:val="single"/>
                      <w:lang w:bidi="ar"/>
                    </w:rPr>
                    <w:t>噪声</w:t>
                  </w:r>
                </w:p>
              </w:tc>
              <w:tc>
                <w:tcPr>
                  <w:tcW w:w="1837" w:type="pct"/>
                  <w:noWrap w:val="0"/>
                  <w:vAlign w:val="center"/>
                </w:tcPr>
                <w:p>
                  <w:pPr>
                    <w:pStyle w:val="25"/>
                    <w:widowControl w:val="0"/>
                    <w:autoSpaceDE w:val="0"/>
                    <w:autoSpaceDN w:val="0"/>
                    <w:adjustRightInd w:val="0"/>
                    <w:spacing w:before="0" w:beforeAutospacing="0" w:after="0" w:afterAutospacing="0" w:line="240" w:lineRule="auto"/>
                    <w:ind w:left="34" w:right="33"/>
                    <w:jc w:val="center"/>
                    <w:rPr>
                      <w:rFonts w:ascii="Times New Roman" w:hAnsi="Times New Roman" w:cs="Times New Roman"/>
                      <w:color w:val="auto"/>
                      <w:sz w:val="21"/>
                      <w:szCs w:val="21"/>
                      <w:highlight w:val="none"/>
                      <w:u w:val="single"/>
                    </w:rPr>
                  </w:pPr>
                  <w:r>
                    <w:rPr>
                      <w:rFonts w:hint="eastAsia"/>
                      <w:color w:val="auto"/>
                      <w:sz w:val="21"/>
                      <w:szCs w:val="21"/>
                      <w:highlight w:val="none"/>
                      <w:u w:val="single"/>
                      <w:lang w:bidi="ar"/>
                    </w:rPr>
                    <w:t>各设备的运行噪声</w:t>
                  </w:r>
                </w:p>
              </w:tc>
              <w:tc>
                <w:tcPr>
                  <w:tcW w:w="1971" w:type="pct"/>
                  <w:noWrap w:val="0"/>
                  <w:vAlign w:val="top"/>
                </w:tcPr>
                <w:p>
                  <w:pPr>
                    <w:pStyle w:val="25"/>
                    <w:widowControl w:val="0"/>
                    <w:autoSpaceDE w:val="0"/>
                    <w:autoSpaceDN w:val="0"/>
                    <w:adjustRightInd w:val="0"/>
                    <w:spacing w:before="0" w:beforeAutospacing="0" w:after="0" w:afterAutospacing="0" w:line="240" w:lineRule="auto"/>
                    <w:ind w:left="3"/>
                    <w:jc w:val="center"/>
                    <w:rPr>
                      <w:rFonts w:hint="default" w:eastAsia="宋体"/>
                      <w:color w:val="auto"/>
                      <w:spacing w:val="-1"/>
                      <w:sz w:val="21"/>
                      <w:szCs w:val="21"/>
                      <w:highlight w:val="none"/>
                      <w:u w:val="single"/>
                      <w:lang w:val="en-US" w:eastAsia="zh-CN" w:bidi="ar"/>
                    </w:rPr>
                  </w:pPr>
                  <w:r>
                    <w:rPr>
                      <w:rFonts w:hint="eastAsia" w:ascii="Times New Roman" w:hAnsi="Times New Roman"/>
                      <w:color w:val="auto"/>
                      <w:sz w:val="21"/>
                      <w:highlight w:val="none"/>
                      <w:u w:val="single"/>
                      <w:lang w:val="en-US" w:eastAsia="zh-CN"/>
                    </w:rPr>
                    <w:t>3</w:t>
                  </w:r>
                  <w:r>
                    <w:rPr>
                      <w:rFonts w:hint="eastAsia"/>
                      <w:color w:val="auto"/>
                      <w:spacing w:val="-1"/>
                      <w:sz w:val="21"/>
                      <w:highlight w:val="none"/>
                      <w:u w:val="single"/>
                    </w:rPr>
                    <w:t>类标准</w:t>
                  </w:r>
                  <w:r>
                    <w:rPr>
                      <w:rFonts w:hint="eastAsia"/>
                      <w:color w:val="auto"/>
                      <w:spacing w:val="-1"/>
                      <w:sz w:val="21"/>
                      <w:highlight w:val="none"/>
                      <w:u w:val="single"/>
                      <w:lang w:eastAsia="zh-CN"/>
                    </w:rPr>
                    <w:t>：</w:t>
                  </w:r>
                  <w:r>
                    <w:rPr>
                      <w:rFonts w:hint="eastAsia"/>
                      <w:color w:val="auto"/>
                      <w:spacing w:val="-1"/>
                      <w:sz w:val="21"/>
                      <w:highlight w:val="none"/>
                      <w:u w:val="single"/>
                    </w:rPr>
                    <w:t>昼间</w:t>
                  </w:r>
                  <w:r>
                    <w:rPr>
                      <w:rFonts w:ascii="Times New Roman" w:hAnsi="Times New Roman"/>
                      <w:color w:val="auto"/>
                      <w:spacing w:val="-1"/>
                      <w:sz w:val="21"/>
                      <w:highlight w:val="none"/>
                      <w:u w:val="single"/>
                    </w:rPr>
                    <w:t>≤6</w:t>
                  </w:r>
                  <w:r>
                    <w:rPr>
                      <w:rFonts w:hint="eastAsia" w:ascii="Times New Roman" w:hAnsi="Times New Roman"/>
                      <w:color w:val="auto"/>
                      <w:spacing w:val="-1"/>
                      <w:sz w:val="21"/>
                      <w:highlight w:val="none"/>
                      <w:u w:val="single"/>
                      <w:lang w:val="en-US" w:eastAsia="zh-CN"/>
                    </w:rPr>
                    <w:t>5</w:t>
                  </w:r>
                  <w:r>
                    <w:rPr>
                      <w:rFonts w:ascii="Times New Roman" w:hAnsi="Times New Roman"/>
                      <w:color w:val="auto"/>
                      <w:spacing w:val="-1"/>
                      <w:sz w:val="21"/>
                      <w:highlight w:val="none"/>
                      <w:u w:val="single"/>
                    </w:rPr>
                    <w:t>dB(A)</w:t>
                  </w:r>
                  <w:r>
                    <w:rPr>
                      <w:rFonts w:hint="eastAsia"/>
                      <w:color w:val="auto"/>
                      <w:spacing w:val="-1"/>
                      <w:sz w:val="21"/>
                      <w:highlight w:val="none"/>
                      <w:u w:val="single"/>
                    </w:rPr>
                    <w:t>，夜间</w:t>
                  </w:r>
                  <w:r>
                    <w:rPr>
                      <w:rFonts w:ascii="Times New Roman" w:hAnsi="Times New Roman"/>
                      <w:color w:val="auto"/>
                      <w:spacing w:val="-1"/>
                      <w:sz w:val="21"/>
                      <w:highlight w:val="none"/>
                      <w:u w:val="single"/>
                    </w:rPr>
                    <w:t>≤5</w:t>
                  </w:r>
                  <w:r>
                    <w:rPr>
                      <w:rFonts w:hint="eastAsia" w:ascii="Times New Roman" w:hAnsi="Times New Roman"/>
                      <w:color w:val="auto"/>
                      <w:spacing w:val="-1"/>
                      <w:sz w:val="21"/>
                      <w:highlight w:val="none"/>
                      <w:u w:val="single"/>
                      <w:lang w:val="en-US" w:eastAsia="zh-CN"/>
                    </w:rPr>
                    <w:t>5</w:t>
                  </w:r>
                  <w:r>
                    <w:rPr>
                      <w:rFonts w:ascii="Times New Roman" w:hAnsi="Times New Roman"/>
                      <w:color w:val="auto"/>
                      <w:spacing w:val="-1"/>
                      <w:sz w:val="21"/>
                      <w:highlight w:val="none"/>
                      <w:u w:val="single"/>
                    </w:rPr>
                    <w:t>dB(A)</w:t>
                  </w:r>
                  <w:r>
                    <w:rPr>
                      <w:rFonts w:hint="eastAsia" w:ascii="Times New Roman" w:hAnsi="Times New Roman"/>
                      <w:color w:val="auto"/>
                      <w:spacing w:val="-1"/>
                      <w:sz w:val="21"/>
                      <w:highlight w:val="none"/>
                      <w:u w:val="single"/>
                      <w:lang w:eastAsia="zh-CN"/>
                    </w:rPr>
                    <w:t>；</w:t>
                  </w:r>
                  <w:r>
                    <w:rPr>
                      <w:rFonts w:hint="eastAsia" w:ascii="Times New Roman" w:hAnsi="Times New Roman"/>
                      <w:color w:val="auto"/>
                      <w:spacing w:val="-1"/>
                      <w:sz w:val="21"/>
                      <w:highlight w:val="none"/>
                      <w:u w:val="single"/>
                      <w:lang w:val="en-US" w:eastAsia="zh-CN"/>
                    </w:rPr>
                    <w:t>4类标准：</w:t>
                  </w:r>
                  <w:r>
                    <w:rPr>
                      <w:rFonts w:hint="eastAsia"/>
                      <w:color w:val="auto"/>
                      <w:spacing w:val="-1"/>
                      <w:sz w:val="21"/>
                      <w:highlight w:val="none"/>
                      <w:u w:val="single"/>
                    </w:rPr>
                    <w:t>昼间</w:t>
                  </w:r>
                  <w:r>
                    <w:rPr>
                      <w:rFonts w:ascii="Times New Roman" w:hAnsi="Times New Roman"/>
                      <w:color w:val="auto"/>
                      <w:spacing w:val="-1"/>
                      <w:sz w:val="21"/>
                      <w:highlight w:val="none"/>
                      <w:u w:val="single"/>
                    </w:rPr>
                    <w:t>≤</w:t>
                  </w:r>
                  <w:r>
                    <w:rPr>
                      <w:rFonts w:hint="eastAsia" w:ascii="Times New Roman" w:hAnsi="Times New Roman"/>
                      <w:color w:val="auto"/>
                      <w:spacing w:val="-1"/>
                      <w:sz w:val="21"/>
                      <w:highlight w:val="none"/>
                      <w:u w:val="single"/>
                      <w:lang w:val="en-US" w:eastAsia="zh-CN"/>
                    </w:rPr>
                    <w:t>70</w:t>
                  </w:r>
                  <w:r>
                    <w:rPr>
                      <w:rFonts w:ascii="Times New Roman" w:hAnsi="Times New Roman"/>
                      <w:color w:val="auto"/>
                      <w:spacing w:val="-1"/>
                      <w:sz w:val="21"/>
                      <w:highlight w:val="none"/>
                      <w:u w:val="single"/>
                    </w:rPr>
                    <w:t>dB(A)</w:t>
                  </w:r>
                  <w:r>
                    <w:rPr>
                      <w:rFonts w:hint="eastAsia"/>
                      <w:color w:val="auto"/>
                      <w:spacing w:val="-1"/>
                      <w:sz w:val="21"/>
                      <w:highlight w:val="none"/>
                      <w:u w:val="single"/>
                    </w:rPr>
                    <w:t>，夜间</w:t>
                  </w:r>
                  <w:r>
                    <w:rPr>
                      <w:rFonts w:ascii="Times New Roman" w:hAnsi="Times New Roman"/>
                      <w:color w:val="auto"/>
                      <w:spacing w:val="-1"/>
                      <w:sz w:val="21"/>
                      <w:highlight w:val="none"/>
                      <w:u w:val="single"/>
                    </w:rPr>
                    <w:t>≤</w:t>
                  </w:r>
                  <w:r>
                    <w:rPr>
                      <w:rFonts w:hint="eastAsia" w:ascii="Times New Roman" w:hAnsi="Times New Roman"/>
                      <w:color w:val="auto"/>
                      <w:spacing w:val="-1"/>
                      <w:sz w:val="21"/>
                      <w:highlight w:val="none"/>
                      <w:u w:val="single"/>
                      <w:lang w:val="en-US" w:eastAsia="zh-CN"/>
                    </w:rPr>
                    <w:t>55</w:t>
                  </w:r>
                  <w:r>
                    <w:rPr>
                      <w:rFonts w:ascii="Times New Roman" w:hAnsi="Times New Roman"/>
                      <w:color w:val="auto"/>
                      <w:spacing w:val="-1"/>
                      <w:sz w:val="21"/>
                      <w:highlight w:val="none"/>
                      <w:u w:val="single"/>
                    </w:rPr>
                    <w:t>dB(A)</w:t>
                  </w:r>
                </w:p>
              </w:tc>
            </w:tr>
          </w:tbl>
          <w:p>
            <w:pPr>
              <w:pStyle w:val="25"/>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cs="Times New Roman"/>
                <w:b/>
                <w:bCs/>
                <w:color w:val="auto"/>
                <w:kern w:val="0"/>
                <w:sz w:val="24"/>
                <w:szCs w:val="24"/>
                <w:u w:val="none"/>
                <w:lang w:val="en-US" w:eastAsia="zh-CN" w:bidi="ar"/>
              </w:rPr>
              <w:t>7、</w:t>
            </w:r>
            <w:r>
              <w:rPr>
                <w:rFonts w:hint="eastAsia" w:ascii="Times New Roman" w:hAnsi="Times New Roman" w:eastAsia="宋体" w:cs="Times New Roman"/>
                <w:b/>
                <w:bCs/>
                <w:color w:val="auto"/>
                <w:kern w:val="0"/>
                <w:sz w:val="24"/>
                <w:szCs w:val="24"/>
                <w:u w:val="none"/>
                <w:lang w:val="en-US" w:eastAsia="zh-CN" w:bidi="ar"/>
              </w:rPr>
              <w:t>现有工程环评批复落实情况</w:t>
            </w:r>
          </w:p>
          <w:p>
            <w:pPr>
              <w:pStyle w:val="25"/>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lang w:val="en-US" w:eastAsia="zh-CN" w:bidi="ar"/>
              </w:rPr>
              <w:t>现有工程由原岳阳市环保局于201</w:t>
            </w:r>
            <w:r>
              <w:rPr>
                <w:rFonts w:hint="default" w:ascii="Times New Roman" w:hAnsi="Times New Roman" w:cs="Times New Roman"/>
                <w:color w:val="auto"/>
                <w:kern w:val="0"/>
                <w:sz w:val="24"/>
                <w:szCs w:val="24"/>
                <w:highlight w:val="none"/>
                <w:u w:val="none"/>
                <w:lang w:val="en-US" w:eastAsia="zh-CN" w:bidi="ar"/>
              </w:rPr>
              <w:t>1</w:t>
            </w:r>
            <w:r>
              <w:rPr>
                <w:rFonts w:hint="default" w:ascii="Times New Roman" w:hAnsi="Times New Roman" w:eastAsia="宋体" w:cs="Times New Roman"/>
                <w:color w:val="auto"/>
                <w:kern w:val="0"/>
                <w:sz w:val="24"/>
                <w:szCs w:val="24"/>
                <w:highlight w:val="none"/>
                <w:u w:val="none"/>
                <w:lang w:val="en-US" w:eastAsia="zh-CN" w:bidi="ar"/>
              </w:rPr>
              <w:t>年</w:t>
            </w:r>
            <w:r>
              <w:rPr>
                <w:rFonts w:hint="default" w:ascii="Times New Roman" w:hAnsi="Times New Roman" w:cs="Times New Roman"/>
                <w:color w:val="auto"/>
                <w:kern w:val="0"/>
                <w:sz w:val="24"/>
                <w:szCs w:val="24"/>
                <w:highlight w:val="none"/>
                <w:u w:val="none"/>
                <w:lang w:val="en-US" w:eastAsia="zh-CN" w:bidi="ar"/>
              </w:rPr>
              <w:t>12</w:t>
            </w:r>
            <w:r>
              <w:rPr>
                <w:rFonts w:hint="default" w:ascii="Times New Roman" w:hAnsi="Times New Roman" w:eastAsia="宋体" w:cs="Times New Roman"/>
                <w:color w:val="auto"/>
                <w:kern w:val="0"/>
                <w:sz w:val="24"/>
                <w:szCs w:val="24"/>
                <w:highlight w:val="none"/>
                <w:u w:val="none"/>
                <w:lang w:val="en-US" w:eastAsia="zh-CN" w:bidi="ar"/>
              </w:rPr>
              <w:t>月</w:t>
            </w:r>
            <w:r>
              <w:rPr>
                <w:rFonts w:hint="default" w:ascii="Times New Roman" w:hAnsi="Times New Roman" w:cs="Times New Roman"/>
                <w:color w:val="auto"/>
                <w:kern w:val="0"/>
                <w:sz w:val="24"/>
                <w:szCs w:val="24"/>
                <w:highlight w:val="none"/>
                <w:u w:val="none"/>
                <w:lang w:val="en-US" w:eastAsia="zh-CN" w:bidi="ar"/>
              </w:rPr>
              <w:t>16</w:t>
            </w:r>
            <w:r>
              <w:rPr>
                <w:rFonts w:hint="default" w:ascii="Times New Roman" w:hAnsi="Times New Roman" w:eastAsia="宋体" w:cs="Times New Roman"/>
                <w:color w:val="auto"/>
                <w:kern w:val="0"/>
                <w:sz w:val="24"/>
                <w:szCs w:val="24"/>
                <w:highlight w:val="none"/>
                <w:u w:val="none"/>
                <w:lang w:val="en-US" w:eastAsia="zh-CN" w:bidi="ar"/>
              </w:rPr>
              <w:t>日以“岳环评批［2011］101号”文予以批复，</w:t>
            </w:r>
            <w:r>
              <w:rPr>
                <w:rFonts w:hint="default" w:ascii="Times New Roman" w:hAnsi="Times New Roman" w:cs="Times New Roman"/>
                <w:color w:val="auto"/>
                <w:kern w:val="0"/>
                <w:sz w:val="24"/>
                <w:szCs w:val="24"/>
                <w:highlight w:val="none"/>
                <w:u w:val="none"/>
                <w:lang w:val="en-US" w:eastAsia="zh-CN" w:bidi="ar"/>
              </w:rPr>
              <w:t>2013年5月20日通过环评补充说明，</w:t>
            </w:r>
            <w:r>
              <w:rPr>
                <w:rFonts w:hint="default" w:ascii="Times New Roman" w:hAnsi="Times New Roman" w:eastAsia="宋体" w:cs="Times New Roman"/>
                <w:color w:val="auto"/>
                <w:kern w:val="0"/>
                <w:sz w:val="24"/>
                <w:szCs w:val="24"/>
                <w:highlight w:val="none"/>
                <w:u w:val="none"/>
                <w:lang w:val="en-US" w:eastAsia="zh-CN" w:bidi="ar"/>
              </w:rPr>
              <w:t>环评批复执行情况统计如下：</w:t>
            </w:r>
          </w:p>
          <w:p>
            <w:pPr>
              <w:keepNext w:val="0"/>
              <w:keepLines w:val="0"/>
              <w:widowControl w:val="0"/>
              <w:suppressLineNumbers w:val="0"/>
              <w:spacing w:before="0" w:beforeAutospacing="0" w:after="0" w:afterAutospacing="0" w:line="240" w:lineRule="auto"/>
              <w:ind w:left="0" w:right="0" w:firstLine="422"/>
              <w:jc w:val="center"/>
              <w:rPr>
                <w:rFonts w:hint="eastAsia" w:ascii="Times New Roman" w:hAnsi="Times New Roman" w:eastAsia="宋体" w:cs="Times New Roman"/>
                <w:b/>
                <w:bCs/>
                <w:color w:val="auto"/>
                <w:kern w:val="2"/>
                <w:sz w:val="24"/>
                <w:szCs w:val="24"/>
                <w:u w:val="none"/>
              </w:rPr>
            </w:pPr>
            <w:r>
              <w:rPr>
                <w:rFonts w:hint="eastAsia" w:ascii="宋体" w:hAnsi="宋体" w:eastAsia="宋体" w:cs="宋体"/>
                <w:b/>
                <w:bCs/>
                <w:color w:val="auto"/>
                <w:kern w:val="2"/>
                <w:sz w:val="24"/>
                <w:szCs w:val="24"/>
                <w:u w:val="none"/>
                <w:lang w:val="en-US" w:eastAsia="zh-CN" w:bidi="ar"/>
              </w:rPr>
              <w:t>表</w:t>
            </w:r>
            <w:r>
              <w:rPr>
                <w:rFonts w:hint="eastAsia" w:cs="Times New Roman"/>
                <w:b/>
                <w:bCs/>
                <w:color w:val="auto"/>
                <w:kern w:val="2"/>
                <w:sz w:val="24"/>
                <w:szCs w:val="24"/>
                <w:u w:val="none"/>
                <w:lang w:val="en-US" w:eastAsia="zh-CN" w:bidi="ar"/>
              </w:rPr>
              <w:t>2.10-11</w:t>
            </w:r>
            <w:r>
              <w:rPr>
                <w:rFonts w:hint="eastAsia" w:ascii="宋体" w:hAnsi="宋体" w:eastAsia="宋体" w:cs="宋体"/>
                <w:b/>
                <w:bCs/>
                <w:color w:val="auto"/>
                <w:kern w:val="2"/>
                <w:sz w:val="24"/>
                <w:szCs w:val="24"/>
                <w:u w:val="none"/>
                <w:lang w:val="en-US" w:eastAsia="zh-CN" w:bidi="ar"/>
              </w:rPr>
              <w:t>现有工程环评执行情况统计表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3304"/>
              <w:gridCol w:w="2052"/>
              <w:gridCol w:w="285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sz w:val="21"/>
                      <w:szCs w:val="21"/>
                    </w:rPr>
                  </w:pPr>
                  <w:r>
                    <w:rPr>
                      <w:b/>
                      <w:bCs w:val="0"/>
                      <w:color w:val="auto"/>
                      <w:sz w:val="21"/>
                      <w:szCs w:val="21"/>
                    </w:rPr>
                    <w:t>序号</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sz w:val="21"/>
                      <w:szCs w:val="21"/>
                    </w:rPr>
                  </w:pPr>
                  <w:r>
                    <w:rPr>
                      <w:b/>
                      <w:bCs w:val="0"/>
                      <w:color w:val="auto"/>
                      <w:sz w:val="21"/>
                      <w:szCs w:val="21"/>
                    </w:rPr>
                    <w:t>环评及批复要求</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val="0"/>
                      <w:color w:val="auto"/>
                      <w:sz w:val="21"/>
                      <w:szCs w:val="21"/>
                      <w:lang w:eastAsia="zh-CN"/>
                    </w:rPr>
                  </w:pPr>
                  <w:r>
                    <w:rPr>
                      <w:rFonts w:hint="eastAsia"/>
                      <w:b/>
                      <w:bCs w:val="0"/>
                      <w:color w:val="auto"/>
                      <w:sz w:val="21"/>
                      <w:szCs w:val="21"/>
                      <w:lang w:eastAsia="zh-CN"/>
                    </w:rPr>
                    <w:t>环评补充说明</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sz w:val="21"/>
                      <w:szCs w:val="21"/>
                    </w:rPr>
                  </w:pPr>
                  <w:r>
                    <w:rPr>
                      <w:b/>
                      <w:bCs w:val="0"/>
                      <w:color w:val="auto"/>
                      <w:sz w:val="21"/>
                      <w:szCs w:val="21"/>
                    </w:rPr>
                    <w:t>企业落实情况</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sz w:val="21"/>
                      <w:szCs w:val="21"/>
                    </w:rPr>
                  </w:pPr>
                  <w:r>
                    <w:rPr>
                      <w:b/>
                      <w:bCs w:val="0"/>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rFonts w:hint="eastAsia"/>
                      <w:bCs/>
                      <w:color w:val="auto"/>
                      <w:sz w:val="21"/>
                      <w:szCs w:val="21"/>
                    </w:rPr>
                    <w:t>1</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采用吸吹式抽风系统收集并通过碱液喷淋塔处理硫酸雾、药芯焊丝和特种焊条生产配料时产生的粉尘采用吸气罩收集并通过布袋除尘器处理达到《大气污染综合排放标准《（GB16297-1996）表2中二级标准要求后由15高烟囱排放</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u w:val="single"/>
                    </w:rPr>
                  </w:pPr>
                  <w:r>
                    <w:rPr>
                      <w:rFonts w:hint="eastAsia"/>
                      <w:bCs/>
                      <w:color w:val="auto"/>
                      <w:sz w:val="21"/>
                      <w:szCs w:val="21"/>
                      <w:u w:val="single"/>
                    </w:rPr>
                    <w:t>生产过程中产生的硫酸雾经碱液喷淋塔处理</w:t>
                  </w:r>
                  <w:r>
                    <w:rPr>
                      <w:rFonts w:hint="eastAsia"/>
                      <w:bCs/>
                      <w:color w:val="auto"/>
                      <w:sz w:val="21"/>
                      <w:szCs w:val="21"/>
                      <w:u w:val="single"/>
                      <w:lang w:eastAsia="zh-CN"/>
                    </w:rPr>
                    <w:t>达到</w:t>
                  </w:r>
                  <w:r>
                    <w:rPr>
                      <w:rFonts w:hint="eastAsia"/>
                      <w:bCs/>
                      <w:color w:val="auto"/>
                      <w:sz w:val="21"/>
                      <w:szCs w:val="21"/>
                      <w:u w:val="single"/>
                    </w:rPr>
                    <w:t>《大气污染综合排放标准《（GB16297-1996）表2中二级标准</w:t>
                  </w:r>
                  <w:r>
                    <w:rPr>
                      <w:rFonts w:hint="eastAsia"/>
                      <w:bCs/>
                      <w:color w:val="auto"/>
                      <w:sz w:val="21"/>
                      <w:szCs w:val="21"/>
                      <w:u w:val="single"/>
                      <w:lang w:eastAsia="zh-CN"/>
                    </w:rPr>
                    <w:t>后</w:t>
                  </w:r>
                  <w:r>
                    <w:rPr>
                      <w:rFonts w:hint="eastAsia"/>
                      <w:bCs/>
                      <w:color w:val="auto"/>
                      <w:sz w:val="21"/>
                      <w:szCs w:val="21"/>
                      <w:u w:val="single"/>
                    </w:rPr>
                    <w:t>经15m高排气筒</w:t>
                  </w:r>
                  <w:r>
                    <w:rPr>
                      <w:rFonts w:hint="eastAsia"/>
                      <w:bCs/>
                      <w:color w:val="auto"/>
                      <w:sz w:val="21"/>
                      <w:szCs w:val="21"/>
                      <w:u w:val="single"/>
                      <w:lang w:eastAsia="zh-CN"/>
                    </w:rPr>
                    <w:t>排放</w:t>
                  </w:r>
                  <w:r>
                    <w:rPr>
                      <w:rFonts w:hint="eastAsia"/>
                      <w:bCs/>
                      <w:color w:val="auto"/>
                      <w:sz w:val="21"/>
                      <w:szCs w:val="21"/>
                      <w:u w:val="singl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bCs/>
                      <w:color w:val="auto"/>
                      <w:sz w:val="21"/>
                      <w:szCs w:val="21"/>
                      <w:u w:val="single"/>
                      <w:lang w:eastAsia="zh-CN"/>
                    </w:rPr>
                  </w:pPr>
                  <w:r>
                    <w:rPr>
                      <w:rFonts w:hint="eastAsia"/>
                      <w:bCs/>
                      <w:color w:val="auto"/>
                      <w:sz w:val="21"/>
                      <w:szCs w:val="21"/>
                      <w:u w:val="single"/>
                    </w:rPr>
                    <w:t>药芯焊丝和特种焊条生产</w:t>
                  </w:r>
                  <w:r>
                    <w:rPr>
                      <w:rFonts w:hint="eastAsia"/>
                      <w:bCs/>
                      <w:color w:val="auto"/>
                      <w:sz w:val="21"/>
                      <w:szCs w:val="21"/>
                      <w:u w:val="single"/>
                      <w:lang w:eastAsia="zh-CN"/>
                    </w:rPr>
                    <w:t>线未</w:t>
                  </w:r>
                  <w:r>
                    <w:rPr>
                      <w:rFonts w:hint="eastAsia"/>
                      <w:color w:val="auto"/>
                      <w:u w:val="single"/>
                      <w:lang w:eastAsia="zh-CN"/>
                    </w:rPr>
                    <w:t>投产，取消建设。</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u w:val="single"/>
                      <w:lang w:eastAsia="zh-CN"/>
                    </w:rPr>
                  </w:pPr>
                  <w:r>
                    <w:rPr>
                      <w:rFonts w:hint="eastAsia"/>
                      <w:bCs/>
                      <w:color w:val="auto"/>
                      <w:sz w:val="21"/>
                      <w:szCs w:val="21"/>
                      <w:u w:val="single"/>
                      <w:lang w:eastAsia="zh-CN"/>
                    </w:rPr>
                    <w:t>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2</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锅炉烟气经脱硫除尘处理满足《锅炉大气污染物排放标准》（GB13271-2001）中Ⅱ时段二类区标准后由30m高烟囱排放；食堂油烟经净化器及抽排风设施处理达到《饮食业油烟排放标准》（GB18483-2001）后外排</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Cs/>
                      <w:color w:val="auto"/>
                      <w:sz w:val="21"/>
                      <w:szCs w:val="21"/>
                      <w:lang w:val="en-US" w:eastAsia="zh-CN"/>
                    </w:rPr>
                  </w:pPr>
                  <w:r>
                    <w:rPr>
                      <w:rFonts w:hint="eastAsia"/>
                      <w:bCs/>
                      <w:color w:val="auto"/>
                      <w:sz w:val="21"/>
                      <w:szCs w:val="21"/>
                      <w:lang w:eastAsia="zh-CN"/>
                    </w:rPr>
                    <w:t>原环评批复文件要求中的“设</w:t>
                  </w:r>
                  <w:r>
                    <w:rPr>
                      <w:rFonts w:hint="eastAsia"/>
                      <w:bCs/>
                      <w:color w:val="auto"/>
                      <w:sz w:val="21"/>
                      <w:szCs w:val="21"/>
                      <w:lang w:val="en-US" w:eastAsia="zh-CN"/>
                    </w:rPr>
                    <w:t>1台2t的热水锅炉，采用无烟煤做燃料</w:t>
                  </w:r>
                  <w:r>
                    <w:rPr>
                      <w:rFonts w:hint="eastAsia"/>
                      <w:bCs/>
                      <w:color w:val="auto"/>
                      <w:sz w:val="21"/>
                      <w:szCs w:val="21"/>
                      <w:lang w:eastAsia="zh-CN"/>
                    </w:rPr>
                    <w:t>”更改为“</w:t>
                  </w:r>
                  <w:r>
                    <w:rPr>
                      <w:rFonts w:hint="eastAsia"/>
                      <w:bCs/>
                      <w:color w:val="auto"/>
                      <w:sz w:val="21"/>
                      <w:szCs w:val="21"/>
                      <w:lang w:val="en-US" w:eastAsia="zh-CN"/>
                    </w:rPr>
                    <w:t>2台1t的热水锅炉，采用无烟煤做燃料</w:t>
                  </w:r>
                  <w:r>
                    <w:rPr>
                      <w:rFonts w:hint="eastAsia"/>
                      <w:bCs/>
                      <w:color w:val="auto"/>
                      <w:sz w:val="21"/>
                      <w:szCs w:val="21"/>
                      <w:lang w:eastAsia="zh-CN"/>
                    </w:rPr>
                    <w:t>”</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rPr>
                    <w:t>采用</w:t>
                  </w:r>
                  <w:r>
                    <w:rPr>
                      <w:rFonts w:hint="eastAsia" w:ascii="Times New Roman" w:hAnsi="Times New Roman" w:cs="Times New Roman"/>
                      <w:color w:val="auto"/>
                      <w:kern w:val="0"/>
                      <w:sz w:val="21"/>
                      <w:szCs w:val="21"/>
                      <w:u w:val="none"/>
                      <w:lang w:val="en-US" w:eastAsia="zh-CN" w:bidi="ar"/>
                    </w:rPr>
                    <w:t>1</w:t>
                  </w:r>
                  <w:r>
                    <w:rPr>
                      <w:rFonts w:hint="default" w:ascii="Times New Roman" w:hAnsi="Times New Roman" w:eastAsia="宋体" w:cs="Times New Roman"/>
                      <w:color w:val="auto"/>
                      <w:kern w:val="0"/>
                      <w:sz w:val="21"/>
                      <w:szCs w:val="21"/>
                      <w:u w:val="none"/>
                      <w:lang w:val="en-US" w:eastAsia="zh-CN" w:bidi="ar"/>
                    </w:rPr>
                    <w:t>台</w:t>
                  </w:r>
                  <w:r>
                    <w:rPr>
                      <w:rFonts w:hint="eastAsia" w:ascii="Times New Roman" w:hAnsi="Times New Roman" w:cs="Times New Roman"/>
                      <w:color w:val="auto"/>
                      <w:kern w:val="0"/>
                      <w:sz w:val="21"/>
                      <w:szCs w:val="21"/>
                      <w:u w:val="none"/>
                      <w:lang w:val="en-US" w:eastAsia="zh-CN" w:bidi="ar"/>
                    </w:rPr>
                    <w:t>0.75t/h</w:t>
                  </w:r>
                  <w:r>
                    <w:rPr>
                      <w:rFonts w:hint="default" w:ascii="Times New Roman" w:hAnsi="Times New Roman" w:eastAsia="宋体" w:cs="Times New Roman"/>
                      <w:color w:val="auto"/>
                      <w:kern w:val="0"/>
                      <w:sz w:val="21"/>
                      <w:szCs w:val="21"/>
                      <w:u w:val="none"/>
                      <w:lang w:val="en-US" w:eastAsia="zh-CN" w:bidi="ar"/>
                    </w:rPr>
                    <w:t>锅炉</w:t>
                  </w:r>
                  <w:r>
                    <w:rPr>
                      <w:rFonts w:hint="eastAsia" w:ascii="Times New Roman" w:hAnsi="Times New Roman" w:cs="Times New Roman"/>
                      <w:color w:val="auto"/>
                      <w:kern w:val="0"/>
                      <w:sz w:val="21"/>
                      <w:szCs w:val="21"/>
                      <w:u w:val="none"/>
                      <w:lang w:val="en-US" w:eastAsia="zh-CN" w:bidi="ar"/>
                    </w:rPr>
                    <w:t>、2</w:t>
                  </w:r>
                  <w:r>
                    <w:rPr>
                      <w:rFonts w:hint="default" w:ascii="Times New Roman" w:hAnsi="Times New Roman" w:eastAsia="宋体" w:cs="Times New Roman"/>
                      <w:color w:val="auto"/>
                      <w:kern w:val="0"/>
                      <w:sz w:val="21"/>
                      <w:szCs w:val="21"/>
                      <w:u w:val="none"/>
                      <w:lang w:val="en-US" w:eastAsia="zh-CN" w:bidi="ar"/>
                    </w:rPr>
                    <w:t>台</w:t>
                  </w:r>
                  <w:r>
                    <w:rPr>
                      <w:rFonts w:hint="eastAsia" w:ascii="Times New Roman" w:hAnsi="Times New Roman" w:cs="Times New Roman"/>
                      <w:color w:val="auto"/>
                      <w:kern w:val="0"/>
                      <w:sz w:val="21"/>
                      <w:szCs w:val="21"/>
                      <w:u w:val="none"/>
                      <w:lang w:val="en-US" w:eastAsia="zh-CN" w:bidi="ar"/>
                    </w:rPr>
                    <w:t>0.35t/h（一用一备）</w:t>
                  </w:r>
                  <w:r>
                    <w:rPr>
                      <w:rFonts w:hint="eastAsia"/>
                      <w:bCs/>
                      <w:color w:val="auto"/>
                      <w:sz w:val="21"/>
                      <w:szCs w:val="21"/>
                    </w:rPr>
                    <w:t>的生物质热水锅炉，烟气经净化设备处置后</w:t>
                  </w:r>
                  <w:r>
                    <w:rPr>
                      <w:rFonts w:hint="eastAsia"/>
                      <w:bCs/>
                      <w:color w:val="auto"/>
                      <w:sz w:val="21"/>
                      <w:szCs w:val="21"/>
                      <w:lang w:eastAsia="zh-CN"/>
                    </w:rPr>
                    <w:t>分别</w:t>
                  </w:r>
                  <w:r>
                    <w:rPr>
                      <w:rFonts w:hint="eastAsia"/>
                      <w:bCs/>
                      <w:color w:val="auto"/>
                      <w:sz w:val="21"/>
                      <w:szCs w:val="21"/>
                    </w:rPr>
                    <w:t>经</w:t>
                  </w:r>
                  <w:r>
                    <w:rPr>
                      <w:rFonts w:hint="eastAsia"/>
                      <w:bCs/>
                      <w:color w:val="auto"/>
                      <w:sz w:val="21"/>
                      <w:szCs w:val="21"/>
                      <w:lang w:val="en-US" w:eastAsia="zh-CN"/>
                    </w:rPr>
                    <w:t>2</w:t>
                  </w:r>
                  <w:r>
                    <w:rPr>
                      <w:rFonts w:hint="eastAsia"/>
                      <w:bCs/>
                      <w:color w:val="auto"/>
                      <w:sz w:val="21"/>
                      <w:szCs w:val="21"/>
                    </w:rPr>
                    <w:t>根</w:t>
                  </w:r>
                  <w:r>
                    <w:rPr>
                      <w:rFonts w:hint="eastAsia"/>
                      <w:bCs/>
                      <w:color w:val="auto"/>
                      <w:sz w:val="21"/>
                      <w:szCs w:val="21"/>
                      <w:lang w:val="en-US" w:eastAsia="zh-CN"/>
                    </w:rPr>
                    <w:t>15</w:t>
                  </w:r>
                  <w:r>
                    <w:rPr>
                      <w:rFonts w:hint="eastAsia"/>
                      <w:bCs/>
                      <w:color w:val="auto"/>
                      <w:sz w:val="21"/>
                      <w:szCs w:val="21"/>
                    </w:rPr>
                    <w:t>m高的烟囱排放</w:t>
                  </w:r>
                  <w:r>
                    <w:rPr>
                      <w:rFonts w:hint="eastAsia"/>
                      <w:bCs/>
                      <w:color w:val="auto"/>
                      <w:sz w:val="21"/>
                      <w:szCs w:val="21"/>
                      <w:lang w:eastAsia="zh-CN"/>
                    </w:rPr>
                    <w:t>，满足</w:t>
                  </w:r>
                  <w:r>
                    <w:rPr>
                      <w:rFonts w:hint="eastAsia"/>
                      <w:bCs/>
                      <w:color w:val="auto"/>
                      <w:sz w:val="21"/>
                      <w:szCs w:val="21"/>
                      <w:lang w:val="en-US" w:eastAsia="zh-CN"/>
                    </w:rPr>
                    <w:t>《锅炉大气污染物排放标准》（GB13271-2014）表3中燃煤特别排放限值要求</w:t>
                  </w:r>
                  <w:r>
                    <w:rPr>
                      <w:rFonts w:hint="eastAsia"/>
                      <w:color w:val="auto"/>
                      <w:lang w:eastAsia="zh-CN"/>
                    </w:rPr>
                    <w:t>，</w:t>
                  </w:r>
                  <w:r>
                    <w:rPr>
                      <w:rFonts w:hint="eastAsia"/>
                      <w:color w:val="auto"/>
                      <w:lang w:val="en-US" w:eastAsia="zh-CN"/>
                    </w:rPr>
                    <w:t>高度不符合要求</w:t>
                  </w:r>
                  <w:r>
                    <w:rPr>
                      <w:rFonts w:hint="eastAsia"/>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bCs/>
                      <w:color w:val="auto"/>
                      <w:sz w:val="21"/>
                      <w:szCs w:val="21"/>
                      <w:lang w:eastAsia="zh-CN"/>
                    </w:rPr>
                  </w:pPr>
                  <w:r>
                    <w:rPr>
                      <w:rFonts w:hint="eastAsia"/>
                      <w:bCs/>
                      <w:color w:val="auto"/>
                      <w:sz w:val="21"/>
                      <w:szCs w:val="21"/>
                    </w:rPr>
                    <w:t>食堂</w:t>
                  </w:r>
                  <w:r>
                    <w:rPr>
                      <w:rFonts w:hint="eastAsia"/>
                      <w:bCs/>
                      <w:color w:val="auto"/>
                      <w:sz w:val="21"/>
                      <w:szCs w:val="21"/>
                      <w:lang w:eastAsia="zh-CN"/>
                    </w:rPr>
                    <w:t>暂未建设</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lang w:eastAsia="zh-CN"/>
                    </w:rPr>
                    <w:t>基本</w:t>
                  </w:r>
                  <w:r>
                    <w:rPr>
                      <w:rFonts w:hint="eastAsia"/>
                      <w:bCs/>
                      <w:color w:val="auto"/>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3</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全厂实行雨污分流。碱液喷淋塔废水经投加氢氧化钠增加碱性后循环使用，不外排；酸电解、碱电解、活化、水洗工序废水及地面拖洗水经隔油后通过中和+絮凝沉淀+陶瓷管过滤+反渗透处理，其主要污染物pH、石油类、COD、SS、Cu</w:t>
                  </w:r>
                  <w:r>
                    <w:rPr>
                      <w:rFonts w:hint="eastAsia"/>
                      <w:bCs/>
                      <w:color w:val="auto"/>
                      <w:sz w:val="21"/>
                      <w:szCs w:val="21"/>
                      <w:vertAlign w:val="superscript"/>
                    </w:rPr>
                    <w:t>2+</w:t>
                  </w:r>
                  <w:r>
                    <w:rPr>
                      <w:rFonts w:hint="eastAsia"/>
                      <w:bCs/>
                      <w:color w:val="auto"/>
                      <w:sz w:val="21"/>
                      <w:szCs w:val="21"/>
                    </w:rPr>
                    <w:t>及Fe</w:t>
                  </w:r>
                  <w:r>
                    <w:rPr>
                      <w:rFonts w:hint="eastAsia"/>
                      <w:bCs/>
                      <w:color w:val="auto"/>
                      <w:sz w:val="21"/>
                      <w:szCs w:val="21"/>
                      <w:vertAlign w:val="superscript"/>
                    </w:rPr>
                    <w:t>2+</w:t>
                  </w:r>
                  <w:r>
                    <w:rPr>
                      <w:rFonts w:hint="eastAsia"/>
                      <w:bCs/>
                      <w:color w:val="auto"/>
                      <w:sz w:val="21"/>
                      <w:szCs w:val="21"/>
                    </w:rPr>
                    <w:t>等达到《污水综合排放标准》（GB8978-1996）表4中一级标准后由湘阴金龙新区污水管网排入湘江樟树港断面；食堂废水经隔油后与生活污水通过地埋式一体化生化处理装置处理达到《污水综合排放标准》（GB8978-1996）表4中一级标准后由污水管网排入湘江。项目各类生产生活废水不得排入附近农灌渠，并建设20m</w:t>
                  </w:r>
                  <w:r>
                    <w:rPr>
                      <w:rFonts w:hint="eastAsia"/>
                      <w:bCs/>
                      <w:color w:val="auto"/>
                      <w:sz w:val="21"/>
                      <w:szCs w:val="21"/>
                      <w:vertAlign w:val="superscript"/>
                    </w:rPr>
                    <w:t>3</w:t>
                  </w:r>
                  <w:r>
                    <w:rPr>
                      <w:rFonts w:hint="eastAsia"/>
                      <w:bCs/>
                      <w:color w:val="auto"/>
                      <w:sz w:val="21"/>
                      <w:szCs w:val="21"/>
                    </w:rPr>
                    <w:t>的事故池防范废水事故排放</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lang w:eastAsia="zh-CN"/>
                    </w:rPr>
                    <w:t>原环评批复文件要求中的生产废水处理工艺为“中和+混凝+沉淀+陶瓷管过滤+反渗透”改为“中和+混凝+沉淀+砂滤”；原环评批复文件要求的“处理后的生产废水全部回用”更改为“处理后生产废水大部分回用，少量达标外排”。</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rPr>
                    <w:t>全厂已实行雨污分流；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rPr>
                    <w:t>碱喷淋废水、水喷淋废水、设备冷却水、硼化废水、</w:t>
                  </w:r>
                  <w:r>
                    <w:rPr>
                      <w:rFonts w:hint="eastAsia"/>
                      <w:bCs/>
                      <w:color w:val="auto"/>
                      <w:sz w:val="21"/>
                      <w:szCs w:val="21"/>
                      <w:lang w:eastAsia="zh-CN"/>
                    </w:rPr>
                    <w:t>涂膜</w:t>
                  </w:r>
                  <w:r>
                    <w:rPr>
                      <w:rFonts w:hint="eastAsia"/>
                      <w:bCs/>
                      <w:color w:val="auto"/>
                      <w:sz w:val="21"/>
                      <w:szCs w:val="21"/>
                    </w:rPr>
                    <w:t>废水</w:t>
                  </w:r>
                  <w:r>
                    <w:rPr>
                      <w:rFonts w:hint="eastAsia"/>
                      <w:bCs/>
                      <w:color w:val="auto"/>
                      <w:sz w:val="21"/>
                      <w:szCs w:val="21"/>
                      <w:lang w:val="en-US" w:eastAsia="zh-CN"/>
                    </w:rPr>
                    <w:t>经沉淀后</w:t>
                  </w:r>
                  <w:r>
                    <w:rPr>
                      <w:rFonts w:hint="eastAsia"/>
                      <w:bCs/>
                      <w:color w:val="auto"/>
                      <w:sz w:val="21"/>
                      <w:szCs w:val="21"/>
                    </w:rPr>
                    <w:t>循环使用，不外排；</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highlight w:val="none"/>
                    </w:rPr>
                  </w:pPr>
                  <w:r>
                    <w:rPr>
                      <w:rFonts w:hint="eastAsia"/>
                      <w:bCs/>
                      <w:color w:val="auto"/>
                      <w:sz w:val="21"/>
                      <w:szCs w:val="21"/>
                    </w:rPr>
                    <w:t>生产废水</w:t>
                  </w:r>
                  <w:r>
                    <w:rPr>
                      <w:rFonts w:hint="eastAsia"/>
                      <w:bCs/>
                      <w:color w:val="auto"/>
                      <w:sz w:val="21"/>
                      <w:szCs w:val="21"/>
                      <w:lang w:eastAsia="zh-CN"/>
                    </w:rPr>
                    <w:t>（</w:t>
                  </w:r>
                  <w:r>
                    <w:rPr>
                      <w:rFonts w:hint="eastAsia"/>
                      <w:bCs/>
                      <w:color w:val="auto"/>
                      <w:sz w:val="21"/>
                      <w:szCs w:val="21"/>
                      <w:lang w:val="en-US" w:eastAsia="zh-CN"/>
                    </w:rPr>
                    <w:t>除锈废水、化学置换废水、酸电解废水、碱电解废水、活化废水、水洗废水、地面拖洗废水</w:t>
                  </w:r>
                  <w:r>
                    <w:rPr>
                      <w:rFonts w:hint="eastAsia"/>
                      <w:bCs/>
                      <w:color w:val="auto"/>
                      <w:sz w:val="21"/>
                      <w:szCs w:val="21"/>
                      <w:lang w:eastAsia="zh-CN"/>
                    </w:rPr>
                    <w:t>）</w:t>
                  </w:r>
                  <w:r>
                    <w:rPr>
                      <w:rFonts w:hint="eastAsia"/>
                      <w:bCs/>
                      <w:color w:val="auto"/>
                      <w:sz w:val="21"/>
                      <w:szCs w:val="21"/>
                    </w:rPr>
                    <w:t>采用“中和+混凝+沉淀+砂滤”工序处理</w:t>
                  </w:r>
                  <w:r>
                    <w:rPr>
                      <w:rFonts w:hint="eastAsia"/>
                      <w:bCs/>
                      <w:color w:val="auto"/>
                      <w:sz w:val="21"/>
                      <w:szCs w:val="21"/>
                      <w:lang w:eastAsia="zh-CN"/>
                    </w:rPr>
                    <w:t>达到</w:t>
                  </w:r>
                  <w:r>
                    <w:rPr>
                      <w:rFonts w:hint="eastAsia"/>
                      <w:color w:val="auto"/>
                      <w:u w:val="none"/>
                      <w:lang w:val="en-US" w:eastAsia="zh-CN"/>
                    </w:rPr>
                    <w:t>《污水综合排放标准》（GB8978-1996）中三级标准和湘阴县第三污水处理厂进水水质要求的较严值</w:t>
                  </w:r>
                  <w:r>
                    <w:rPr>
                      <w:rFonts w:hint="eastAsia"/>
                      <w:color w:val="auto"/>
                      <w:u w:val="none"/>
                      <w:lang w:eastAsia="zh-CN"/>
                    </w:rPr>
                    <w:t>后，</w:t>
                  </w:r>
                  <w:r>
                    <w:rPr>
                      <w:rFonts w:hint="eastAsia"/>
                      <w:color w:val="auto"/>
                      <w:u w:val="none"/>
                      <w:lang w:val="en-US" w:eastAsia="zh-CN"/>
                    </w:rPr>
                    <w:t>大部分回用，小部分废水</w:t>
                  </w:r>
                  <w:r>
                    <w:rPr>
                      <w:rFonts w:hint="eastAsia"/>
                      <w:bCs/>
                      <w:color w:val="auto"/>
                      <w:sz w:val="21"/>
                      <w:szCs w:val="21"/>
                      <w:highlight w:val="none"/>
                    </w:rPr>
                    <w:t>由污水管网排入</w:t>
                  </w:r>
                  <w:r>
                    <w:rPr>
                      <w:rFonts w:hint="eastAsia"/>
                      <w:bCs/>
                      <w:color w:val="auto"/>
                      <w:sz w:val="21"/>
                      <w:szCs w:val="21"/>
                      <w:highlight w:val="none"/>
                      <w:lang w:eastAsia="zh-CN"/>
                    </w:rPr>
                    <w:t>湘阴县第三污水处理厂</w:t>
                  </w:r>
                  <w:r>
                    <w:rPr>
                      <w:rFonts w:hint="eastAsia"/>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highlight w:val="none"/>
                      <w:lang w:eastAsia="zh-CN"/>
                    </w:rPr>
                  </w:pPr>
                  <w:r>
                    <w:rPr>
                      <w:rFonts w:hint="eastAsia"/>
                      <w:bCs/>
                      <w:color w:val="auto"/>
                      <w:sz w:val="21"/>
                      <w:szCs w:val="21"/>
                      <w:highlight w:val="none"/>
                      <w:lang w:eastAsia="zh-CN"/>
                    </w:rPr>
                    <w:t>生活污水经化粪池处理达标后排</w:t>
                  </w:r>
                  <w:r>
                    <w:rPr>
                      <w:rFonts w:hint="eastAsia"/>
                      <w:bCs/>
                      <w:color w:val="auto"/>
                      <w:sz w:val="21"/>
                      <w:szCs w:val="21"/>
                      <w:highlight w:val="none"/>
                      <w:lang w:val="en-US" w:eastAsia="zh-CN"/>
                    </w:rPr>
                    <w:t>湘阴县第三污水处理厂</w:t>
                  </w:r>
                  <w:r>
                    <w:rPr>
                      <w:rFonts w:hint="eastAsia"/>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bCs/>
                      <w:color w:val="auto"/>
                      <w:sz w:val="21"/>
                      <w:szCs w:val="21"/>
                      <w:lang w:eastAsia="zh-CN"/>
                    </w:rPr>
                  </w:pPr>
                  <w:r>
                    <w:rPr>
                      <w:rFonts w:hint="eastAsia"/>
                      <w:bCs/>
                      <w:color w:val="auto"/>
                      <w:sz w:val="21"/>
                      <w:szCs w:val="21"/>
                      <w:highlight w:val="none"/>
                      <w:lang w:eastAsia="zh-CN"/>
                    </w:rPr>
                    <w:t>已</w:t>
                  </w:r>
                  <w:r>
                    <w:rPr>
                      <w:rFonts w:hint="eastAsia"/>
                      <w:bCs/>
                      <w:color w:val="auto"/>
                      <w:sz w:val="21"/>
                      <w:szCs w:val="21"/>
                      <w:lang w:eastAsia="zh-CN"/>
                    </w:rPr>
                    <w:t>建</w:t>
                  </w:r>
                  <w:r>
                    <w:rPr>
                      <w:rFonts w:hint="eastAsia"/>
                      <w:bCs/>
                      <w:color w:val="auto"/>
                      <w:sz w:val="21"/>
                      <w:szCs w:val="21"/>
                    </w:rPr>
                    <w:t>有</w:t>
                  </w:r>
                  <w:r>
                    <w:rPr>
                      <w:rFonts w:hint="eastAsia"/>
                      <w:bCs/>
                      <w:color w:val="auto"/>
                      <w:sz w:val="21"/>
                      <w:szCs w:val="21"/>
                      <w:lang w:val="en-US" w:eastAsia="zh-CN"/>
                    </w:rPr>
                    <w:t>1</w:t>
                  </w:r>
                  <w:r>
                    <w:rPr>
                      <w:rFonts w:hint="eastAsia"/>
                      <w:bCs/>
                      <w:color w:val="auto"/>
                      <w:sz w:val="21"/>
                      <w:szCs w:val="21"/>
                    </w:rPr>
                    <w:t>座300m</w:t>
                  </w:r>
                  <w:r>
                    <w:rPr>
                      <w:rFonts w:hint="eastAsia"/>
                      <w:bCs/>
                      <w:color w:val="auto"/>
                      <w:sz w:val="21"/>
                      <w:szCs w:val="21"/>
                      <w:vertAlign w:val="superscript"/>
                    </w:rPr>
                    <w:t>3</w:t>
                  </w:r>
                  <w:r>
                    <w:rPr>
                      <w:rFonts w:hint="eastAsia"/>
                      <w:bCs/>
                      <w:color w:val="auto"/>
                      <w:sz w:val="21"/>
                      <w:szCs w:val="21"/>
                    </w:rPr>
                    <w:t>的事故池</w:t>
                  </w:r>
                  <w:r>
                    <w:rPr>
                      <w:rFonts w:hint="eastAsia"/>
                      <w:bCs/>
                      <w:color w:val="auto"/>
                      <w:sz w:val="21"/>
                      <w:szCs w:val="21"/>
                      <w:lang w:eastAsia="zh-CN"/>
                    </w:rPr>
                    <w:t>防范废水事故排放。</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color w:val="auto"/>
                      <w:lang w:val="en-US" w:eastAsia="zh-CN"/>
                    </w:rPr>
                    <w:t>基本</w:t>
                  </w:r>
                  <w:r>
                    <w:rPr>
                      <w:rFonts w:hint="eastAsia"/>
                      <w:bCs/>
                      <w:color w:val="auto"/>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4</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各种原辅材料及固体废物不得露天堆放。按相应的规范要求建设临时渣库，分类堆放固体废物。氧化皮、硼化渣、废金属渣及锅炉灰渣等一般固体废物综合利用；危险废物化学置换液送生产厂家回收；废乳化油及含油污泥等危险固废送有资质的单位安全处置；生活垃圾、办公垃圾交由环卫部门处理</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lang w:eastAsia="zh-CN"/>
                    </w:rPr>
                    <w:t>建设</w:t>
                  </w:r>
                  <w:r>
                    <w:rPr>
                      <w:rFonts w:hint="eastAsia"/>
                      <w:bCs/>
                      <w:color w:val="auto"/>
                      <w:sz w:val="21"/>
                      <w:szCs w:val="21"/>
                      <w:lang w:val="en-US" w:eastAsia="zh-CN"/>
                    </w:rPr>
                    <w:t>1座一般固废暂存间，</w:t>
                  </w:r>
                  <w:r>
                    <w:rPr>
                      <w:rFonts w:hint="eastAsia"/>
                      <w:bCs/>
                      <w:color w:val="auto"/>
                      <w:sz w:val="21"/>
                      <w:szCs w:val="21"/>
                    </w:rPr>
                    <w:t>氧化皮、硼化渣、废金属渣及锅炉灰渣等一般固体废物</w:t>
                  </w:r>
                  <w:r>
                    <w:rPr>
                      <w:rFonts w:hint="eastAsia"/>
                      <w:bCs/>
                      <w:color w:val="auto"/>
                      <w:sz w:val="21"/>
                      <w:szCs w:val="21"/>
                      <w:lang w:eastAsia="zh-CN"/>
                    </w:rPr>
                    <w:t>暂存后</w:t>
                  </w:r>
                  <w:r>
                    <w:rPr>
                      <w:rFonts w:hint="eastAsia"/>
                      <w:bCs/>
                      <w:color w:val="auto"/>
                      <w:sz w:val="21"/>
                      <w:szCs w:val="21"/>
                    </w:rPr>
                    <w:t>综合利用；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lang w:eastAsia="zh-CN"/>
                    </w:rPr>
                    <w:t>建设</w:t>
                  </w:r>
                  <w:r>
                    <w:rPr>
                      <w:rFonts w:hint="eastAsia"/>
                      <w:bCs/>
                      <w:color w:val="auto"/>
                      <w:sz w:val="21"/>
                      <w:szCs w:val="21"/>
                      <w:lang w:val="en-US" w:eastAsia="zh-CN"/>
                    </w:rPr>
                    <w:t>1座危废暂存间，</w:t>
                  </w:r>
                  <w:r>
                    <w:rPr>
                      <w:rFonts w:hint="eastAsia"/>
                      <w:bCs/>
                      <w:color w:val="auto"/>
                      <w:sz w:val="21"/>
                      <w:szCs w:val="21"/>
                      <w:lang w:eastAsia="zh-CN"/>
                    </w:rPr>
                    <w:t>废机油</w:t>
                  </w:r>
                  <w:r>
                    <w:rPr>
                      <w:rFonts w:hint="eastAsia"/>
                      <w:bCs/>
                      <w:color w:val="auto"/>
                      <w:sz w:val="21"/>
                      <w:szCs w:val="21"/>
                    </w:rPr>
                    <w:t>及</w:t>
                  </w:r>
                  <w:r>
                    <w:rPr>
                      <w:rFonts w:hint="eastAsia"/>
                      <w:bCs/>
                      <w:color w:val="auto"/>
                      <w:sz w:val="21"/>
                      <w:szCs w:val="21"/>
                      <w:lang w:eastAsia="zh-CN"/>
                    </w:rPr>
                    <w:t>废含油抹布</w:t>
                  </w:r>
                  <w:r>
                    <w:rPr>
                      <w:rFonts w:hint="eastAsia"/>
                      <w:bCs/>
                      <w:color w:val="auto"/>
                      <w:sz w:val="21"/>
                      <w:szCs w:val="21"/>
                    </w:rPr>
                    <w:t>等危险固废送有资质的单位安全处置；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lang w:eastAsia="zh-CN"/>
                    </w:rPr>
                    <w:t>建设</w:t>
                  </w:r>
                  <w:r>
                    <w:rPr>
                      <w:rFonts w:hint="eastAsia"/>
                      <w:bCs/>
                      <w:color w:val="auto"/>
                      <w:sz w:val="21"/>
                      <w:szCs w:val="21"/>
                      <w:lang w:val="en-US" w:eastAsia="zh-CN"/>
                    </w:rPr>
                    <w:t>1座污泥危废暂存间，</w:t>
                  </w:r>
                  <w:r>
                    <w:rPr>
                      <w:rFonts w:hint="eastAsia"/>
                      <w:bCs/>
                      <w:color w:val="auto"/>
                      <w:sz w:val="21"/>
                      <w:szCs w:val="21"/>
                    </w:rPr>
                    <w:t>污水处理站污泥送</w:t>
                  </w:r>
                  <w:r>
                    <w:rPr>
                      <w:rFonts w:hint="eastAsia" w:ascii="宋体" w:hAnsi="宋体" w:cs="宋体"/>
                      <w:color w:val="auto"/>
                      <w:kern w:val="0"/>
                      <w:sz w:val="21"/>
                      <w:szCs w:val="21"/>
                      <w:highlight w:val="none"/>
                      <w:u w:val="none"/>
                      <w:vertAlign w:val="baseline"/>
                      <w:lang w:val="en-US" w:eastAsia="zh-CN" w:bidi="ar"/>
                    </w:rPr>
                    <w:t>永兴鹏琨环保有限公司</w:t>
                  </w:r>
                  <w:r>
                    <w:rPr>
                      <w:rFonts w:hint="eastAsia"/>
                      <w:bCs/>
                      <w:color w:val="auto"/>
                      <w:sz w:val="21"/>
                      <w:szCs w:val="21"/>
                    </w:rPr>
                    <w:t>进行处置；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rPr>
                  </w:pPr>
                  <w:r>
                    <w:rPr>
                      <w:rFonts w:hint="eastAsia"/>
                      <w:bCs/>
                      <w:color w:val="auto"/>
                      <w:sz w:val="21"/>
                      <w:szCs w:val="21"/>
                    </w:rPr>
                    <w:t>生活垃圾交由环卫部门处理</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lang w:eastAsia="zh-CN"/>
                    </w:rPr>
                    <w:t>基本</w:t>
                  </w:r>
                  <w:r>
                    <w:rPr>
                      <w:rFonts w:hint="eastAsia"/>
                      <w:bCs/>
                      <w:color w:val="auto"/>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5</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落实报告书提出的风险防范措施，强化对硫酸及片碱等危险化学品的管理，危险化学品储存库设围堰，设置30m</w:t>
                  </w:r>
                  <w:r>
                    <w:rPr>
                      <w:rFonts w:hint="eastAsia"/>
                      <w:bCs/>
                      <w:color w:val="auto"/>
                      <w:sz w:val="21"/>
                      <w:szCs w:val="21"/>
                      <w:vertAlign w:val="superscript"/>
                    </w:rPr>
                    <w:t>3</w:t>
                  </w:r>
                  <w:r>
                    <w:rPr>
                      <w:rFonts w:hint="eastAsia"/>
                      <w:bCs/>
                      <w:color w:val="auto"/>
                      <w:sz w:val="21"/>
                      <w:szCs w:val="21"/>
                    </w:rPr>
                    <w:t>的风险事故池，制定风险应急预案，确保周围环境安全</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lang w:eastAsia="zh-CN"/>
                    </w:rPr>
                    <w:t>加强对硫酸等危险化学品的管控，硫酸储罐设</w:t>
                  </w:r>
                  <w:r>
                    <w:rPr>
                      <w:rFonts w:hint="eastAsia"/>
                      <w:color w:val="auto"/>
                      <w:sz w:val="21"/>
                      <w:szCs w:val="21"/>
                      <w:u w:val="none"/>
                      <w:lang w:val="en-US" w:eastAsia="zh-CN"/>
                    </w:rPr>
                    <w:t>25</w:t>
                  </w:r>
                  <w:r>
                    <w:rPr>
                      <w:rFonts w:hint="eastAsia"/>
                      <w:color w:val="auto"/>
                      <w:sz w:val="21"/>
                      <w:szCs w:val="21"/>
                      <w:u w:val="none"/>
                    </w:rPr>
                    <w:t>m</w:t>
                  </w:r>
                  <w:r>
                    <w:rPr>
                      <w:rFonts w:hint="eastAsia"/>
                      <w:color w:val="auto"/>
                      <w:sz w:val="21"/>
                      <w:szCs w:val="21"/>
                      <w:u w:val="none"/>
                      <w:vertAlign w:val="superscript"/>
                      <w:lang w:val="en-US" w:eastAsia="zh-CN"/>
                    </w:rPr>
                    <w:t>3</w:t>
                  </w:r>
                  <w:r>
                    <w:rPr>
                      <w:rFonts w:hint="eastAsia"/>
                      <w:bCs/>
                      <w:color w:val="auto"/>
                      <w:sz w:val="21"/>
                      <w:szCs w:val="21"/>
                      <w:lang w:eastAsia="zh-CN"/>
                    </w:rPr>
                    <w:t>围堰及底部采用水泥混凝土防渗，现有工程已编制应急预案，确周围环境安全</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auto"/>
                      <w:sz w:val="21"/>
                      <w:szCs w:val="21"/>
                    </w:rPr>
                  </w:pPr>
                  <w:r>
                    <w:rPr>
                      <w:rFonts w:hint="eastAsia"/>
                      <w:bCs/>
                      <w:color w:val="auto"/>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6</w:t>
                  </w:r>
                </w:p>
              </w:tc>
              <w:tc>
                <w:tcPr>
                  <w:tcW w:w="33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color w:val="auto"/>
                      <w:sz w:val="21"/>
                      <w:szCs w:val="21"/>
                      <w:u w:val="single"/>
                      <w:lang w:val="en-US" w:eastAsia="zh-CN"/>
                    </w:rPr>
                  </w:pPr>
                  <w:r>
                    <w:rPr>
                      <w:rFonts w:hint="eastAsia"/>
                      <w:bCs/>
                      <w:color w:val="auto"/>
                      <w:sz w:val="21"/>
                      <w:szCs w:val="21"/>
                      <w:u w:val="single"/>
                      <w:lang w:eastAsia="zh-CN"/>
                    </w:rPr>
                    <w:t>污染物排放总量控制为：</w:t>
                  </w:r>
                  <w:r>
                    <w:rPr>
                      <w:rFonts w:hint="eastAsia"/>
                      <w:bCs/>
                      <w:color w:val="auto"/>
                      <w:sz w:val="21"/>
                      <w:szCs w:val="21"/>
                      <w:u w:val="single"/>
                      <w:lang w:val="en-US" w:eastAsia="zh-CN"/>
                    </w:rPr>
                    <w:t>COD1.4t/a，氨氮0.2t/a，SO</w:t>
                  </w:r>
                  <w:r>
                    <w:rPr>
                      <w:rFonts w:hint="eastAsia"/>
                      <w:bCs/>
                      <w:color w:val="auto"/>
                      <w:sz w:val="21"/>
                      <w:szCs w:val="21"/>
                      <w:u w:val="single"/>
                      <w:vertAlign w:val="subscript"/>
                      <w:lang w:val="en-US" w:eastAsia="zh-CN"/>
                    </w:rPr>
                    <w:t>2</w:t>
                  </w:r>
                  <w:r>
                    <w:rPr>
                      <w:rFonts w:hint="eastAsia"/>
                      <w:bCs/>
                      <w:color w:val="auto"/>
                      <w:sz w:val="21"/>
                      <w:szCs w:val="21"/>
                      <w:u w:val="single"/>
                      <w:lang w:val="en-US" w:eastAsia="zh-CN"/>
                    </w:rPr>
                    <w:t>1.5t/a，总量指标由湘阴县环保局负责解决</w:t>
                  </w:r>
                </w:p>
              </w:tc>
              <w:tc>
                <w:tcPr>
                  <w:tcW w:w="20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color w:val="auto"/>
                      <w:sz w:val="21"/>
                      <w:szCs w:val="21"/>
                      <w:u w:val="single"/>
                      <w:lang w:val="en-US" w:eastAsia="zh-CN"/>
                    </w:rPr>
                  </w:pPr>
                  <w:r>
                    <w:rPr>
                      <w:rFonts w:hint="eastAsia"/>
                      <w:bCs/>
                      <w:color w:val="auto"/>
                      <w:sz w:val="21"/>
                      <w:szCs w:val="21"/>
                      <w:u w:val="single"/>
                      <w:lang w:val="en-US" w:eastAsia="zh-CN"/>
                    </w:rPr>
                    <w:t>/</w:t>
                  </w:r>
                </w:p>
              </w:tc>
              <w:tc>
                <w:tcPr>
                  <w:tcW w:w="28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Cs/>
                      <w:color w:val="auto"/>
                      <w:sz w:val="21"/>
                      <w:szCs w:val="21"/>
                      <w:u w:val="single"/>
                      <w:lang w:val="en-US" w:eastAsia="zh-CN"/>
                    </w:rPr>
                  </w:pPr>
                  <w:r>
                    <w:rPr>
                      <w:rFonts w:hint="eastAsia" w:cs="Times New Roman"/>
                      <w:color w:val="auto"/>
                      <w:kern w:val="0"/>
                      <w:sz w:val="21"/>
                      <w:szCs w:val="21"/>
                      <w:highlight w:val="none"/>
                      <w:u w:val="single"/>
                      <w:lang w:val="en-US" w:eastAsia="zh-CN"/>
                    </w:rPr>
                    <w:t>实际COD排放量为0.529t/a、氨氮排放量为0.053t/a</w:t>
                  </w:r>
                  <w:r>
                    <w:rPr>
                      <w:rFonts w:hint="eastAsia" w:cs="Times New Roman"/>
                      <w:i w:val="0"/>
                      <w:iCs w:val="0"/>
                      <w:color w:val="auto"/>
                      <w:kern w:val="0"/>
                      <w:sz w:val="21"/>
                      <w:szCs w:val="21"/>
                      <w:u w:val="single"/>
                      <w:lang w:val="en-US" w:eastAsia="zh-CN" w:bidi="ar"/>
                    </w:rPr>
                    <w:t>，</w:t>
                  </w:r>
                  <w:r>
                    <w:rPr>
                      <w:rFonts w:hint="eastAsia"/>
                      <w:bCs/>
                      <w:color w:val="auto"/>
                      <w:sz w:val="21"/>
                      <w:szCs w:val="21"/>
                      <w:u w:val="single"/>
                      <w:lang w:val="en-US" w:eastAsia="zh-CN"/>
                    </w:rPr>
                    <w:t>SO</w:t>
                  </w:r>
                  <w:r>
                    <w:rPr>
                      <w:rFonts w:hint="eastAsia"/>
                      <w:bCs/>
                      <w:color w:val="auto"/>
                      <w:sz w:val="21"/>
                      <w:szCs w:val="21"/>
                      <w:u w:val="single"/>
                      <w:vertAlign w:val="subscript"/>
                      <w:lang w:val="en-US" w:eastAsia="zh-CN"/>
                    </w:rPr>
                    <w:t>2</w:t>
                  </w:r>
                  <w:r>
                    <w:rPr>
                      <w:rFonts w:hint="eastAsia"/>
                      <w:bCs/>
                      <w:color w:val="auto"/>
                      <w:sz w:val="21"/>
                      <w:szCs w:val="21"/>
                      <w:u w:val="single"/>
                      <w:lang w:val="en-US" w:eastAsia="zh-CN"/>
                    </w:rPr>
                    <w:t>0.57t/a，可满足污染物总量控制指标</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u w:val="single"/>
                      <w:lang w:eastAsia="zh-CN"/>
                    </w:rPr>
                  </w:pPr>
                  <w:r>
                    <w:rPr>
                      <w:rFonts w:hint="eastAsia"/>
                      <w:bCs/>
                      <w:color w:val="auto"/>
                      <w:sz w:val="21"/>
                      <w:szCs w:val="21"/>
                      <w:u w:val="single"/>
                      <w:lang w:eastAsia="zh-CN"/>
                    </w:rPr>
                    <w:t>落实</w:t>
                  </w:r>
                </w:p>
              </w:tc>
            </w:tr>
          </w:tbl>
          <w:p>
            <w:pPr>
              <w:widowControl/>
              <w:spacing w:line="360" w:lineRule="auto"/>
              <w:ind w:firstLine="480" w:firstLineChars="200"/>
              <w:jc w:val="both"/>
              <w:rPr>
                <w:rFonts w:hint="eastAsia"/>
                <w:color w:val="auto"/>
                <w:sz w:val="24"/>
                <w:szCs w:val="32"/>
                <w:u w:val="none"/>
              </w:rPr>
            </w:pPr>
            <w:r>
              <w:rPr>
                <w:color w:val="auto"/>
                <w:sz w:val="24"/>
                <w:szCs w:val="32"/>
                <w:u w:val="none"/>
              </w:rPr>
              <w:t>通过现场踏勘以及相关资料收集分析，</w:t>
            </w:r>
            <w:r>
              <w:rPr>
                <w:rFonts w:hint="eastAsia"/>
                <w:color w:val="auto"/>
                <w:sz w:val="24"/>
                <w:szCs w:val="32"/>
                <w:u w:val="none"/>
                <w:lang w:eastAsia="zh-CN"/>
              </w:rPr>
              <w:t>现有</w:t>
            </w:r>
            <w:r>
              <w:rPr>
                <w:color w:val="auto"/>
                <w:sz w:val="24"/>
                <w:szCs w:val="32"/>
                <w:u w:val="none"/>
              </w:rPr>
              <w:t>工程已通过环评</w:t>
            </w:r>
            <w:r>
              <w:rPr>
                <w:rFonts w:hint="eastAsia"/>
                <w:color w:val="auto"/>
                <w:sz w:val="24"/>
                <w:szCs w:val="32"/>
                <w:u w:val="none"/>
                <w:lang w:eastAsia="zh-CN"/>
              </w:rPr>
              <w:t>、排污许可和</w:t>
            </w:r>
            <w:r>
              <w:rPr>
                <w:color w:val="auto"/>
                <w:sz w:val="24"/>
                <w:szCs w:val="32"/>
                <w:u w:val="none"/>
              </w:rPr>
              <w:t>环保竣工验收，环评及验收批复中提出的相关要求均得到</w:t>
            </w:r>
            <w:r>
              <w:rPr>
                <w:rFonts w:hint="eastAsia"/>
                <w:color w:val="auto"/>
                <w:sz w:val="24"/>
                <w:szCs w:val="32"/>
                <w:lang w:eastAsia="zh-CN"/>
              </w:rPr>
              <w:t>基本</w:t>
            </w:r>
            <w:r>
              <w:rPr>
                <w:color w:val="auto"/>
                <w:sz w:val="24"/>
                <w:szCs w:val="32"/>
                <w:u w:val="none"/>
              </w:rPr>
              <w:t>落实；</w:t>
            </w:r>
            <w:r>
              <w:rPr>
                <w:rFonts w:hint="eastAsia"/>
                <w:color w:val="auto"/>
                <w:sz w:val="24"/>
                <w:szCs w:val="32"/>
                <w:u w:val="none"/>
                <w:lang w:eastAsia="zh-CN"/>
              </w:rPr>
              <w:t>现有</w:t>
            </w:r>
            <w:r>
              <w:rPr>
                <w:color w:val="auto"/>
                <w:sz w:val="24"/>
                <w:szCs w:val="32"/>
                <w:u w:val="none"/>
              </w:rPr>
              <w:t>工程在生产营运过程中针对各类废水、废气和噪声采取了切实可行的污染防治措施，可确保污染物稳定达标排放；固体废物实现安全处置；落实了各项环境风险防范措施，未曾发生过突发环境事件</w:t>
            </w:r>
            <w:r>
              <w:rPr>
                <w:rFonts w:hint="eastAsia"/>
                <w:color w:val="auto"/>
                <w:sz w:val="24"/>
                <w:szCs w:val="32"/>
                <w:u w:val="none"/>
              </w:rPr>
              <w:t>。</w:t>
            </w:r>
          </w:p>
          <w:p>
            <w:pPr>
              <w:widowControl/>
              <w:spacing w:line="360" w:lineRule="auto"/>
              <w:ind w:firstLine="480" w:firstLineChars="200"/>
              <w:jc w:val="both"/>
              <w:rPr>
                <w:rFonts w:hint="eastAsia" w:ascii="Times New Roman" w:hAnsi="Times New Roman" w:eastAsia="宋体" w:cs="Times New Roman"/>
                <w:color w:val="auto"/>
                <w:sz w:val="24"/>
                <w:szCs w:val="32"/>
                <w:u w:val="none"/>
                <w:lang w:val="en-US" w:eastAsia="zh-CN"/>
              </w:rPr>
            </w:pPr>
            <w:r>
              <w:rPr>
                <w:rFonts w:hint="eastAsia" w:ascii="Times New Roman" w:hAnsi="Times New Roman" w:eastAsia="宋体" w:cs="Times New Roman"/>
                <w:color w:val="auto"/>
                <w:sz w:val="24"/>
                <w:szCs w:val="32"/>
                <w:u w:val="none"/>
                <w:lang w:val="en-US" w:eastAsia="zh-CN"/>
              </w:rPr>
              <w:t>项目</w:t>
            </w:r>
            <w:r>
              <w:rPr>
                <w:rFonts w:hint="eastAsia" w:cs="Times New Roman"/>
                <w:color w:val="auto"/>
                <w:sz w:val="24"/>
                <w:szCs w:val="32"/>
                <w:u w:val="none"/>
                <w:lang w:val="en-US" w:eastAsia="zh-CN"/>
              </w:rPr>
              <w:t>基本</w:t>
            </w:r>
            <w:r>
              <w:rPr>
                <w:rFonts w:hint="eastAsia" w:ascii="Times New Roman" w:hAnsi="Times New Roman" w:eastAsia="宋体" w:cs="Times New Roman"/>
                <w:color w:val="auto"/>
                <w:sz w:val="24"/>
                <w:szCs w:val="32"/>
                <w:u w:val="none"/>
                <w:lang w:val="en-US" w:eastAsia="zh-CN"/>
              </w:rPr>
              <w:t>落实了环评批复和环评报告表提出的各项环保措施与要求，环境影响可控制在环境可承受范围内，主要污染物排放能达到相关排放标准；项目验收以来未有环保投诉、环境纠纷或处罚事件。</w:t>
            </w:r>
          </w:p>
          <w:p>
            <w:pPr>
              <w:numPr>
                <w:ilvl w:val="0"/>
                <w:numId w:val="0"/>
              </w:numPr>
              <w:spacing w:line="360" w:lineRule="auto"/>
              <w:ind w:left="420" w:leftChars="0"/>
              <w:rPr>
                <w:rFonts w:hint="eastAsia"/>
                <w:b/>
                <w:bCs/>
                <w:color w:val="auto"/>
                <w:sz w:val="24"/>
                <w:szCs w:val="24"/>
                <w:u w:val="single" w:color="auto"/>
              </w:rPr>
            </w:pPr>
            <w:r>
              <w:rPr>
                <w:rFonts w:hint="eastAsia"/>
                <w:b/>
                <w:bCs/>
                <w:color w:val="auto"/>
                <w:sz w:val="24"/>
                <w:szCs w:val="24"/>
                <w:u w:val="single" w:color="auto"/>
                <w:lang w:val="en-US" w:eastAsia="zh-CN"/>
              </w:rPr>
              <w:t>七、现有</w:t>
            </w:r>
            <w:r>
              <w:rPr>
                <w:rFonts w:hint="eastAsia"/>
                <w:b/>
                <w:bCs/>
                <w:color w:val="auto"/>
                <w:sz w:val="24"/>
                <w:szCs w:val="24"/>
                <w:u w:val="single" w:color="auto"/>
              </w:rPr>
              <w:t>工程存在问题及“以新带老”</w:t>
            </w:r>
            <w:r>
              <w:rPr>
                <w:rFonts w:hint="eastAsia"/>
                <w:b/>
                <w:bCs/>
                <w:color w:val="auto"/>
                <w:sz w:val="24"/>
                <w:szCs w:val="24"/>
                <w:u w:val="single" w:color="auto"/>
                <w:lang w:eastAsia="zh-CN"/>
              </w:rPr>
              <w:t>建议</w:t>
            </w:r>
          </w:p>
          <w:p>
            <w:pPr>
              <w:pStyle w:val="25"/>
              <w:spacing w:before="0" w:beforeAutospacing="0" w:after="0" w:afterAutospacing="0" w:line="360" w:lineRule="auto"/>
              <w:ind w:firstLine="480" w:firstLineChars="200"/>
              <w:jc w:val="both"/>
              <w:rPr>
                <w:rFonts w:ascii="Times New Roman" w:hAnsi="Times New Roman"/>
                <w:color w:val="auto"/>
                <w:sz w:val="24"/>
                <w:szCs w:val="24"/>
                <w:u w:val="single" w:color="auto"/>
                <w:lang w:val="en-US" w:eastAsia="zh-CN"/>
              </w:rPr>
            </w:pPr>
            <w:r>
              <w:rPr>
                <w:rFonts w:hint="eastAsia"/>
                <w:color w:val="auto"/>
                <w:sz w:val="24"/>
                <w:szCs w:val="24"/>
                <w:u w:val="single" w:color="auto"/>
                <w:lang w:val="en-US" w:eastAsia="zh-CN"/>
              </w:rPr>
              <w:t>根据现场勘查，并</w:t>
            </w:r>
            <w:r>
              <w:rPr>
                <w:rFonts w:ascii="Times New Roman" w:hAnsi="Times New Roman"/>
                <w:color w:val="auto"/>
                <w:sz w:val="24"/>
                <w:szCs w:val="24"/>
                <w:u w:val="single" w:color="auto"/>
                <w:lang w:val="en-US" w:eastAsia="zh-CN"/>
              </w:rPr>
              <w:t>对比最新环保要求，</w:t>
            </w:r>
            <w:r>
              <w:rPr>
                <w:rFonts w:hint="eastAsia" w:ascii="Times New Roman" w:hAnsi="Times New Roman"/>
                <w:color w:val="auto"/>
                <w:sz w:val="24"/>
                <w:szCs w:val="24"/>
                <w:u w:val="single" w:color="auto"/>
                <w:lang w:val="en-US" w:eastAsia="zh-CN"/>
              </w:rPr>
              <w:t>现有</w:t>
            </w:r>
            <w:r>
              <w:rPr>
                <w:rFonts w:ascii="Times New Roman" w:hAnsi="Times New Roman"/>
                <w:color w:val="auto"/>
                <w:sz w:val="24"/>
                <w:szCs w:val="24"/>
                <w:u w:val="single" w:color="auto"/>
                <w:lang w:val="en-US" w:eastAsia="zh-CN"/>
              </w:rPr>
              <w:t>厂区目前存在的主要问题及</w:t>
            </w:r>
            <w:r>
              <w:rPr>
                <w:rFonts w:hint="eastAsia" w:ascii="Times New Roman" w:hAnsi="Times New Roman"/>
                <w:color w:val="auto"/>
                <w:sz w:val="24"/>
                <w:szCs w:val="24"/>
                <w:u w:val="single" w:color="auto"/>
                <w:lang w:val="en-US" w:eastAsia="zh-CN"/>
              </w:rPr>
              <w:t>“以新带老”</w:t>
            </w:r>
            <w:r>
              <w:rPr>
                <w:rFonts w:ascii="Times New Roman" w:hAnsi="Times New Roman"/>
                <w:color w:val="auto"/>
                <w:sz w:val="24"/>
                <w:szCs w:val="24"/>
                <w:u w:val="single" w:color="auto"/>
                <w:lang w:val="en-US" w:eastAsia="zh-CN"/>
              </w:rPr>
              <w:t>建议如下：</w:t>
            </w:r>
          </w:p>
          <w:p>
            <w:pPr>
              <w:jc w:val="center"/>
              <w:rPr>
                <w:rFonts w:hint="eastAsia" w:eastAsia="宋体"/>
                <w:b/>
                <w:bCs/>
                <w:color w:val="auto"/>
                <w:szCs w:val="21"/>
                <w:u w:val="none" w:color="auto"/>
                <w:lang w:eastAsia="zh-CN"/>
              </w:rPr>
            </w:pPr>
            <w:r>
              <w:rPr>
                <w:rFonts w:hint="eastAsia"/>
                <w:b/>
                <w:bCs/>
                <w:color w:val="auto"/>
                <w:sz w:val="24"/>
                <w:szCs w:val="24"/>
                <w:u w:val="none" w:color="auto"/>
              </w:rPr>
              <w:t>表2</w:t>
            </w:r>
            <w:r>
              <w:rPr>
                <w:rFonts w:hint="eastAsia"/>
                <w:b/>
                <w:bCs/>
                <w:color w:val="auto"/>
                <w:sz w:val="24"/>
                <w:szCs w:val="24"/>
                <w:u w:val="none" w:color="auto"/>
                <w:lang w:val="en-US" w:eastAsia="zh-CN"/>
              </w:rPr>
              <w:t>.10-11现有</w:t>
            </w:r>
            <w:r>
              <w:rPr>
                <w:rFonts w:hint="eastAsia"/>
                <w:b/>
                <w:bCs/>
                <w:color w:val="auto"/>
                <w:sz w:val="24"/>
                <w:szCs w:val="24"/>
                <w:u w:val="single" w:color="auto"/>
              </w:rPr>
              <w:t>工程存在问题及“以新带老”</w:t>
            </w:r>
            <w:r>
              <w:rPr>
                <w:rFonts w:hint="eastAsia"/>
                <w:b/>
                <w:bCs/>
                <w:color w:val="auto"/>
                <w:sz w:val="24"/>
                <w:szCs w:val="24"/>
                <w:u w:val="single" w:color="auto"/>
                <w:lang w:eastAsia="zh-CN"/>
              </w:rPr>
              <w:t>建议一览表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4517"/>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top"/>
                </w:tcPr>
                <w:p>
                  <w:pPr>
                    <w:jc w:val="center"/>
                    <w:rPr>
                      <w:rFonts w:hint="eastAsia" w:ascii="宋体" w:hAnsi="宋体"/>
                      <w:b/>
                      <w:bCs/>
                      <w:color w:val="auto"/>
                      <w:u w:val="none" w:color="auto"/>
                    </w:rPr>
                  </w:pPr>
                  <w:r>
                    <w:rPr>
                      <w:rFonts w:hint="eastAsia" w:ascii="宋体" w:hAnsi="宋体"/>
                      <w:b/>
                      <w:bCs/>
                      <w:color w:val="auto"/>
                      <w:u w:val="none" w:color="auto"/>
                    </w:rPr>
                    <w:t>序号</w:t>
                  </w:r>
                </w:p>
              </w:tc>
              <w:tc>
                <w:tcPr>
                  <w:tcW w:w="4517" w:type="dxa"/>
                  <w:noWrap w:val="0"/>
                  <w:vAlign w:val="top"/>
                </w:tcPr>
                <w:p>
                  <w:pPr>
                    <w:jc w:val="center"/>
                    <w:rPr>
                      <w:rFonts w:hint="eastAsia" w:ascii="宋体" w:hAnsi="宋体"/>
                      <w:b/>
                      <w:bCs/>
                      <w:color w:val="auto"/>
                      <w:u w:val="none" w:color="auto"/>
                    </w:rPr>
                  </w:pPr>
                  <w:r>
                    <w:rPr>
                      <w:rFonts w:hint="eastAsia" w:ascii="宋体" w:hAnsi="宋体"/>
                      <w:b/>
                      <w:bCs/>
                      <w:color w:val="auto"/>
                      <w:u w:val="none" w:color="auto"/>
                      <w:lang w:eastAsia="zh-CN"/>
                    </w:rPr>
                    <w:t>工程</w:t>
                  </w:r>
                  <w:r>
                    <w:rPr>
                      <w:rFonts w:hint="eastAsia" w:ascii="宋体" w:hAnsi="宋体"/>
                      <w:b/>
                      <w:bCs/>
                      <w:color w:val="auto"/>
                      <w:u w:val="none" w:color="auto"/>
                    </w:rPr>
                    <w:t>存在环境问题</w:t>
                  </w:r>
                </w:p>
              </w:tc>
              <w:tc>
                <w:tcPr>
                  <w:tcW w:w="4144" w:type="dxa"/>
                  <w:noWrap w:val="0"/>
                  <w:vAlign w:val="top"/>
                </w:tcPr>
                <w:p>
                  <w:pPr>
                    <w:jc w:val="center"/>
                    <w:rPr>
                      <w:rFonts w:hint="eastAsia" w:ascii="宋体" w:hAnsi="宋体" w:eastAsia="宋体"/>
                      <w:b/>
                      <w:bCs/>
                      <w:color w:val="auto"/>
                      <w:u w:val="none" w:color="auto"/>
                      <w:lang w:eastAsia="zh-CN"/>
                    </w:rPr>
                  </w:pPr>
                  <w:r>
                    <w:rPr>
                      <w:rFonts w:hint="eastAsia" w:ascii="宋体" w:hAnsi="宋体"/>
                      <w:b/>
                      <w:bCs/>
                      <w:color w:val="auto"/>
                      <w:u w:val="none" w:color="auto"/>
                      <w:lang w:eastAsia="zh-CN"/>
                    </w:rPr>
                    <w:t>“以新带老”建议措施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2"/>
                    </w:numPr>
                    <w:jc w:val="center"/>
                    <w:rPr>
                      <w:rFonts w:hint="default"/>
                      <w:color w:val="auto"/>
                      <w:u w:val="none" w:color="auto"/>
                      <w:lang w:val="en-US" w:eastAsia="zh-CN"/>
                    </w:rPr>
                  </w:pPr>
                </w:p>
              </w:tc>
              <w:tc>
                <w:tcPr>
                  <w:tcW w:w="4517" w:type="dxa"/>
                  <w:noWrap w:val="0"/>
                  <w:vAlign w:val="center"/>
                </w:tcPr>
                <w:p>
                  <w:pPr>
                    <w:jc w:val="center"/>
                    <w:rPr>
                      <w:rFonts w:hint="eastAsia" w:hAnsi="宋体"/>
                      <w:color w:val="auto"/>
                      <w:u w:val="none" w:color="auto"/>
                      <w:lang w:eastAsia="zh-CN"/>
                    </w:rPr>
                  </w:pPr>
                  <w:r>
                    <w:rPr>
                      <w:rFonts w:hint="eastAsia" w:cs="Times New Roman"/>
                      <w:color w:val="auto"/>
                      <w:kern w:val="0"/>
                      <w:sz w:val="21"/>
                      <w:szCs w:val="21"/>
                      <w:u w:val="none" w:color="auto"/>
                      <w:lang w:val="en-US" w:eastAsia="zh-CN"/>
                    </w:rPr>
                    <w:t>废润滑油、含油抹布、废片碱袋、废乳化油等危险废物未续签危废合同</w:t>
                  </w:r>
                </w:p>
              </w:tc>
              <w:tc>
                <w:tcPr>
                  <w:tcW w:w="4144" w:type="dxa"/>
                  <w:noWrap w:val="0"/>
                  <w:vAlign w:val="center"/>
                </w:tcPr>
                <w:p>
                  <w:pPr>
                    <w:jc w:val="center"/>
                    <w:rPr>
                      <w:rFonts w:hint="eastAsia"/>
                      <w:color w:val="auto"/>
                      <w:kern w:val="0"/>
                      <w:szCs w:val="21"/>
                      <w:u w:val="none" w:color="auto"/>
                      <w:lang w:val="zh-CN" w:bidi="ar"/>
                    </w:rPr>
                  </w:pPr>
                  <w:r>
                    <w:rPr>
                      <w:rFonts w:hint="eastAsia"/>
                      <w:color w:val="auto"/>
                      <w:kern w:val="0"/>
                      <w:szCs w:val="21"/>
                      <w:u w:val="none" w:color="auto"/>
                      <w:lang w:val="zh-CN" w:bidi="ar"/>
                    </w:rPr>
                    <w:t>加强危废合同管理，各类危险废物一年一签，并按环保要求将危废交由对应资质单位进行处置。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2"/>
                    </w:numPr>
                    <w:jc w:val="center"/>
                    <w:rPr>
                      <w:rFonts w:hint="default"/>
                      <w:color w:val="auto"/>
                      <w:u w:val="single" w:color="auto"/>
                      <w:lang w:val="en-US" w:eastAsia="zh-CN"/>
                    </w:rPr>
                  </w:pPr>
                </w:p>
              </w:tc>
              <w:tc>
                <w:tcPr>
                  <w:tcW w:w="4517" w:type="dxa"/>
                  <w:noWrap w:val="0"/>
                  <w:vAlign w:val="center"/>
                </w:tcPr>
                <w:p>
                  <w:pPr>
                    <w:jc w:val="center"/>
                    <w:rPr>
                      <w:rFonts w:hint="default"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根据《锅炉大气污染物排放标准》（GB13271-2014）可知，低于1t生物质锅炉烟囱最低允许高度为20m，烟囱周边半径200m距离内有建筑物时，其烟囱应高出建筑物3m以上</w:t>
                  </w:r>
                  <w:r>
                    <w:rPr>
                      <w:rFonts w:hint="eastAsia"/>
                      <w:color w:val="auto"/>
                      <w:u w:val="none" w:color="auto"/>
                      <w:lang w:val="en-US" w:eastAsia="zh-CN"/>
                    </w:rPr>
                    <w:t>。</w:t>
                  </w:r>
                </w:p>
              </w:tc>
              <w:tc>
                <w:tcPr>
                  <w:tcW w:w="4144" w:type="dxa"/>
                  <w:noWrap w:val="0"/>
                  <w:vAlign w:val="center"/>
                </w:tcPr>
                <w:p>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现有工程锅炉排气筒为15m，不满足要求，周边200m范围内最高建筑物为22m，现有工程</w:t>
                  </w:r>
                  <w:r>
                    <w:rPr>
                      <w:rFonts w:hint="eastAsia"/>
                      <w:color w:val="auto"/>
                      <w:u w:val="none" w:color="auto"/>
                      <w:lang w:eastAsia="zh-CN"/>
                    </w:rPr>
                    <w:t>锅炉排气筒应</w:t>
                  </w:r>
                  <w:r>
                    <w:rPr>
                      <w:rFonts w:hint="eastAsia" w:cs="Times New Roman"/>
                      <w:color w:val="auto"/>
                      <w:sz w:val="21"/>
                      <w:szCs w:val="21"/>
                      <w:highlight w:val="none"/>
                      <w:u w:val="none" w:color="auto"/>
                      <w:lang w:val="en-US" w:eastAsia="zh-CN"/>
                    </w:rPr>
                    <w:t>加高至25m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2"/>
                    </w:numPr>
                    <w:jc w:val="center"/>
                    <w:rPr>
                      <w:rFonts w:hint="default"/>
                      <w:color w:val="auto"/>
                      <w:u w:val="none" w:color="auto"/>
                      <w:lang w:val="en-US" w:eastAsia="zh-CN"/>
                    </w:rPr>
                  </w:pPr>
                </w:p>
              </w:tc>
              <w:tc>
                <w:tcPr>
                  <w:tcW w:w="4517" w:type="dxa"/>
                  <w:noWrap w:val="0"/>
                  <w:vAlign w:val="center"/>
                </w:tcPr>
                <w:p>
                  <w:pPr>
                    <w:jc w:val="center"/>
                    <w:rPr>
                      <w:rFonts w:hint="eastAsia"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现有工程排污许可填报类别为简化管理。现有工程化学置换工序属于化学镀，根据《建设项目环境影响评价分类管理名录（2021年版）》，涉及化学镀工艺按照电镀工艺相关规定执行。根据《固定污染源排污许可分类管理名录（2019年版）》，金属表面处理有电镀工序的，排污许可管理类别为重点管理。</w:t>
                  </w:r>
                </w:p>
              </w:tc>
              <w:tc>
                <w:tcPr>
                  <w:tcW w:w="4144" w:type="dxa"/>
                  <w:noWrap w:val="0"/>
                  <w:vAlign w:val="center"/>
                </w:tcPr>
                <w:p>
                  <w:pPr>
                    <w:jc w:val="center"/>
                    <w:rPr>
                      <w:rFonts w:hint="eastAsia"/>
                      <w:color w:val="auto"/>
                      <w:highlight w:val="none"/>
                      <w:u w:val="none" w:color="auto"/>
                      <w:lang w:val="en-US" w:eastAsia="zh-CN"/>
                    </w:rPr>
                  </w:pPr>
                  <w:r>
                    <w:rPr>
                      <w:rFonts w:hint="eastAsia" w:cs="Times New Roman"/>
                      <w:color w:val="auto"/>
                      <w:kern w:val="0"/>
                      <w:sz w:val="21"/>
                      <w:szCs w:val="21"/>
                      <w:highlight w:val="none"/>
                      <w:u w:val="none" w:color="auto"/>
                      <w:lang w:val="en-US" w:eastAsia="zh-CN"/>
                    </w:rPr>
                    <w:t>按排污许可管理要求，进行排污许可证变更。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2"/>
                    </w:numPr>
                    <w:jc w:val="center"/>
                    <w:rPr>
                      <w:rFonts w:hint="default"/>
                      <w:color w:val="auto"/>
                      <w:u w:val="none" w:color="auto"/>
                      <w:lang w:val="en-US" w:eastAsia="zh-CN"/>
                    </w:rPr>
                  </w:pPr>
                </w:p>
              </w:tc>
              <w:tc>
                <w:tcPr>
                  <w:tcW w:w="4517" w:type="dxa"/>
                  <w:noWrap w:val="0"/>
                  <w:vAlign w:val="center"/>
                </w:tcPr>
                <w:p>
                  <w:pPr>
                    <w:jc w:val="center"/>
                    <w:rPr>
                      <w:rFonts w:hint="eastAsia"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废水、废气自行监测要求不满足《</w:t>
                  </w:r>
                  <w:r>
                    <w:rPr>
                      <w:rFonts w:hint="eastAsia" w:cs="Times New Roman"/>
                      <w:color w:val="auto"/>
                      <w:kern w:val="0"/>
                      <w:sz w:val="21"/>
                      <w:szCs w:val="21"/>
                      <w:highlight w:val="none"/>
                      <w:u w:val="none" w:color="auto"/>
                      <w:lang w:val="en-US" w:eastAsia="zh-CN"/>
                    </w:rPr>
                    <w:fldChar w:fldCharType="begin"/>
                  </w:r>
                  <w:r>
                    <w:rPr>
                      <w:rFonts w:hint="eastAsia" w:cs="Times New Roman"/>
                      <w:color w:val="auto"/>
                      <w:kern w:val="0"/>
                      <w:sz w:val="21"/>
                      <w:szCs w:val="21"/>
                      <w:highlight w:val="none"/>
                      <w:u w:val="none" w:color="auto"/>
                      <w:lang w:val="en-US" w:eastAsia="zh-CN"/>
                    </w:rPr>
                    <w:instrText xml:space="preserve"> HYPERLINK "https://www.mee.gov.cn/ywgz/fgbz/bz/bzwb/pwxk/201709/W020170919356232429960.pdf" </w:instrText>
                  </w:r>
                  <w:r>
                    <w:rPr>
                      <w:rFonts w:hint="eastAsia" w:cs="Times New Roman"/>
                      <w:color w:val="auto"/>
                      <w:kern w:val="0"/>
                      <w:sz w:val="21"/>
                      <w:szCs w:val="21"/>
                      <w:highlight w:val="none"/>
                      <w:u w:val="none" w:color="auto"/>
                      <w:lang w:val="en-US" w:eastAsia="zh-CN"/>
                    </w:rPr>
                    <w:fldChar w:fldCharType="separate"/>
                  </w:r>
                  <w:r>
                    <w:rPr>
                      <w:rFonts w:hint="eastAsia" w:cs="Times New Roman"/>
                      <w:color w:val="auto"/>
                      <w:kern w:val="0"/>
                      <w:sz w:val="21"/>
                      <w:szCs w:val="21"/>
                      <w:highlight w:val="none"/>
                      <w:u w:val="none" w:color="auto"/>
                      <w:lang w:val="en-US" w:eastAsia="zh-CN"/>
                    </w:rPr>
                    <w:t>排污许可证申请与核发技术规范电镀工业（HJ855-2017）</w:t>
                  </w:r>
                  <w:r>
                    <w:rPr>
                      <w:rFonts w:hint="eastAsia" w:cs="Times New Roman"/>
                      <w:color w:val="auto"/>
                      <w:kern w:val="0"/>
                      <w:sz w:val="21"/>
                      <w:szCs w:val="21"/>
                      <w:highlight w:val="none"/>
                      <w:u w:val="none" w:color="auto"/>
                      <w:lang w:val="en-US" w:eastAsia="zh-CN"/>
                    </w:rPr>
                    <w:fldChar w:fldCharType="end"/>
                  </w:r>
                  <w:r>
                    <w:rPr>
                      <w:rFonts w:hint="eastAsia" w:cs="Times New Roman"/>
                      <w:color w:val="auto"/>
                      <w:kern w:val="0"/>
                      <w:sz w:val="21"/>
                      <w:szCs w:val="21"/>
                      <w:highlight w:val="none"/>
                      <w:u w:val="none" w:color="auto"/>
                      <w:lang w:val="en-US" w:eastAsia="zh-CN"/>
                    </w:rPr>
                    <w:t>》中监测要求</w:t>
                  </w:r>
                </w:p>
              </w:tc>
              <w:tc>
                <w:tcPr>
                  <w:tcW w:w="4144" w:type="dxa"/>
                  <w:noWrap w:val="0"/>
                  <w:vAlign w:val="center"/>
                </w:tcPr>
                <w:p>
                  <w:pPr>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按照《</w:t>
                  </w:r>
                  <w:r>
                    <w:rPr>
                      <w:rFonts w:hint="eastAsia" w:cs="Times New Roman"/>
                      <w:color w:val="auto"/>
                      <w:kern w:val="0"/>
                      <w:sz w:val="21"/>
                      <w:szCs w:val="21"/>
                      <w:highlight w:val="none"/>
                      <w:u w:val="none" w:color="auto"/>
                      <w:lang w:val="en-US" w:eastAsia="zh-CN"/>
                    </w:rPr>
                    <w:fldChar w:fldCharType="begin"/>
                  </w:r>
                  <w:r>
                    <w:rPr>
                      <w:rFonts w:hint="eastAsia" w:cs="Times New Roman"/>
                      <w:color w:val="auto"/>
                      <w:kern w:val="0"/>
                      <w:sz w:val="21"/>
                      <w:szCs w:val="21"/>
                      <w:highlight w:val="none"/>
                      <w:u w:val="none" w:color="auto"/>
                      <w:lang w:val="en-US" w:eastAsia="zh-CN"/>
                    </w:rPr>
                    <w:instrText xml:space="preserve"> HYPERLINK "https://www.mee.gov.cn/ywgz/fgbz/bz/bzwb/pwxk/201709/W020170919356232429960.pdf" </w:instrText>
                  </w:r>
                  <w:r>
                    <w:rPr>
                      <w:rFonts w:hint="eastAsia" w:cs="Times New Roman"/>
                      <w:color w:val="auto"/>
                      <w:kern w:val="0"/>
                      <w:sz w:val="21"/>
                      <w:szCs w:val="21"/>
                      <w:highlight w:val="none"/>
                      <w:u w:val="none" w:color="auto"/>
                      <w:lang w:val="en-US" w:eastAsia="zh-CN"/>
                    </w:rPr>
                    <w:fldChar w:fldCharType="separate"/>
                  </w:r>
                  <w:r>
                    <w:rPr>
                      <w:rFonts w:hint="eastAsia" w:cs="Times New Roman"/>
                      <w:color w:val="auto"/>
                      <w:kern w:val="0"/>
                      <w:sz w:val="21"/>
                      <w:szCs w:val="21"/>
                      <w:highlight w:val="none"/>
                      <w:u w:val="none" w:color="auto"/>
                      <w:lang w:val="en-US" w:eastAsia="zh-CN"/>
                    </w:rPr>
                    <w:t>排污许可证申请与核发技术规范 电镀工业（HJ855-2017）</w:t>
                  </w:r>
                  <w:r>
                    <w:rPr>
                      <w:rFonts w:hint="eastAsia" w:cs="Times New Roman"/>
                      <w:color w:val="auto"/>
                      <w:kern w:val="0"/>
                      <w:sz w:val="21"/>
                      <w:szCs w:val="21"/>
                      <w:highlight w:val="none"/>
                      <w:u w:val="none" w:color="auto"/>
                      <w:lang w:val="en-US" w:eastAsia="zh-CN"/>
                    </w:rPr>
                    <w:fldChar w:fldCharType="end"/>
                  </w:r>
                  <w:r>
                    <w:rPr>
                      <w:rFonts w:hint="eastAsia" w:cs="Times New Roman"/>
                      <w:color w:val="auto"/>
                      <w:kern w:val="0"/>
                      <w:sz w:val="21"/>
                      <w:szCs w:val="21"/>
                      <w:highlight w:val="none"/>
                      <w:u w:val="none" w:color="auto"/>
                      <w:lang w:val="en-US" w:eastAsia="zh-CN"/>
                    </w:rPr>
                    <w:t>》中监测要求进行废水、废气自行监测，并与监测公司签订自行监测合同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2"/>
                    </w:numPr>
                    <w:jc w:val="center"/>
                    <w:rPr>
                      <w:rFonts w:hint="default"/>
                      <w:color w:val="auto"/>
                      <w:u w:val="none" w:color="auto"/>
                      <w:lang w:val="en-US" w:eastAsia="zh-CN"/>
                    </w:rPr>
                  </w:pPr>
                </w:p>
              </w:tc>
              <w:tc>
                <w:tcPr>
                  <w:tcW w:w="4517" w:type="dxa"/>
                  <w:noWrap w:val="0"/>
                  <w:vAlign w:val="center"/>
                </w:tcPr>
                <w:p>
                  <w:pPr>
                    <w:jc w:val="center"/>
                    <w:rPr>
                      <w:rFonts w:hint="eastAsia"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现有工程化学置换等工序产生的硫酸雾执行《大气污染物综合排放标准》（GB16297-1996）表2中二级标准要求，现有工程化学置换工序属于化学镀，应执行电镀相关标准</w:t>
                  </w:r>
                </w:p>
              </w:tc>
              <w:tc>
                <w:tcPr>
                  <w:tcW w:w="4144" w:type="dxa"/>
                  <w:noWrap w:val="0"/>
                  <w:vAlign w:val="center"/>
                </w:tcPr>
                <w:p>
                  <w:pPr>
                    <w:jc w:val="center"/>
                    <w:rPr>
                      <w:rFonts w:hint="eastAsia"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现有工程化学置换产生的硫酸雾废气执行《电镀污染物排放标准》（GB21900-2008）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2"/>
                    </w:numPr>
                    <w:jc w:val="center"/>
                    <w:rPr>
                      <w:rFonts w:hint="default"/>
                      <w:color w:val="auto"/>
                      <w:u w:val="none" w:color="auto"/>
                      <w:lang w:val="en-US" w:eastAsia="zh-CN"/>
                    </w:rPr>
                  </w:pPr>
                </w:p>
              </w:tc>
              <w:tc>
                <w:tcPr>
                  <w:tcW w:w="4517" w:type="dxa"/>
                  <w:noWrap w:val="0"/>
                  <w:vAlign w:val="center"/>
                </w:tcPr>
                <w:p>
                  <w:pPr>
                    <w:jc w:val="center"/>
                    <w:rPr>
                      <w:rFonts w:hint="default" w:cs="Times New Roman"/>
                      <w:color w:val="auto"/>
                      <w:kern w:val="0"/>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现有工程废水已购买COD总量指标0.2t，氨氮未购买指标，购买的总量指标不满足实际排放量</w:t>
                  </w:r>
                </w:p>
              </w:tc>
              <w:tc>
                <w:tcPr>
                  <w:tcW w:w="4144" w:type="dxa"/>
                  <w:noWrap w:val="0"/>
                  <w:vAlign w:val="center"/>
                </w:tcPr>
                <w:p>
                  <w:pPr>
                    <w:jc w:val="both"/>
                    <w:rPr>
                      <w:rFonts w:hint="default" w:cs="Times New Roman"/>
                      <w:color w:val="auto"/>
                      <w:kern w:val="0"/>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本次改扩建后，全厂COD排放量为0.743t/a、氨氮为0.074t/a，根据排污权总量（附件7），企业已购买COD总量指标0.2t/a，但未购买氨氮总量指标，因此本次改扩建后，需再购买COD总量0.543t/a（50mg/L）、氨氮总量0.074t/a（5mg/L），及时向岳阳市生态环境局总量管理部门办理总量指标购买相关手续。</w:t>
                  </w:r>
                </w:p>
              </w:tc>
            </w:tr>
          </w:tbl>
          <w:p>
            <w:pPr>
              <w:numPr>
                <w:ilvl w:val="0"/>
                <w:numId w:val="0"/>
              </w:numPr>
              <w:spacing w:line="360" w:lineRule="auto"/>
              <w:ind w:left="420" w:leftChars="0"/>
              <w:rPr>
                <w:rFonts w:hint="eastAsia"/>
                <w:b/>
                <w:bCs/>
                <w:color w:val="auto"/>
                <w:sz w:val="24"/>
                <w:szCs w:val="24"/>
                <w:u w:val="single" w:color="auto"/>
              </w:rPr>
            </w:pPr>
            <w:r>
              <w:rPr>
                <w:rFonts w:hint="eastAsia"/>
                <w:b/>
                <w:bCs/>
                <w:color w:val="auto"/>
                <w:sz w:val="24"/>
                <w:szCs w:val="24"/>
                <w:u w:val="single" w:color="auto"/>
                <w:lang w:val="en-US" w:eastAsia="zh-CN"/>
              </w:rPr>
              <w:t>八、未批先建</w:t>
            </w:r>
            <w:r>
              <w:rPr>
                <w:rFonts w:hint="eastAsia"/>
                <w:b/>
                <w:bCs/>
                <w:color w:val="auto"/>
                <w:sz w:val="24"/>
                <w:szCs w:val="24"/>
                <w:u w:val="single" w:color="auto"/>
              </w:rPr>
              <w:t>存在问题及</w:t>
            </w:r>
            <w:r>
              <w:rPr>
                <w:rFonts w:hint="eastAsia"/>
                <w:b/>
                <w:bCs/>
                <w:color w:val="auto"/>
                <w:sz w:val="24"/>
                <w:szCs w:val="24"/>
                <w:u w:val="single" w:color="auto"/>
                <w:lang w:eastAsia="zh-CN"/>
              </w:rPr>
              <w:t>整改措施</w:t>
            </w:r>
          </w:p>
          <w:p>
            <w:pPr>
              <w:jc w:val="center"/>
              <w:rPr>
                <w:rFonts w:hint="eastAsia" w:eastAsia="宋体"/>
                <w:b/>
                <w:bCs/>
                <w:color w:val="auto"/>
                <w:szCs w:val="21"/>
                <w:u w:val="none" w:color="auto"/>
                <w:lang w:eastAsia="zh-CN"/>
              </w:rPr>
            </w:pPr>
            <w:r>
              <w:rPr>
                <w:rFonts w:hint="eastAsia"/>
                <w:b/>
                <w:bCs/>
                <w:color w:val="auto"/>
                <w:sz w:val="24"/>
                <w:szCs w:val="24"/>
                <w:u w:val="none" w:color="auto"/>
              </w:rPr>
              <w:t>表2</w:t>
            </w:r>
            <w:r>
              <w:rPr>
                <w:rFonts w:hint="eastAsia"/>
                <w:b/>
                <w:bCs/>
                <w:color w:val="auto"/>
                <w:sz w:val="24"/>
                <w:szCs w:val="24"/>
                <w:u w:val="none" w:color="auto"/>
                <w:lang w:val="en-US" w:eastAsia="zh-CN"/>
              </w:rPr>
              <w:t>.10-12</w:t>
            </w:r>
            <w:r>
              <w:rPr>
                <w:rFonts w:hint="eastAsia"/>
                <w:b/>
                <w:bCs/>
                <w:color w:val="auto"/>
                <w:sz w:val="24"/>
                <w:szCs w:val="24"/>
                <w:u w:val="single" w:color="auto"/>
                <w:lang w:eastAsia="zh-CN"/>
              </w:rPr>
              <w:t>未批先建</w:t>
            </w:r>
            <w:r>
              <w:rPr>
                <w:rFonts w:hint="eastAsia"/>
                <w:b/>
                <w:bCs/>
                <w:color w:val="auto"/>
                <w:sz w:val="24"/>
                <w:szCs w:val="24"/>
                <w:u w:val="single" w:color="auto"/>
              </w:rPr>
              <w:t>存在问题及</w:t>
            </w:r>
            <w:r>
              <w:rPr>
                <w:rFonts w:hint="eastAsia"/>
                <w:b/>
                <w:bCs/>
                <w:color w:val="auto"/>
                <w:sz w:val="24"/>
                <w:szCs w:val="24"/>
                <w:u w:val="single" w:color="auto"/>
                <w:lang w:eastAsia="zh-CN"/>
              </w:rPr>
              <w:t>整改措施一览表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4517"/>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top"/>
                </w:tcPr>
                <w:p>
                  <w:pPr>
                    <w:jc w:val="center"/>
                    <w:rPr>
                      <w:rFonts w:hint="eastAsia" w:ascii="宋体" w:hAnsi="宋体"/>
                      <w:b/>
                      <w:bCs/>
                      <w:color w:val="auto"/>
                      <w:u w:val="none" w:color="auto"/>
                    </w:rPr>
                  </w:pPr>
                  <w:r>
                    <w:rPr>
                      <w:rFonts w:hint="eastAsia" w:ascii="宋体" w:hAnsi="宋体"/>
                      <w:b/>
                      <w:bCs/>
                      <w:color w:val="auto"/>
                      <w:u w:val="none" w:color="auto"/>
                    </w:rPr>
                    <w:t>序号</w:t>
                  </w:r>
                </w:p>
              </w:tc>
              <w:tc>
                <w:tcPr>
                  <w:tcW w:w="4517" w:type="dxa"/>
                  <w:noWrap w:val="0"/>
                  <w:vAlign w:val="top"/>
                </w:tcPr>
                <w:p>
                  <w:pPr>
                    <w:jc w:val="center"/>
                    <w:rPr>
                      <w:rFonts w:hint="eastAsia" w:ascii="宋体" w:hAnsi="宋体"/>
                      <w:b/>
                      <w:bCs/>
                      <w:color w:val="auto"/>
                      <w:u w:val="none" w:color="auto"/>
                    </w:rPr>
                  </w:pPr>
                  <w:r>
                    <w:rPr>
                      <w:rFonts w:hint="eastAsia" w:ascii="宋体" w:hAnsi="宋体"/>
                      <w:b/>
                      <w:bCs/>
                      <w:color w:val="auto"/>
                      <w:u w:val="none" w:color="auto"/>
                      <w:lang w:eastAsia="zh-CN"/>
                    </w:rPr>
                    <w:t>未批先建</w:t>
                  </w:r>
                  <w:r>
                    <w:rPr>
                      <w:rFonts w:hint="eastAsia" w:ascii="宋体" w:hAnsi="宋体"/>
                      <w:b/>
                      <w:bCs/>
                      <w:color w:val="auto"/>
                      <w:u w:val="none" w:color="auto"/>
                    </w:rPr>
                    <w:t>存在环境问题</w:t>
                  </w:r>
                </w:p>
              </w:tc>
              <w:tc>
                <w:tcPr>
                  <w:tcW w:w="4144" w:type="dxa"/>
                  <w:noWrap w:val="0"/>
                  <w:vAlign w:val="top"/>
                </w:tcPr>
                <w:p>
                  <w:pPr>
                    <w:jc w:val="center"/>
                    <w:rPr>
                      <w:rFonts w:hint="eastAsia" w:ascii="宋体" w:hAnsi="宋体" w:eastAsia="宋体"/>
                      <w:b/>
                      <w:bCs/>
                      <w:color w:val="auto"/>
                      <w:u w:val="none" w:color="auto"/>
                      <w:lang w:eastAsia="zh-CN"/>
                    </w:rPr>
                  </w:pPr>
                  <w:r>
                    <w:rPr>
                      <w:rFonts w:hint="eastAsia" w:ascii="宋体" w:hAnsi="宋体"/>
                      <w:b/>
                      <w:bCs/>
                      <w:color w:val="auto"/>
                      <w:u w:val="none" w:color="auto"/>
                      <w:lang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numPr>
                      <w:ilvl w:val="0"/>
                      <w:numId w:val="23"/>
                    </w:numPr>
                    <w:jc w:val="center"/>
                    <w:rPr>
                      <w:rFonts w:hint="default"/>
                      <w:color w:val="auto"/>
                      <w:u w:val="none" w:color="auto"/>
                      <w:lang w:val="en-US" w:eastAsia="zh-CN"/>
                    </w:rPr>
                  </w:pPr>
                </w:p>
              </w:tc>
              <w:tc>
                <w:tcPr>
                  <w:tcW w:w="4517" w:type="dxa"/>
                  <w:noWrap w:val="0"/>
                  <w:vAlign w:val="center"/>
                </w:tcPr>
                <w:p>
                  <w:pPr>
                    <w:jc w:val="center"/>
                    <w:rPr>
                      <w:rFonts w:hint="eastAsia" w:cs="Times New Roman"/>
                      <w:color w:val="auto"/>
                      <w:kern w:val="0"/>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不锈钢焊丝线酸电解产生的硫酸雾无组织排放</w:t>
                  </w:r>
                </w:p>
              </w:tc>
              <w:tc>
                <w:tcPr>
                  <w:tcW w:w="4144" w:type="dxa"/>
                  <w:noWrap w:val="0"/>
                  <w:vAlign w:val="center"/>
                </w:tcPr>
                <w:p>
                  <w:pPr>
                    <w:jc w:val="center"/>
                    <w:rPr>
                      <w:rFonts w:hint="default" w:cs="Times New Roman"/>
                      <w:color w:val="auto"/>
                      <w:sz w:val="21"/>
                      <w:szCs w:val="21"/>
                      <w:highlight w:val="none"/>
                      <w:u w:val="single" w:color="auto"/>
                      <w:lang w:val="en-US" w:eastAsia="zh-CN"/>
                    </w:rPr>
                  </w:pPr>
                  <w:r>
                    <w:rPr>
                      <w:rFonts w:hint="eastAsia"/>
                      <w:color w:val="auto"/>
                      <w:highlight w:val="none"/>
                      <w:u w:val="single" w:color="auto"/>
                      <w:lang w:val="en-US" w:eastAsia="zh-CN"/>
                    </w:rPr>
                    <w:t>本次改扩建在酸电解工序增设集气装置，收集后的硫酸雾经“碱喷淋吸收+15m高排气筒（DA007）”处理外排</w:t>
                  </w:r>
                </w:p>
              </w:tc>
            </w:tr>
          </w:tbl>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p>
            <w:pPr>
              <w:pStyle w:val="62"/>
              <w:bidi w:val="0"/>
              <w:ind w:firstLine="0" w:firstLineChars="0"/>
              <w:rPr>
                <w:rFonts w:hint="default"/>
                <w:color w:val="auto"/>
                <w:highlight w:val="none"/>
                <w:u w:val="none"/>
                <w:lang w:val="en-US" w:eastAsia="zh-CN"/>
              </w:rPr>
            </w:pPr>
          </w:p>
        </w:tc>
      </w:tr>
    </w:tbl>
    <w:p>
      <w:pPr>
        <w:pStyle w:val="61"/>
        <w:bidi w:val="0"/>
        <w:outlineLvl w:val="9"/>
        <w:rPr>
          <w:rFonts w:hint="default"/>
          <w:color w:val="auto"/>
          <w:highlight w:val="none"/>
          <w:u w:val="none"/>
        </w:rPr>
        <w:sectPr>
          <w:pgSz w:w="11906" w:h="16838"/>
          <w:pgMar w:top="1440" w:right="1080" w:bottom="1440" w:left="1080" w:header="851" w:footer="992" w:gutter="0"/>
          <w:pgNumType w:fmt="decimal"/>
          <w:cols w:space="425" w:num="1"/>
          <w:docGrid w:type="lines" w:linePitch="312" w:charSpace="0"/>
        </w:sectPr>
      </w:pPr>
      <w:bookmarkStart w:id="63" w:name="_Toc8586"/>
    </w:p>
    <w:p>
      <w:pPr>
        <w:pStyle w:val="61"/>
        <w:bidi w:val="0"/>
        <w:rPr>
          <w:rFonts w:hint="default"/>
          <w:color w:val="auto"/>
          <w:highlight w:val="none"/>
          <w:u w:val="none"/>
        </w:rPr>
      </w:pPr>
      <w:bookmarkStart w:id="64" w:name="_Toc8361"/>
      <w:r>
        <w:rPr>
          <w:rFonts w:hint="default"/>
          <w:color w:val="auto"/>
          <w:highlight w:val="none"/>
          <w:u w:val="none"/>
        </w:rPr>
        <w:t>三、区域环境质量现状、环境保护目标及评价标准</w:t>
      </w:r>
      <w:bookmarkEnd w:id="63"/>
      <w:bookmarkEnd w:id="64"/>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0" w:hRule="atLeast"/>
          <w:jc w:val="center"/>
        </w:trPr>
        <w:tc>
          <w:tcPr>
            <w:tcW w:w="800"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区域</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环境</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质量</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现状</w:t>
            </w:r>
          </w:p>
        </w:tc>
        <w:tc>
          <w:tcPr>
            <w:tcW w:w="8190" w:type="dxa"/>
            <w:noWrap w:val="0"/>
            <w:vAlign w:val="center"/>
          </w:tcPr>
          <w:p>
            <w:pPr>
              <w:pStyle w:val="56"/>
              <w:bidi w:val="0"/>
              <w:rPr>
                <w:rFonts w:hint="default"/>
                <w:color w:val="auto"/>
                <w:sz w:val="24"/>
                <w:szCs w:val="24"/>
                <w:highlight w:val="none"/>
                <w:u w:val="none"/>
              </w:rPr>
            </w:pPr>
            <w:r>
              <w:rPr>
                <w:rFonts w:hint="default"/>
                <w:color w:val="auto"/>
                <w:sz w:val="24"/>
                <w:szCs w:val="24"/>
                <w:highlight w:val="none"/>
                <w:u w:val="none"/>
              </w:rPr>
              <w:t>3.1空气环境质量现状</w:t>
            </w:r>
          </w:p>
          <w:p>
            <w:pPr>
              <w:pStyle w:val="59"/>
              <w:bidi w:val="0"/>
              <w:rPr>
                <w:rFonts w:hint="default"/>
                <w:color w:val="auto"/>
                <w:sz w:val="24"/>
                <w:szCs w:val="24"/>
                <w:highlight w:val="none"/>
                <w:u w:val="single" w:color="auto"/>
              </w:rPr>
            </w:pPr>
            <w:r>
              <w:rPr>
                <w:rFonts w:hint="default"/>
                <w:color w:val="auto"/>
                <w:sz w:val="24"/>
                <w:szCs w:val="24"/>
                <w:highlight w:val="none"/>
                <w:u w:val="single" w:color="auto"/>
              </w:rPr>
              <w:t>1、基本污染物环境质量现状及达标区判定</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szCs w:val="24"/>
                <w:u w:val="single" w:color="auto"/>
              </w:rPr>
            </w:pPr>
            <w:r>
              <w:rPr>
                <w:rFonts w:hint="default"/>
                <w:color w:val="auto"/>
                <w:sz w:val="24"/>
                <w:szCs w:val="24"/>
                <w:highlight w:val="none"/>
                <w:u w:val="single" w:color="auto"/>
                <w:lang w:val="zh-CN" w:eastAsia="zh-CN"/>
              </w:rPr>
              <w:t>项目所在区域的空气环境属二类功能区，执行《环境空气质量标准》（GB3095-2012）</w:t>
            </w:r>
            <w:r>
              <w:rPr>
                <w:bCs/>
                <w:color w:val="auto"/>
                <w:sz w:val="24"/>
                <w:szCs w:val="24"/>
                <w:u w:val="single" w:color="auto"/>
              </w:rPr>
              <w:t>及修改单</w:t>
            </w:r>
            <w:r>
              <w:rPr>
                <w:bCs/>
                <w:color w:val="auto"/>
                <w:sz w:val="24"/>
                <w:szCs w:val="24"/>
                <w:u w:val="single" w:color="auto"/>
                <w:lang w:val="zh-CN"/>
              </w:rPr>
              <w:t>中的</w:t>
            </w:r>
            <w:r>
              <w:rPr>
                <w:rFonts w:hint="default"/>
                <w:color w:val="auto"/>
                <w:sz w:val="24"/>
                <w:szCs w:val="24"/>
                <w:highlight w:val="none"/>
                <w:u w:val="single" w:color="auto"/>
                <w:lang w:val="zh-CN" w:eastAsia="zh-CN"/>
              </w:rPr>
              <w:t>二级标准。</w:t>
            </w:r>
            <w:r>
              <w:rPr>
                <w:rFonts w:hint="eastAsia"/>
                <w:color w:val="auto"/>
                <w:sz w:val="24"/>
                <w:szCs w:val="24"/>
                <w:u w:val="single" w:color="auto"/>
                <w:lang w:val="en-US" w:eastAsia="zh-CN"/>
              </w:rPr>
              <w:t>本</w:t>
            </w:r>
            <w:r>
              <w:rPr>
                <w:rFonts w:hint="eastAsia"/>
                <w:color w:val="auto"/>
                <w:sz w:val="24"/>
                <w:szCs w:val="24"/>
                <w:u w:val="single" w:color="auto"/>
              </w:rPr>
              <w:t>项目所在区域达标判定数据来源于岳阳市生态环境局湘阴分局发布的《202</w:t>
            </w:r>
            <w:r>
              <w:rPr>
                <w:rFonts w:hint="eastAsia"/>
                <w:color w:val="auto"/>
                <w:sz w:val="24"/>
                <w:szCs w:val="24"/>
                <w:u w:val="single" w:color="auto"/>
                <w:lang w:val="en-US" w:eastAsia="zh-CN"/>
              </w:rPr>
              <w:t>3</w:t>
            </w:r>
            <w:r>
              <w:rPr>
                <w:rFonts w:hint="eastAsia"/>
                <w:color w:val="auto"/>
                <w:sz w:val="24"/>
                <w:szCs w:val="24"/>
                <w:u w:val="single" w:color="auto"/>
              </w:rPr>
              <w:t>年</w:t>
            </w:r>
            <w:r>
              <w:rPr>
                <w:rFonts w:hint="eastAsia"/>
                <w:color w:val="auto"/>
                <w:sz w:val="24"/>
                <w:szCs w:val="24"/>
                <w:u w:val="single" w:color="auto"/>
                <w:lang w:val="en-US" w:eastAsia="zh-CN"/>
              </w:rPr>
              <w:t>1月-</w:t>
            </w:r>
            <w:r>
              <w:rPr>
                <w:rFonts w:hint="eastAsia"/>
                <w:color w:val="auto"/>
                <w:sz w:val="24"/>
                <w:szCs w:val="24"/>
                <w:u w:val="single" w:color="auto"/>
              </w:rPr>
              <w:t>12月空气</w:t>
            </w:r>
            <w:r>
              <w:rPr>
                <w:rFonts w:hint="eastAsia"/>
                <w:color w:val="auto"/>
                <w:sz w:val="24"/>
                <w:szCs w:val="24"/>
                <w:u w:val="single" w:color="auto"/>
                <w:lang w:val="en-US" w:eastAsia="zh-CN"/>
              </w:rPr>
              <w:t>质量</w:t>
            </w:r>
            <w:r>
              <w:rPr>
                <w:rFonts w:hint="eastAsia"/>
                <w:color w:val="auto"/>
                <w:sz w:val="24"/>
                <w:szCs w:val="24"/>
                <w:u w:val="single" w:color="auto"/>
              </w:rPr>
              <w:t>报表》中环境</w:t>
            </w:r>
            <w:r>
              <w:rPr>
                <w:rFonts w:hint="eastAsia"/>
                <w:color w:val="auto"/>
                <w:sz w:val="24"/>
                <w:szCs w:val="24"/>
                <w:u w:val="single" w:color="auto"/>
                <w:lang w:val="en-US" w:eastAsia="zh-CN"/>
              </w:rPr>
              <w:t>空气</w:t>
            </w:r>
            <w:r>
              <w:rPr>
                <w:rFonts w:hint="eastAsia"/>
                <w:color w:val="auto"/>
                <w:sz w:val="24"/>
                <w:szCs w:val="24"/>
                <w:u w:val="single" w:color="auto"/>
              </w:rPr>
              <w:t>质量现状数据，具体数据分析见下表：</w:t>
            </w:r>
          </w:p>
          <w:p>
            <w:pPr>
              <w:pStyle w:val="10"/>
              <w:spacing w:before="0" w:after="0" w:line="240" w:lineRule="auto"/>
              <w:ind w:right="0"/>
              <w:jc w:val="center"/>
              <w:rPr>
                <w:rFonts w:hint="default" w:ascii="Times New Roman" w:hAnsi="Times New Roman" w:eastAsia="宋体" w:cs="Times New Roman"/>
                <w:b/>
                <w:bCs/>
                <w:color w:val="auto"/>
                <w:sz w:val="24"/>
                <w:szCs w:val="24"/>
                <w:highlight w:val="none"/>
                <w:u w:val="single" w:color="auto"/>
              </w:rPr>
            </w:pPr>
            <w:r>
              <w:rPr>
                <w:rFonts w:hint="default" w:ascii="Times New Roman" w:hAnsi="Times New Roman" w:eastAsia="宋体" w:cs="Times New Roman"/>
                <w:b/>
                <w:bCs/>
                <w:color w:val="auto"/>
                <w:sz w:val="24"/>
                <w:szCs w:val="24"/>
                <w:highlight w:val="none"/>
                <w:u w:val="single" w:color="auto"/>
              </w:rPr>
              <w:t>表3</w:t>
            </w:r>
            <w:r>
              <w:rPr>
                <w:rFonts w:hint="eastAsia" w:cs="Times New Roman"/>
                <w:b/>
                <w:bCs/>
                <w:color w:val="auto"/>
                <w:sz w:val="24"/>
                <w:szCs w:val="24"/>
                <w:highlight w:val="none"/>
                <w:u w:val="single" w:color="auto"/>
                <w:lang w:val="en-US" w:eastAsia="zh-CN"/>
              </w:rPr>
              <w:t>.1</w:t>
            </w:r>
            <w:r>
              <w:rPr>
                <w:rFonts w:hint="default" w:ascii="Times New Roman" w:hAnsi="Times New Roman" w:eastAsia="宋体" w:cs="Times New Roman"/>
                <w:b/>
                <w:bCs/>
                <w:color w:val="auto"/>
                <w:sz w:val="24"/>
                <w:szCs w:val="24"/>
                <w:highlight w:val="none"/>
                <w:u w:val="single" w:color="auto"/>
              </w:rPr>
              <w:t>-1</w:t>
            </w:r>
            <w:r>
              <w:rPr>
                <w:rFonts w:hint="eastAsia" w:ascii="Times New Roman" w:hAnsi="Times New Roman" w:eastAsia="宋体" w:cs="Times New Roman"/>
                <w:b/>
                <w:bCs/>
                <w:color w:val="auto"/>
                <w:sz w:val="24"/>
                <w:szCs w:val="24"/>
                <w:highlight w:val="none"/>
                <w:u w:val="single" w:color="auto"/>
                <w:lang w:val="en-US" w:eastAsia="zh-CN"/>
              </w:rPr>
              <w:t>湘阴县202</w:t>
            </w:r>
            <w:r>
              <w:rPr>
                <w:rFonts w:hint="eastAsia" w:cs="Times New Roman"/>
                <w:b/>
                <w:bCs/>
                <w:color w:val="auto"/>
                <w:sz w:val="24"/>
                <w:szCs w:val="24"/>
                <w:highlight w:val="none"/>
                <w:u w:val="single" w:color="auto"/>
                <w:lang w:val="en-US" w:eastAsia="zh-CN"/>
              </w:rPr>
              <w:t>3</w:t>
            </w:r>
            <w:r>
              <w:rPr>
                <w:rFonts w:hint="default" w:ascii="Times New Roman" w:hAnsi="Times New Roman" w:eastAsia="宋体" w:cs="Times New Roman"/>
                <w:b/>
                <w:bCs/>
                <w:color w:val="auto"/>
                <w:sz w:val="24"/>
                <w:szCs w:val="24"/>
                <w:highlight w:val="none"/>
                <w:u w:val="single" w:color="auto"/>
              </w:rPr>
              <w:t>年度环境空气质量现状评价表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203"/>
              <w:gridCol w:w="1298"/>
              <w:gridCol w:w="1102"/>
              <w:gridCol w:w="112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污染物</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年评价指标</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现状浓度</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标准值</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占标率%</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SO</w:t>
                  </w:r>
                  <w:r>
                    <w:rPr>
                      <w:rFonts w:hint="default" w:ascii="Times New Roman" w:hAnsi="Times New Roman" w:eastAsia="宋体" w:cs="Times New Roman"/>
                      <w:color w:val="auto"/>
                      <w:sz w:val="21"/>
                      <w:szCs w:val="21"/>
                      <w:u w:val="single" w:color="auto"/>
                      <w:vertAlign w:val="subscript"/>
                      <w:lang w:val="en-US" w:eastAsia="zh-CN"/>
                    </w:rPr>
                    <w:t>2</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年平均质量浓度</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33.5</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35</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95.7</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NO</w:t>
                  </w:r>
                  <w:r>
                    <w:rPr>
                      <w:rFonts w:hint="default" w:ascii="Times New Roman" w:hAnsi="Times New Roman" w:eastAsia="宋体" w:cs="Times New Roman"/>
                      <w:color w:val="auto"/>
                      <w:sz w:val="21"/>
                      <w:szCs w:val="21"/>
                      <w:u w:val="single" w:color="auto"/>
                      <w:vertAlign w:val="subscript"/>
                      <w:lang w:val="en-US" w:eastAsia="zh-CN"/>
                    </w:rPr>
                    <w:t>2</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年平均质量浓度</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48.3</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70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69</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PM</w:t>
                  </w:r>
                  <w:r>
                    <w:rPr>
                      <w:rFonts w:hint="default" w:ascii="Times New Roman" w:hAnsi="Times New Roman" w:eastAsia="宋体" w:cs="Times New Roman"/>
                      <w:color w:val="auto"/>
                      <w:sz w:val="21"/>
                      <w:szCs w:val="21"/>
                      <w:u w:val="single" w:color="auto"/>
                      <w:vertAlign w:val="subscript"/>
                      <w:lang w:val="en-US" w:eastAsia="zh-CN"/>
                    </w:rPr>
                    <w:t>10</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年平均质量浓度</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18.8</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40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47</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PM</w:t>
                  </w:r>
                  <w:r>
                    <w:rPr>
                      <w:rFonts w:hint="default" w:ascii="Times New Roman" w:hAnsi="Times New Roman" w:eastAsia="宋体" w:cs="Times New Roman"/>
                      <w:color w:val="auto"/>
                      <w:sz w:val="21"/>
                      <w:szCs w:val="21"/>
                      <w:u w:val="single" w:color="auto"/>
                      <w:vertAlign w:val="subscript"/>
                      <w:lang w:val="en-US" w:eastAsia="zh-CN"/>
                    </w:rPr>
                    <w:t>2.5</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年平均质量浓度</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5</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60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8.3</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CO</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95%日平均质量浓度</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129.6</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160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81</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O</w:t>
                  </w:r>
                  <w:r>
                    <w:rPr>
                      <w:rFonts w:hint="default" w:ascii="Times New Roman" w:hAnsi="Times New Roman" w:eastAsia="宋体" w:cs="Times New Roman"/>
                      <w:color w:val="auto"/>
                      <w:sz w:val="21"/>
                      <w:szCs w:val="21"/>
                      <w:u w:val="single" w:color="auto"/>
                      <w:vertAlign w:val="subscript"/>
                      <w:lang w:val="en-US" w:eastAsia="zh-CN"/>
                    </w:rPr>
                    <w:t>3</w:t>
                  </w:r>
                </w:p>
              </w:tc>
              <w:tc>
                <w:tcPr>
                  <w:tcW w:w="22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90%8h平均质量浓度</w:t>
                  </w:r>
                </w:p>
              </w:tc>
              <w:tc>
                <w:tcPr>
                  <w:tcW w:w="13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783.3</w:t>
                  </w:r>
                </w:p>
              </w:tc>
              <w:tc>
                <w:tcPr>
                  <w:tcW w:w="11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4000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19.6</w:t>
                  </w:r>
                </w:p>
              </w:tc>
              <w:tc>
                <w:tcPr>
                  <w:tcW w:w="13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240" w:lineRule="auto"/>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57"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32" w:beforeLines="10" w:after="32" w:afterLines="10"/>
                    <w:jc w:val="left"/>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单位：µg/m</w:t>
                  </w:r>
                  <w:r>
                    <w:rPr>
                      <w:rFonts w:hint="default" w:ascii="Times New Roman" w:hAnsi="Times New Roman" w:eastAsia="宋体" w:cs="Times New Roman"/>
                      <w:color w:val="auto"/>
                      <w:sz w:val="21"/>
                      <w:szCs w:val="21"/>
                      <w:u w:val="single" w:color="auto"/>
                      <w:vertAlign w:val="superscript"/>
                      <w:lang w:val="en-US" w:eastAsia="zh-CN"/>
                    </w:rPr>
                    <w:t>3</w:t>
                  </w:r>
                  <w:r>
                    <w:rPr>
                      <w:rFonts w:hint="default" w:ascii="Times New Roman" w:hAnsi="Times New Roman" w:eastAsia="宋体" w:cs="Times New Roman"/>
                      <w:color w:val="auto"/>
                      <w:sz w:val="21"/>
                      <w:szCs w:val="21"/>
                      <w:u w:val="single" w:color="auto"/>
                      <w:vertAlign w:val="baseline"/>
                      <w:lang w:val="en-US" w:eastAsia="zh-CN"/>
                    </w:rPr>
                    <w:t>（CO为mg/m</w:t>
                  </w:r>
                  <w:r>
                    <w:rPr>
                      <w:rFonts w:hint="default" w:ascii="Times New Roman" w:hAnsi="Times New Roman" w:eastAsia="宋体" w:cs="Times New Roman"/>
                      <w:color w:val="auto"/>
                      <w:sz w:val="21"/>
                      <w:szCs w:val="21"/>
                      <w:u w:val="single" w:color="auto"/>
                      <w:vertAlign w:val="superscript"/>
                      <w:lang w:val="en-US" w:eastAsia="zh-CN"/>
                    </w:rPr>
                    <w:t>3</w:t>
                  </w:r>
                  <w:r>
                    <w:rPr>
                      <w:rFonts w:hint="default" w:ascii="Times New Roman" w:hAnsi="Times New Roman" w:eastAsia="宋体" w:cs="Times New Roman"/>
                      <w:color w:val="auto"/>
                      <w:sz w:val="21"/>
                      <w:szCs w:val="21"/>
                      <w:u w:val="single" w:color="auto"/>
                      <w:vertAlign w:val="baseline"/>
                      <w:lang w:val="en-US" w:eastAsia="zh-CN"/>
                    </w:rPr>
                    <w:t>）</w:t>
                  </w:r>
                </w:p>
              </w:tc>
            </w:tr>
          </w:tbl>
          <w:p>
            <w:pPr>
              <w:pStyle w:val="62"/>
              <w:bidi w:val="0"/>
              <w:rPr>
                <w:color w:val="auto"/>
                <w:highlight w:val="none"/>
                <w:u w:val="single" w:color="auto"/>
                <w:lang w:val="en-US" w:eastAsia="zh-CN"/>
              </w:rPr>
            </w:pPr>
            <w:r>
              <w:rPr>
                <w:bCs/>
                <w:color w:val="auto"/>
                <w:sz w:val="24"/>
                <w:szCs w:val="24"/>
                <w:u w:val="single" w:color="auto"/>
                <w:lang w:val="zh-CN"/>
              </w:rPr>
              <w:t>由上表可知</w:t>
            </w:r>
            <w:r>
              <w:rPr>
                <w:bCs/>
                <w:color w:val="auto"/>
                <w:sz w:val="24"/>
                <w:szCs w:val="24"/>
                <w:u w:val="single" w:color="auto"/>
              </w:rPr>
              <w:t>，20</w:t>
            </w:r>
            <w:r>
              <w:rPr>
                <w:rFonts w:hint="eastAsia"/>
                <w:bCs/>
                <w:color w:val="auto"/>
                <w:sz w:val="24"/>
                <w:szCs w:val="24"/>
                <w:u w:val="single" w:color="auto"/>
              </w:rPr>
              <w:t>2</w:t>
            </w:r>
            <w:r>
              <w:rPr>
                <w:rFonts w:hint="eastAsia"/>
                <w:bCs/>
                <w:color w:val="auto"/>
                <w:sz w:val="24"/>
                <w:szCs w:val="24"/>
                <w:u w:val="single" w:color="auto"/>
                <w:lang w:val="en-US" w:eastAsia="zh-CN"/>
              </w:rPr>
              <w:t>3</w:t>
            </w:r>
            <w:r>
              <w:rPr>
                <w:bCs/>
                <w:color w:val="auto"/>
                <w:sz w:val="24"/>
                <w:szCs w:val="24"/>
                <w:u w:val="single" w:color="auto"/>
              </w:rPr>
              <w:t>年</w:t>
            </w:r>
            <w:r>
              <w:rPr>
                <w:bCs/>
                <w:color w:val="auto"/>
                <w:sz w:val="24"/>
                <w:szCs w:val="24"/>
                <w:u w:val="single" w:color="auto"/>
                <w:lang w:val="zh-CN"/>
              </w:rPr>
              <w:t>项目所在区域的</w:t>
            </w:r>
            <w:r>
              <w:rPr>
                <w:bCs/>
                <w:color w:val="auto"/>
                <w:sz w:val="24"/>
                <w:szCs w:val="24"/>
                <w:u w:val="single" w:color="auto"/>
              </w:rPr>
              <w:t>PM</w:t>
            </w:r>
            <w:r>
              <w:rPr>
                <w:bCs/>
                <w:color w:val="auto"/>
                <w:sz w:val="24"/>
                <w:szCs w:val="24"/>
                <w:u w:val="single" w:color="auto"/>
                <w:vertAlign w:val="subscript"/>
              </w:rPr>
              <w:t>10</w:t>
            </w:r>
            <w:r>
              <w:rPr>
                <w:bCs/>
                <w:color w:val="auto"/>
                <w:sz w:val="24"/>
                <w:szCs w:val="24"/>
                <w:u w:val="single" w:color="auto"/>
              </w:rPr>
              <w:t>、PM</w:t>
            </w:r>
            <w:r>
              <w:rPr>
                <w:bCs/>
                <w:color w:val="auto"/>
                <w:sz w:val="24"/>
                <w:szCs w:val="24"/>
                <w:u w:val="single" w:color="auto"/>
                <w:vertAlign w:val="subscript"/>
              </w:rPr>
              <w:t>2.5</w:t>
            </w:r>
            <w:r>
              <w:rPr>
                <w:rFonts w:hint="eastAsia"/>
                <w:bCs/>
                <w:color w:val="auto"/>
                <w:sz w:val="24"/>
                <w:szCs w:val="24"/>
                <w:u w:val="single" w:color="auto"/>
                <w:lang w:eastAsia="zh-CN"/>
              </w:rPr>
              <w:t>、</w:t>
            </w:r>
            <w:r>
              <w:rPr>
                <w:bCs/>
                <w:color w:val="auto"/>
                <w:sz w:val="24"/>
                <w:szCs w:val="24"/>
                <w:u w:val="single" w:color="auto"/>
              </w:rPr>
              <w:t>SO</w:t>
            </w:r>
            <w:r>
              <w:rPr>
                <w:bCs/>
                <w:color w:val="auto"/>
                <w:sz w:val="24"/>
                <w:szCs w:val="24"/>
                <w:u w:val="single" w:color="auto"/>
                <w:vertAlign w:val="subscript"/>
              </w:rPr>
              <w:t>2</w:t>
            </w:r>
            <w:r>
              <w:rPr>
                <w:bCs/>
                <w:color w:val="auto"/>
                <w:sz w:val="24"/>
                <w:szCs w:val="24"/>
                <w:u w:val="single" w:color="auto"/>
                <w:lang w:val="zh-CN"/>
              </w:rPr>
              <w:t>、</w:t>
            </w:r>
            <w:r>
              <w:rPr>
                <w:bCs/>
                <w:color w:val="auto"/>
                <w:sz w:val="24"/>
                <w:szCs w:val="24"/>
                <w:u w:val="single" w:color="auto"/>
              </w:rPr>
              <w:t>NO</w:t>
            </w:r>
            <w:r>
              <w:rPr>
                <w:bCs/>
                <w:color w:val="auto"/>
                <w:sz w:val="24"/>
                <w:szCs w:val="24"/>
                <w:u w:val="single" w:color="auto"/>
                <w:vertAlign w:val="subscript"/>
              </w:rPr>
              <w:t>2</w:t>
            </w:r>
            <w:r>
              <w:rPr>
                <w:bCs/>
                <w:color w:val="auto"/>
                <w:sz w:val="24"/>
                <w:szCs w:val="24"/>
                <w:u w:val="single" w:color="auto"/>
              </w:rPr>
              <w:t>年</w:t>
            </w:r>
            <w:r>
              <w:rPr>
                <w:bCs/>
                <w:color w:val="auto"/>
                <w:sz w:val="24"/>
                <w:szCs w:val="24"/>
                <w:u w:val="single" w:color="auto"/>
                <w:lang w:val="zh-CN"/>
              </w:rPr>
              <w:t>平均浓度</w:t>
            </w:r>
            <w:r>
              <w:rPr>
                <w:bCs/>
                <w:color w:val="auto"/>
                <w:sz w:val="24"/>
                <w:szCs w:val="24"/>
                <w:u w:val="single" w:color="auto"/>
              </w:rPr>
              <w:t>，CO的日均值第95百分位浓度均值，O</w:t>
            </w:r>
            <w:r>
              <w:rPr>
                <w:bCs/>
                <w:color w:val="auto"/>
                <w:sz w:val="24"/>
                <w:szCs w:val="24"/>
                <w:u w:val="single" w:color="auto"/>
                <w:vertAlign w:val="subscript"/>
              </w:rPr>
              <w:t>3</w:t>
            </w:r>
            <w:r>
              <w:rPr>
                <w:bCs/>
                <w:color w:val="auto"/>
                <w:sz w:val="24"/>
                <w:szCs w:val="24"/>
                <w:u w:val="single" w:color="auto"/>
              </w:rPr>
              <w:t>的日最大8小时平均第90百分位浓度均值都</w:t>
            </w:r>
            <w:r>
              <w:rPr>
                <w:bCs/>
                <w:color w:val="auto"/>
                <w:sz w:val="24"/>
                <w:szCs w:val="24"/>
                <w:u w:val="single" w:color="auto"/>
                <w:lang w:val="zh-CN"/>
              </w:rPr>
              <w:t>符合《环境空气质量标准》</w:t>
            </w:r>
            <w:r>
              <w:rPr>
                <w:rFonts w:hint="eastAsia"/>
                <w:bCs/>
                <w:color w:val="auto"/>
                <w:sz w:val="24"/>
                <w:szCs w:val="24"/>
                <w:u w:val="single" w:color="auto"/>
                <w:lang w:eastAsia="zh-CN"/>
              </w:rPr>
              <w:t>（</w:t>
            </w:r>
            <w:r>
              <w:rPr>
                <w:bCs/>
                <w:color w:val="auto"/>
                <w:sz w:val="24"/>
                <w:szCs w:val="24"/>
                <w:u w:val="single" w:color="auto"/>
              </w:rPr>
              <w:t>GB3095-2012</w:t>
            </w:r>
            <w:r>
              <w:rPr>
                <w:rFonts w:hint="eastAsia"/>
                <w:bCs/>
                <w:color w:val="auto"/>
                <w:sz w:val="24"/>
                <w:szCs w:val="24"/>
                <w:u w:val="single" w:color="auto"/>
                <w:lang w:eastAsia="zh-CN"/>
              </w:rPr>
              <w:t>）</w:t>
            </w:r>
            <w:r>
              <w:rPr>
                <w:bCs/>
                <w:color w:val="auto"/>
                <w:sz w:val="24"/>
                <w:szCs w:val="24"/>
                <w:u w:val="single" w:color="auto"/>
              </w:rPr>
              <w:t>及修改单</w:t>
            </w:r>
            <w:r>
              <w:rPr>
                <w:bCs/>
                <w:color w:val="auto"/>
                <w:sz w:val="24"/>
                <w:szCs w:val="24"/>
                <w:u w:val="single" w:color="auto"/>
                <w:lang w:val="zh-CN"/>
              </w:rPr>
              <w:t>中的二级标准要求</w:t>
            </w:r>
            <w:r>
              <w:rPr>
                <w:bCs/>
                <w:color w:val="auto"/>
                <w:sz w:val="24"/>
                <w:szCs w:val="24"/>
                <w:u w:val="single" w:color="auto"/>
              </w:rPr>
              <w:t>，故本项目所在区域为环境空气质量达标区</w:t>
            </w:r>
            <w:r>
              <w:rPr>
                <w:rFonts w:hint="eastAsia"/>
                <w:bCs/>
                <w:color w:val="auto"/>
                <w:sz w:val="24"/>
                <w:szCs w:val="24"/>
                <w:u w:val="single" w:color="auto"/>
                <w:lang w:eastAsia="zh-CN"/>
              </w:rPr>
              <w:t>。</w:t>
            </w:r>
          </w:p>
          <w:p>
            <w:pPr>
              <w:pStyle w:val="59"/>
              <w:bidi w:val="0"/>
              <w:rPr>
                <w:rFonts w:hint="default"/>
                <w:color w:val="auto"/>
                <w:sz w:val="24"/>
                <w:szCs w:val="24"/>
                <w:highlight w:val="none"/>
                <w:u w:val="none"/>
              </w:rPr>
            </w:pPr>
            <w:r>
              <w:rPr>
                <w:rFonts w:hint="default"/>
                <w:color w:val="auto"/>
                <w:sz w:val="24"/>
                <w:szCs w:val="24"/>
                <w:highlight w:val="none"/>
                <w:u w:val="none"/>
              </w:rPr>
              <w:t>2、其他污染物环境质量现状</w:t>
            </w:r>
          </w:p>
          <w:p>
            <w:pPr>
              <w:spacing w:line="360" w:lineRule="auto"/>
              <w:ind w:firstLine="480" w:firstLineChars="200"/>
              <w:jc w:val="left"/>
              <w:rPr>
                <w:rFonts w:hint="default" w:ascii="Times New Roman" w:hAnsi="Times New Roman" w:cs="Times New Roman"/>
                <w:color w:val="auto"/>
                <w:sz w:val="24"/>
                <w:szCs w:val="24"/>
                <w:highlight w:val="none"/>
                <w:u w:val="single" w:color="auto"/>
              </w:rPr>
            </w:pPr>
            <w:r>
              <w:rPr>
                <w:rFonts w:hint="default" w:ascii="Times New Roman" w:hAnsi="Times New Roman" w:cs="Times New Roman"/>
                <w:color w:val="auto"/>
                <w:sz w:val="24"/>
                <w:szCs w:val="24"/>
                <w:highlight w:val="none"/>
                <w:u w:val="single" w:color="auto"/>
              </w:rPr>
              <w:t>为了解项目评价区域内环境质量现状，本次环评委托</w:t>
            </w:r>
            <w:r>
              <w:rPr>
                <w:rFonts w:hint="default" w:ascii="Times New Roman" w:hAnsi="Times New Roman" w:cs="Times New Roman"/>
                <w:color w:val="auto"/>
                <w:sz w:val="24"/>
                <w:szCs w:val="24"/>
                <w:highlight w:val="none"/>
                <w:u w:val="single" w:color="auto"/>
                <w:lang w:val="en-US" w:eastAsia="zh-CN"/>
              </w:rPr>
              <w:t>湖南中额环保科技有限公司</w:t>
            </w:r>
            <w:r>
              <w:rPr>
                <w:rFonts w:hint="default" w:ascii="Times New Roman" w:hAnsi="Times New Roman" w:cs="Times New Roman"/>
                <w:color w:val="auto"/>
                <w:sz w:val="24"/>
                <w:szCs w:val="24"/>
                <w:highlight w:val="none"/>
                <w:u w:val="single" w:color="auto"/>
              </w:rPr>
              <w:t>于</w:t>
            </w:r>
            <w:r>
              <w:rPr>
                <w:rFonts w:hint="eastAsia" w:ascii="Times New Roman" w:hAnsi="Times New Roman" w:cs="Times New Roman"/>
                <w:color w:val="auto"/>
                <w:sz w:val="24"/>
                <w:szCs w:val="24"/>
                <w:highlight w:val="none"/>
                <w:u w:val="single" w:color="auto"/>
                <w:lang w:val="en-US" w:eastAsia="zh-CN"/>
              </w:rPr>
              <w:t>2024</w:t>
            </w:r>
            <w:r>
              <w:rPr>
                <w:rFonts w:hint="default" w:ascii="Times New Roman" w:hAnsi="Times New Roman" w:cs="Times New Roman"/>
                <w:color w:val="auto"/>
                <w:sz w:val="24"/>
                <w:szCs w:val="24"/>
                <w:highlight w:val="none"/>
                <w:u w:val="single" w:color="auto"/>
              </w:rPr>
              <w:t>年</w:t>
            </w:r>
            <w:r>
              <w:rPr>
                <w:rFonts w:hint="eastAsia" w:ascii="Times New Roman" w:hAnsi="Times New Roman" w:cs="Times New Roman"/>
                <w:color w:val="auto"/>
                <w:sz w:val="24"/>
                <w:szCs w:val="24"/>
                <w:highlight w:val="none"/>
                <w:u w:val="single" w:color="auto"/>
                <w:lang w:val="en-US" w:eastAsia="zh-CN"/>
              </w:rPr>
              <w:t>6</w:t>
            </w:r>
            <w:r>
              <w:rPr>
                <w:rFonts w:hint="default" w:ascii="Times New Roman" w:hAnsi="Times New Roman" w:cs="Times New Roman"/>
                <w:color w:val="auto"/>
                <w:sz w:val="24"/>
                <w:szCs w:val="24"/>
                <w:highlight w:val="none"/>
                <w:u w:val="single" w:color="auto"/>
              </w:rPr>
              <w:t>月</w:t>
            </w:r>
            <w:r>
              <w:rPr>
                <w:rFonts w:hint="eastAsia" w:ascii="Times New Roman" w:hAnsi="Times New Roman" w:cs="Times New Roman"/>
                <w:color w:val="auto"/>
                <w:sz w:val="24"/>
                <w:szCs w:val="24"/>
                <w:highlight w:val="none"/>
                <w:u w:val="single" w:color="auto"/>
                <w:lang w:val="en-US" w:eastAsia="zh-CN"/>
              </w:rPr>
              <w:t>6</w:t>
            </w:r>
            <w:r>
              <w:rPr>
                <w:rFonts w:hint="default" w:ascii="Times New Roman" w:hAnsi="Times New Roman" w:cs="Times New Roman"/>
                <w:color w:val="auto"/>
                <w:sz w:val="24"/>
                <w:szCs w:val="24"/>
                <w:highlight w:val="none"/>
                <w:u w:val="single" w:color="auto"/>
              </w:rPr>
              <w:t>日~</w:t>
            </w:r>
            <w:r>
              <w:rPr>
                <w:rFonts w:hint="eastAsia" w:ascii="Times New Roman" w:hAnsi="Times New Roman" w:cs="Times New Roman"/>
                <w:color w:val="auto"/>
                <w:sz w:val="24"/>
                <w:szCs w:val="24"/>
                <w:highlight w:val="none"/>
                <w:u w:val="single" w:color="auto"/>
                <w:lang w:val="en-US" w:eastAsia="zh-CN"/>
              </w:rPr>
              <w:t>6</w:t>
            </w:r>
            <w:r>
              <w:rPr>
                <w:rFonts w:hint="default" w:ascii="Times New Roman" w:hAnsi="Times New Roman" w:cs="Times New Roman"/>
                <w:color w:val="auto"/>
                <w:sz w:val="24"/>
                <w:szCs w:val="24"/>
                <w:highlight w:val="none"/>
                <w:u w:val="single" w:color="auto"/>
              </w:rPr>
              <w:t>月</w:t>
            </w:r>
            <w:r>
              <w:rPr>
                <w:rFonts w:hint="eastAsia" w:ascii="Times New Roman" w:hAnsi="Times New Roman" w:cs="Times New Roman"/>
                <w:color w:val="auto"/>
                <w:sz w:val="24"/>
                <w:szCs w:val="24"/>
                <w:highlight w:val="none"/>
                <w:u w:val="single" w:color="auto"/>
                <w:lang w:val="en-US" w:eastAsia="zh-CN"/>
              </w:rPr>
              <w:t>8</w:t>
            </w:r>
            <w:r>
              <w:rPr>
                <w:rFonts w:hint="default" w:ascii="Times New Roman" w:hAnsi="Times New Roman" w:cs="Times New Roman"/>
                <w:color w:val="auto"/>
                <w:sz w:val="24"/>
                <w:szCs w:val="24"/>
                <w:highlight w:val="none"/>
                <w:u w:val="single" w:color="auto"/>
              </w:rPr>
              <w:t>日对评价区域内</w:t>
            </w:r>
            <w:r>
              <w:rPr>
                <w:rFonts w:hint="eastAsia" w:ascii="Times New Roman" w:hAnsi="Times New Roman" w:cs="Times New Roman"/>
                <w:color w:val="auto"/>
                <w:sz w:val="24"/>
                <w:szCs w:val="24"/>
                <w:highlight w:val="none"/>
                <w:u w:val="single" w:color="auto"/>
                <w:lang w:eastAsia="zh-CN"/>
              </w:rPr>
              <w:t>硫酸雾</w:t>
            </w:r>
            <w:r>
              <w:rPr>
                <w:rFonts w:hint="eastAsia" w:cs="Times New Roman"/>
                <w:color w:val="auto"/>
                <w:sz w:val="24"/>
                <w:szCs w:val="24"/>
                <w:highlight w:val="none"/>
                <w:u w:val="single" w:color="auto"/>
                <w:lang w:eastAsia="zh-CN"/>
              </w:rPr>
              <w:t>、苯乙烯、乙苯</w:t>
            </w:r>
            <w:r>
              <w:rPr>
                <w:rFonts w:hint="default" w:ascii="Times New Roman" w:hAnsi="Times New Roman" w:cs="Times New Roman"/>
                <w:color w:val="auto"/>
                <w:sz w:val="24"/>
                <w:szCs w:val="24"/>
                <w:highlight w:val="none"/>
                <w:u w:val="single" w:color="auto"/>
              </w:rPr>
              <w:t>进行了</w:t>
            </w:r>
            <w:r>
              <w:rPr>
                <w:rFonts w:hint="eastAsia" w:ascii="Times New Roman" w:hAnsi="Times New Roman" w:cs="Times New Roman"/>
                <w:color w:val="auto"/>
                <w:sz w:val="24"/>
                <w:szCs w:val="24"/>
                <w:highlight w:val="none"/>
                <w:u w:val="single" w:color="auto"/>
                <w:lang w:eastAsia="zh-CN"/>
              </w:rPr>
              <w:t>现状</w:t>
            </w:r>
            <w:r>
              <w:rPr>
                <w:rFonts w:hint="default" w:ascii="Times New Roman" w:hAnsi="Times New Roman" w:cs="Times New Roman"/>
                <w:color w:val="auto"/>
                <w:sz w:val="24"/>
                <w:szCs w:val="24"/>
                <w:highlight w:val="none"/>
                <w:u w:val="single" w:color="auto"/>
              </w:rPr>
              <w:t>监测。</w:t>
            </w:r>
          </w:p>
          <w:p>
            <w:pPr>
              <w:spacing w:line="360" w:lineRule="auto"/>
              <w:ind w:firstLine="480" w:firstLineChars="200"/>
              <w:jc w:val="left"/>
              <w:rPr>
                <w:rFonts w:hint="default" w:ascii="Times New Roman" w:hAnsi="Times New Roman" w:cs="Times New Roman"/>
                <w:color w:val="auto"/>
                <w:sz w:val="24"/>
                <w:szCs w:val="24"/>
                <w:highlight w:val="none"/>
                <w:u w:val="single" w:color="auto"/>
              </w:rPr>
            </w:pPr>
            <w:r>
              <w:rPr>
                <w:rFonts w:hint="default" w:ascii="Times New Roman" w:hAnsi="Times New Roman" w:cs="Times New Roman"/>
                <w:color w:val="auto"/>
                <w:sz w:val="24"/>
                <w:szCs w:val="24"/>
                <w:highlight w:val="none"/>
                <w:u w:val="single" w:color="auto"/>
              </w:rPr>
              <w:t>监测因子：</w:t>
            </w:r>
            <w:r>
              <w:rPr>
                <w:rFonts w:hint="eastAsia" w:ascii="Times New Roman" w:hAnsi="Times New Roman" w:cs="Times New Roman"/>
                <w:color w:val="auto"/>
                <w:sz w:val="24"/>
                <w:szCs w:val="24"/>
                <w:highlight w:val="none"/>
                <w:u w:val="single" w:color="auto"/>
                <w:lang w:eastAsia="zh-CN"/>
              </w:rPr>
              <w:t>硫酸雾</w:t>
            </w:r>
            <w:r>
              <w:rPr>
                <w:rFonts w:hint="eastAsia" w:cs="Times New Roman"/>
                <w:color w:val="auto"/>
                <w:sz w:val="24"/>
                <w:szCs w:val="24"/>
                <w:highlight w:val="none"/>
                <w:u w:val="single" w:color="auto"/>
                <w:lang w:eastAsia="zh-CN"/>
              </w:rPr>
              <w:t>、苯乙烯、乙苯</w:t>
            </w:r>
          </w:p>
          <w:p>
            <w:pPr>
              <w:spacing w:line="360" w:lineRule="auto"/>
              <w:ind w:firstLine="480" w:firstLineChars="200"/>
              <w:jc w:val="left"/>
              <w:rPr>
                <w:rFonts w:hint="eastAsia" w:ascii="Times New Roman" w:hAnsi="Times New Roman" w:eastAsia="宋体" w:cs="Times New Roman"/>
                <w:color w:val="auto"/>
                <w:sz w:val="24"/>
                <w:szCs w:val="24"/>
                <w:highlight w:val="none"/>
                <w:u w:val="single" w:color="auto"/>
                <w:lang w:eastAsia="zh-CN"/>
              </w:rPr>
            </w:pPr>
            <w:r>
              <w:rPr>
                <w:rFonts w:hint="default" w:ascii="Times New Roman" w:hAnsi="Times New Roman" w:cs="Times New Roman"/>
                <w:color w:val="auto"/>
                <w:sz w:val="24"/>
                <w:szCs w:val="24"/>
                <w:highlight w:val="none"/>
                <w:u w:val="single" w:color="auto"/>
              </w:rPr>
              <w:t>监测时间：共3天</w:t>
            </w:r>
          </w:p>
          <w:p>
            <w:pPr>
              <w:spacing w:line="360" w:lineRule="auto"/>
              <w:ind w:firstLine="480" w:firstLineChars="200"/>
              <w:jc w:val="left"/>
              <w:rPr>
                <w:rFonts w:hint="default" w:ascii="Times New Roman" w:hAnsi="Times New Roman" w:cs="Times New Roman"/>
                <w:color w:val="auto"/>
                <w:sz w:val="24"/>
                <w:szCs w:val="24"/>
                <w:highlight w:val="none"/>
                <w:u w:val="single" w:color="auto"/>
              </w:rPr>
            </w:pPr>
            <w:r>
              <w:rPr>
                <w:rFonts w:hint="default" w:ascii="Times New Roman" w:hAnsi="Times New Roman" w:cs="Times New Roman"/>
                <w:color w:val="auto"/>
                <w:sz w:val="24"/>
                <w:szCs w:val="24"/>
                <w:highlight w:val="none"/>
                <w:u w:val="single" w:color="auto"/>
              </w:rPr>
              <w:t>监测点位：本次监测布设1处监测点，G1厂界</w:t>
            </w:r>
            <w:r>
              <w:rPr>
                <w:rFonts w:hint="default" w:ascii="Times New Roman" w:hAnsi="Times New Roman" w:cs="Times New Roman"/>
                <w:color w:val="auto"/>
                <w:sz w:val="24"/>
                <w:szCs w:val="24"/>
                <w:highlight w:val="none"/>
                <w:u w:val="single" w:color="auto"/>
                <w:lang w:eastAsia="zh-CN"/>
              </w:rPr>
              <w:t>东南</w:t>
            </w:r>
            <w:r>
              <w:rPr>
                <w:rFonts w:hint="default" w:ascii="Times New Roman" w:hAnsi="Times New Roman" w:cs="Times New Roman"/>
                <w:color w:val="auto"/>
                <w:sz w:val="24"/>
                <w:szCs w:val="24"/>
                <w:highlight w:val="none"/>
                <w:u w:val="single" w:color="auto"/>
              </w:rPr>
              <w:t>侧</w:t>
            </w:r>
            <w:r>
              <w:rPr>
                <w:rFonts w:hint="eastAsia" w:ascii="Times New Roman" w:hAnsi="Times New Roman" w:cs="Times New Roman"/>
                <w:color w:val="auto"/>
                <w:sz w:val="24"/>
                <w:szCs w:val="24"/>
                <w:highlight w:val="none"/>
                <w:u w:val="single" w:color="auto"/>
                <w:lang w:val="en-US" w:eastAsia="zh-CN"/>
              </w:rPr>
              <w:t>145</w:t>
            </w:r>
            <w:r>
              <w:rPr>
                <w:rFonts w:hint="default" w:ascii="Times New Roman" w:hAnsi="Times New Roman" w:cs="Times New Roman"/>
                <w:color w:val="auto"/>
                <w:sz w:val="24"/>
                <w:szCs w:val="24"/>
                <w:highlight w:val="none"/>
                <w:u w:val="single" w:color="auto"/>
              </w:rPr>
              <w:t>m处</w:t>
            </w:r>
            <w:r>
              <w:rPr>
                <w:rFonts w:hint="default" w:ascii="Times New Roman" w:hAnsi="Times New Roman" w:cs="Times New Roman"/>
                <w:color w:val="auto"/>
                <w:sz w:val="24"/>
                <w:szCs w:val="24"/>
                <w:highlight w:val="none"/>
                <w:u w:val="single" w:color="auto"/>
                <w:lang w:eastAsia="zh-CN"/>
              </w:rPr>
              <w:t>金龙居民管委会</w:t>
            </w:r>
          </w:p>
          <w:p>
            <w:pPr>
              <w:spacing w:line="360" w:lineRule="auto"/>
              <w:ind w:firstLine="480" w:firstLineChars="200"/>
              <w:jc w:val="left"/>
              <w:rPr>
                <w:rFonts w:hint="default" w:ascii="Times New Roman" w:hAnsi="Times New Roman" w:cs="Times New Roman"/>
                <w:color w:val="auto"/>
                <w:sz w:val="24"/>
                <w:szCs w:val="24"/>
                <w:highlight w:val="none"/>
                <w:u w:val="single" w:color="auto"/>
              </w:rPr>
            </w:pPr>
            <w:r>
              <w:rPr>
                <w:rFonts w:hint="default" w:ascii="Times New Roman" w:hAnsi="Times New Roman" w:cs="Times New Roman"/>
                <w:color w:val="auto"/>
                <w:sz w:val="24"/>
                <w:szCs w:val="24"/>
                <w:highlight w:val="none"/>
                <w:u w:val="single" w:color="auto"/>
              </w:rPr>
              <w:t>评价标准：</w:t>
            </w:r>
            <w:r>
              <w:rPr>
                <w:rFonts w:hint="default" w:ascii="Times New Roman" w:hAnsi="Times New Roman" w:cs="Times New Roman"/>
                <w:color w:val="auto"/>
                <w:sz w:val="24"/>
                <w:szCs w:val="24"/>
                <w:highlight w:val="none"/>
                <w:u w:val="single" w:color="auto"/>
                <w:lang w:val="en-US" w:eastAsia="zh-CN"/>
              </w:rPr>
              <w:t>《环境影响评价技术导则大气环境》（HJ2.2-2018）附录D</w:t>
            </w:r>
            <w:r>
              <w:rPr>
                <w:rFonts w:hint="default" w:ascii="Times New Roman" w:hAnsi="Times New Roman" w:cs="Times New Roman"/>
                <w:color w:val="auto"/>
                <w:sz w:val="24"/>
                <w:szCs w:val="24"/>
                <w:highlight w:val="none"/>
                <w:u w:val="single" w:color="auto"/>
              </w:rPr>
              <w:t>。</w:t>
            </w:r>
          </w:p>
          <w:p>
            <w:pPr>
              <w:spacing w:line="360" w:lineRule="auto"/>
              <w:ind w:firstLine="480" w:firstLineChars="200"/>
              <w:jc w:val="left"/>
              <w:rPr>
                <w:rFonts w:hint="default" w:ascii="Times New Roman" w:hAnsi="Times New Roman" w:cs="Times New Roman"/>
                <w:color w:val="auto"/>
                <w:sz w:val="24"/>
                <w:szCs w:val="24"/>
                <w:highlight w:val="none"/>
                <w:u w:val="single" w:color="auto"/>
              </w:rPr>
            </w:pPr>
            <w:r>
              <w:rPr>
                <w:rFonts w:hint="default" w:ascii="Times New Roman" w:hAnsi="Times New Roman" w:cs="Times New Roman"/>
                <w:color w:val="auto"/>
                <w:sz w:val="24"/>
                <w:szCs w:val="24"/>
                <w:highlight w:val="none"/>
                <w:u w:val="single" w:color="auto"/>
              </w:rPr>
              <w:t>监测结果及评价：环境空气质量现状检测结果见表</w:t>
            </w:r>
            <w:r>
              <w:rPr>
                <w:rFonts w:hint="eastAsia" w:ascii="Times New Roman" w:hAnsi="Times New Roman" w:cs="Times New Roman"/>
                <w:color w:val="auto"/>
                <w:sz w:val="24"/>
                <w:szCs w:val="24"/>
                <w:highlight w:val="none"/>
                <w:u w:val="single" w:color="auto"/>
                <w:lang w:val="en-US" w:eastAsia="zh-CN"/>
              </w:rPr>
              <w:t>3.1-2</w:t>
            </w:r>
            <w:r>
              <w:rPr>
                <w:rFonts w:hint="default" w:ascii="Times New Roman" w:hAnsi="Times New Roman" w:cs="Times New Roman"/>
                <w:color w:val="auto"/>
                <w:sz w:val="24"/>
                <w:szCs w:val="24"/>
                <w:highlight w:val="none"/>
                <w:u w:val="single" w:color="auto"/>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4"/>
                <w:szCs w:val="24"/>
                <w:highlight w:val="none"/>
                <w:u w:val="single" w:color="auto"/>
                <w:lang w:val="en-US" w:eastAsia="zh-CN"/>
              </w:rPr>
            </w:pPr>
            <w:r>
              <w:rPr>
                <w:rFonts w:hint="eastAsia" w:ascii="Times New Roman" w:hAnsi="Times New Roman" w:eastAsia="宋体" w:cs="Times New Roman"/>
                <w:b/>
                <w:color w:val="auto"/>
                <w:sz w:val="24"/>
                <w:szCs w:val="24"/>
                <w:highlight w:val="none"/>
                <w:u w:val="single" w:color="auto"/>
                <w:lang w:val="en-US" w:eastAsia="zh-CN"/>
              </w:rPr>
              <w:t>表3</w:t>
            </w:r>
            <w:r>
              <w:rPr>
                <w:rFonts w:hint="eastAsia" w:eastAsia="宋体" w:cs="Times New Roman"/>
                <w:b/>
                <w:color w:val="auto"/>
                <w:sz w:val="24"/>
                <w:szCs w:val="24"/>
                <w:highlight w:val="none"/>
                <w:u w:val="single" w:color="auto"/>
                <w:lang w:val="en-US" w:eastAsia="zh-CN"/>
              </w:rPr>
              <w:t>.1</w:t>
            </w:r>
            <w:r>
              <w:rPr>
                <w:rFonts w:hint="eastAsia" w:ascii="Times New Roman" w:hAnsi="Times New Roman" w:eastAsia="宋体" w:cs="Times New Roman"/>
                <w:b/>
                <w:color w:val="auto"/>
                <w:sz w:val="24"/>
                <w:szCs w:val="24"/>
                <w:highlight w:val="none"/>
                <w:u w:val="single" w:color="auto"/>
                <w:lang w:val="en-US" w:eastAsia="zh-CN"/>
              </w:rPr>
              <w:t>-2环境空气质量数据统计结果（单位</w:t>
            </w:r>
            <w:r>
              <w:rPr>
                <w:rFonts w:hint="default" w:ascii="Times New Roman" w:hAnsi="Times New Roman" w:eastAsia="宋体" w:cs="Times New Roman"/>
                <w:b/>
                <w:color w:val="auto"/>
                <w:sz w:val="24"/>
                <w:szCs w:val="24"/>
                <w:highlight w:val="none"/>
                <w:u w:val="single" w:color="auto"/>
                <w:lang w:val="en-US" w:eastAsia="zh-CN"/>
              </w:rPr>
              <w:t>μ</w:t>
            </w:r>
            <w:r>
              <w:rPr>
                <w:rFonts w:hint="eastAsia" w:ascii="Times New Roman" w:hAnsi="Times New Roman" w:eastAsia="宋体" w:cs="Times New Roman"/>
                <w:b/>
                <w:color w:val="auto"/>
                <w:sz w:val="24"/>
                <w:szCs w:val="24"/>
                <w:highlight w:val="none"/>
                <w:u w:val="single" w:color="auto"/>
                <w:lang w:val="en-US" w:eastAsia="zh-CN"/>
              </w:rPr>
              <w:t>g/m</w:t>
            </w:r>
            <w:r>
              <w:rPr>
                <w:rFonts w:hint="eastAsia" w:ascii="Times New Roman" w:hAnsi="Times New Roman" w:eastAsia="宋体" w:cs="Times New Roman"/>
                <w:b/>
                <w:color w:val="auto"/>
                <w:sz w:val="24"/>
                <w:szCs w:val="24"/>
                <w:highlight w:val="none"/>
                <w:u w:val="single" w:color="auto"/>
                <w:vertAlign w:val="superscript"/>
                <w:lang w:val="en-US" w:eastAsia="zh-CN"/>
              </w:rPr>
              <w:t>3</w:t>
            </w:r>
            <w:r>
              <w:rPr>
                <w:rFonts w:hint="eastAsia" w:ascii="Times New Roman" w:hAnsi="Times New Roman" w:eastAsia="宋体" w:cs="Times New Roman"/>
                <w:b/>
                <w:color w:val="auto"/>
                <w:sz w:val="24"/>
                <w:szCs w:val="24"/>
                <w:highlight w:val="none"/>
                <w:u w:val="single" w:color="auto"/>
                <w:lang w:val="en-US" w:eastAsia="zh-CN"/>
              </w:rPr>
              <w:t>）</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900"/>
              <w:gridCol w:w="675"/>
              <w:gridCol w:w="735"/>
              <w:gridCol w:w="855"/>
              <w:gridCol w:w="854"/>
              <w:gridCol w:w="795"/>
              <w:gridCol w:w="825"/>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2" w:type="pct"/>
                  <w:vMerge w:val="restart"/>
                  <w:noWrap w:val="0"/>
                  <w:vAlign w:val="center"/>
                </w:tcPr>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监测</w:t>
                  </w:r>
                </w:p>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点位</w:t>
                  </w:r>
                </w:p>
              </w:tc>
              <w:tc>
                <w:tcPr>
                  <w:tcW w:w="565" w:type="pct"/>
                  <w:vMerge w:val="restart"/>
                  <w:noWrap w:val="0"/>
                  <w:vAlign w:val="center"/>
                </w:tcPr>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项目</w:t>
                  </w:r>
                </w:p>
              </w:tc>
              <w:tc>
                <w:tcPr>
                  <w:tcW w:w="423" w:type="pct"/>
                  <w:vMerge w:val="restart"/>
                  <w:noWrap w:val="0"/>
                  <w:vAlign w:val="center"/>
                </w:tcPr>
                <w:p>
                  <w:pPr>
                    <w:widowControl/>
                    <w:spacing w:line="320" w:lineRule="exact"/>
                    <w:jc w:val="center"/>
                    <w:rPr>
                      <w:rFonts w:hint="eastAsia" w:eastAsia="宋体"/>
                      <w:b/>
                      <w:bCs/>
                      <w:color w:val="auto"/>
                      <w:kern w:val="0"/>
                      <w:szCs w:val="21"/>
                      <w:u w:val="single" w:color="auto"/>
                      <w:lang w:eastAsia="zh-CN"/>
                    </w:rPr>
                  </w:pPr>
                  <w:r>
                    <w:rPr>
                      <w:rFonts w:hint="default" w:ascii="Times New Roman" w:hAnsi="Times New Roman" w:eastAsia="宋体" w:cs="Times New Roman"/>
                      <w:b/>
                      <w:bCs w:val="0"/>
                      <w:color w:val="auto"/>
                      <w:sz w:val="21"/>
                      <w:szCs w:val="21"/>
                      <w:highlight w:val="none"/>
                      <w:u w:val="single" w:color="auto"/>
                    </w:rPr>
                    <w:t>平均时间</w:t>
                  </w:r>
                </w:p>
              </w:tc>
              <w:tc>
                <w:tcPr>
                  <w:tcW w:w="1534" w:type="pct"/>
                  <w:gridSpan w:val="3"/>
                  <w:noWrap w:val="0"/>
                  <w:vAlign w:val="center"/>
                </w:tcPr>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浓度范围</w:t>
                  </w:r>
                </w:p>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w:t>
                  </w:r>
                  <w:r>
                    <w:rPr>
                      <w:rFonts w:hint="default" w:ascii="Times New Roman" w:hAnsi="Times New Roman" w:eastAsia="宋体" w:cs="Times New Roman"/>
                      <w:b/>
                      <w:bCs/>
                      <w:color w:val="auto"/>
                      <w:kern w:val="0"/>
                      <w:szCs w:val="21"/>
                      <w:u w:val="single" w:color="auto"/>
                    </w:rPr>
                    <w:t>μg/m</w:t>
                  </w:r>
                  <w:r>
                    <w:rPr>
                      <w:rFonts w:hint="default" w:ascii="Times New Roman" w:hAnsi="Times New Roman" w:eastAsia="宋体" w:cs="Times New Roman"/>
                      <w:b/>
                      <w:bCs/>
                      <w:color w:val="auto"/>
                      <w:kern w:val="0"/>
                      <w:szCs w:val="21"/>
                      <w:u w:val="single" w:color="auto"/>
                      <w:vertAlign w:val="superscript"/>
                    </w:rPr>
                    <w:t>3</w:t>
                  </w:r>
                  <w:r>
                    <w:rPr>
                      <w:rFonts w:hint="default" w:ascii="Times New Roman" w:hAnsi="Times New Roman" w:eastAsia="宋体" w:cs="Times New Roman"/>
                      <w:b/>
                      <w:bCs/>
                      <w:color w:val="auto"/>
                      <w:kern w:val="0"/>
                      <w:szCs w:val="21"/>
                      <w:u w:val="single" w:color="auto"/>
                    </w:rPr>
                    <w:t>）</w:t>
                  </w:r>
                </w:p>
              </w:tc>
              <w:tc>
                <w:tcPr>
                  <w:tcW w:w="499" w:type="pct"/>
                  <w:vMerge w:val="restart"/>
                  <w:noWrap w:val="0"/>
                  <w:vAlign w:val="center"/>
                </w:tcPr>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超标率（%）</w:t>
                  </w:r>
                </w:p>
              </w:tc>
              <w:tc>
                <w:tcPr>
                  <w:tcW w:w="517" w:type="pct"/>
                  <w:vMerge w:val="restart"/>
                  <w:noWrap w:val="0"/>
                  <w:vAlign w:val="center"/>
                </w:tcPr>
                <w:p>
                  <w:pPr>
                    <w:widowControl/>
                    <w:spacing w:line="320" w:lineRule="exact"/>
                    <w:jc w:val="center"/>
                    <w:rPr>
                      <w:rFonts w:eastAsia="宋体"/>
                      <w:b/>
                      <w:bCs/>
                      <w:color w:val="auto"/>
                      <w:kern w:val="0"/>
                      <w:szCs w:val="21"/>
                      <w:u w:val="single" w:color="auto"/>
                    </w:rPr>
                  </w:pPr>
                  <w:r>
                    <w:rPr>
                      <w:rFonts w:eastAsia="宋体"/>
                      <w:b/>
                      <w:bCs/>
                      <w:color w:val="auto"/>
                      <w:kern w:val="0"/>
                      <w:szCs w:val="21"/>
                      <w:u w:val="single" w:color="auto"/>
                    </w:rPr>
                    <w:t>最大超标倍数（%）</w:t>
                  </w:r>
                </w:p>
              </w:tc>
              <w:tc>
                <w:tcPr>
                  <w:tcW w:w="676" w:type="pct"/>
                  <w:vMerge w:val="restart"/>
                  <w:noWrap w:val="0"/>
                  <w:vAlign w:val="center"/>
                </w:tcPr>
                <w:p>
                  <w:pPr>
                    <w:widowControl/>
                    <w:spacing w:line="320" w:lineRule="exact"/>
                    <w:jc w:val="center"/>
                    <w:rPr>
                      <w:rFonts w:eastAsia="宋体"/>
                      <w:b/>
                      <w:bCs/>
                      <w:color w:val="auto"/>
                      <w:kern w:val="0"/>
                      <w:szCs w:val="21"/>
                      <w:u w:val="single" w:color="auto"/>
                    </w:rPr>
                  </w:pPr>
                  <w:r>
                    <w:rPr>
                      <w:rFonts w:hint="eastAsia" w:eastAsia="宋体"/>
                      <w:b/>
                      <w:bCs/>
                      <w:color w:val="auto"/>
                      <w:kern w:val="0"/>
                      <w:szCs w:val="21"/>
                      <w:u w:val="single" w:color="auto"/>
                      <w:lang w:eastAsia="zh-CN"/>
                    </w:rPr>
                    <w:t>评价标准</w:t>
                  </w:r>
                  <w:r>
                    <w:rPr>
                      <w:rFonts w:eastAsia="宋体"/>
                      <w:b/>
                      <w:bCs/>
                      <w:color w:val="auto"/>
                      <w:kern w:val="0"/>
                      <w:szCs w:val="21"/>
                      <w:u w:val="single" w:color="auto"/>
                    </w:rPr>
                    <w:t>（</w:t>
                  </w:r>
                  <w:r>
                    <w:rPr>
                      <w:rFonts w:hint="default" w:ascii="Times New Roman" w:hAnsi="Times New Roman" w:eastAsia="宋体" w:cs="Times New Roman"/>
                      <w:b/>
                      <w:bCs/>
                      <w:color w:val="auto"/>
                      <w:kern w:val="0"/>
                      <w:szCs w:val="21"/>
                      <w:u w:val="single" w:color="auto"/>
                    </w:rPr>
                    <w:t>μg/m</w:t>
                  </w:r>
                  <w:r>
                    <w:rPr>
                      <w:rFonts w:hint="default" w:ascii="Times New Roman" w:hAnsi="Times New Roman" w:eastAsia="宋体" w:cs="Times New Roman"/>
                      <w:b/>
                      <w:bCs/>
                      <w:color w:val="auto"/>
                      <w:kern w:val="0"/>
                      <w:szCs w:val="21"/>
                      <w:u w:val="single" w:color="auto"/>
                      <w:vertAlign w:val="superscript"/>
                    </w:rPr>
                    <w:t>3</w:t>
                  </w:r>
                  <w:r>
                    <w:rPr>
                      <w:rFonts w:hint="default" w:ascii="Times New Roman" w:hAnsi="Times New Roman" w:eastAsia="宋体" w:cs="Times New Roman"/>
                      <w:b/>
                      <w:bCs/>
                      <w:color w:val="auto"/>
                      <w:kern w:val="0"/>
                      <w:szCs w:val="21"/>
                      <w:u w:val="singl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2" w:type="pct"/>
                  <w:vMerge w:val="continue"/>
                  <w:noWrap w:val="0"/>
                  <w:vAlign w:val="center"/>
                </w:tcPr>
                <w:p>
                  <w:pPr>
                    <w:widowControl/>
                    <w:spacing w:line="320" w:lineRule="exact"/>
                    <w:jc w:val="center"/>
                    <w:rPr>
                      <w:color w:val="auto"/>
                      <w:u w:val="single" w:color="auto"/>
                    </w:rPr>
                  </w:pPr>
                </w:p>
              </w:tc>
              <w:tc>
                <w:tcPr>
                  <w:tcW w:w="565" w:type="pct"/>
                  <w:vMerge w:val="continue"/>
                  <w:noWrap w:val="0"/>
                  <w:vAlign w:val="center"/>
                </w:tcPr>
                <w:p>
                  <w:pPr>
                    <w:widowControl/>
                    <w:spacing w:line="320" w:lineRule="exact"/>
                    <w:jc w:val="center"/>
                    <w:rPr>
                      <w:color w:val="auto"/>
                      <w:u w:val="single" w:color="auto"/>
                    </w:rPr>
                  </w:pPr>
                </w:p>
              </w:tc>
              <w:tc>
                <w:tcPr>
                  <w:tcW w:w="423" w:type="pct"/>
                  <w:vMerge w:val="continue"/>
                  <w:noWrap w:val="0"/>
                  <w:vAlign w:val="center"/>
                </w:tcPr>
                <w:p>
                  <w:pPr>
                    <w:widowControl/>
                    <w:spacing w:line="320" w:lineRule="exact"/>
                    <w:jc w:val="center"/>
                    <w:rPr>
                      <w:color w:val="auto"/>
                      <w:u w:val="single" w:color="auto"/>
                    </w:rPr>
                  </w:pPr>
                </w:p>
              </w:tc>
              <w:tc>
                <w:tcPr>
                  <w:tcW w:w="4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bCs/>
                      <w:color w:val="auto"/>
                      <w:u w:val="single" w:color="auto"/>
                      <w:lang w:val="en-US" w:eastAsia="zh-CN"/>
                    </w:rPr>
                  </w:pPr>
                  <w:r>
                    <w:rPr>
                      <w:rFonts w:hint="eastAsia" w:ascii="Times New Roman" w:hAnsi="Times New Roman" w:cs="Times New Roman"/>
                      <w:b/>
                      <w:color w:val="auto"/>
                      <w:sz w:val="21"/>
                      <w:szCs w:val="21"/>
                      <w:u w:val="single" w:color="auto"/>
                      <w:lang w:val="en-US" w:eastAsia="zh-CN"/>
                    </w:rPr>
                    <w:t>2024.0</w:t>
                  </w:r>
                  <w:r>
                    <w:rPr>
                      <w:rFonts w:hint="eastAsia" w:cs="Times New Roman"/>
                      <w:b/>
                      <w:color w:val="auto"/>
                      <w:sz w:val="21"/>
                      <w:szCs w:val="21"/>
                      <w:u w:val="single" w:color="auto"/>
                      <w:lang w:val="en-US" w:eastAsia="zh-CN"/>
                    </w:rPr>
                    <w:t>6</w:t>
                  </w:r>
                  <w:r>
                    <w:rPr>
                      <w:rFonts w:hint="eastAsia" w:ascii="Times New Roman" w:hAnsi="Times New Roman" w:cs="Times New Roman"/>
                      <w:b/>
                      <w:color w:val="auto"/>
                      <w:sz w:val="21"/>
                      <w:szCs w:val="21"/>
                      <w:u w:val="single" w:color="auto"/>
                      <w:lang w:val="en-US" w:eastAsia="zh-CN"/>
                    </w:rPr>
                    <w:t>.</w:t>
                  </w:r>
                  <w:r>
                    <w:rPr>
                      <w:rFonts w:hint="eastAsia" w:cs="Times New Roman"/>
                      <w:b/>
                      <w:color w:val="auto"/>
                      <w:sz w:val="21"/>
                      <w:szCs w:val="21"/>
                      <w:u w:val="single" w:color="auto"/>
                      <w:lang w:val="en-US" w:eastAsia="zh-CN"/>
                    </w:rPr>
                    <w:t>06</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b/>
                      <w:bCs/>
                      <w:color w:val="auto"/>
                      <w:u w:val="single" w:color="auto"/>
                    </w:rPr>
                  </w:pPr>
                  <w:r>
                    <w:rPr>
                      <w:rFonts w:hint="eastAsia" w:ascii="Times New Roman" w:hAnsi="Times New Roman" w:cs="Times New Roman"/>
                      <w:b/>
                      <w:color w:val="auto"/>
                      <w:sz w:val="21"/>
                      <w:szCs w:val="21"/>
                      <w:u w:val="single" w:color="auto"/>
                      <w:lang w:val="en-US" w:eastAsia="zh-CN"/>
                    </w:rPr>
                    <w:t>2024.0</w:t>
                  </w:r>
                  <w:r>
                    <w:rPr>
                      <w:rFonts w:hint="eastAsia" w:cs="Times New Roman"/>
                      <w:b/>
                      <w:color w:val="auto"/>
                      <w:sz w:val="21"/>
                      <w:szCs w:val="21"/>
                      <w:u w:val="single" w:color="auto"/>
                      <w:lang w:val="en-US" w:eastAsia="zh-CN"/>
                    </w:rPr>
                    <w:t>6</w:t>
                  </w:r>
                  <w:r>
                    <w:rPr>
                      <w:rFonts w:hint="eastAsia" w:ascii="Times New Roman" w:hAnsi="Times New Roman" w:cs="Times New Roman"/>
                      <w:b/>
                      <w:color w:val="auto"/>
                      <w:sz w:val="21"/>
                      <w:szCs w:val="21"/>
                      <w:u w:val="single" w:color="auto"/>
                      <w:lang w:val="en-US" w:eastAsia="zh-CN"/>
                    </w:rPr>
                    <w:t>.</w:t>
                  </w:r>
                  <w:r>
                    <w:rPr>
                      <w:rFonts w:hint="eastAsia" w:cs="Times New Roman"/>
                      <w:b/>
                      <w:color w:val="auto"/>
                      <w:sz w:val="21"/>
                      <w:szCs w:val="21"/>
                      <w:u w:val="single" w:color="auto"/>
                      <w:lang w:val="en-US" w:eastAsia="zh-CN"/>
                    </w:rPr>
                    <w:t>07</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b/>
                      <w:bCs/>
                      <w:color w:val="auto"/>
                      <w:u w:val="single" w:color="auto"/>
                    </w:rPr>
                  </w:pPr>
                  <w:r>
                    <w:rPr>
                      <w:rFonts w:hint="eastAsia" w:ascii="Times New Roman" w:hAnsi="Times New Roman" w:cs="Times New Roman"/>
                      <w:b/>
                      <w:color w:val="auto"/>
                      <w:sz w:val="21"/>
                      <w:szCs w:val="21"/>
                      <w:u w:val="single" w:color="auto"/>
                      <w:lang w:val="en-US" w:eastAsia="zh-CN"/>
                    </w:rPr>
                    <w:t>2024.0</w:t>
                  </w:r>
                  <w:r>
                    <w:rPr>
                      <w:rFonts w:hint="eastAsia" w:cs="Times New Roman"/>
                      <w:b/>
                      <w:color w:val="auto"/>
                      <w:sz w:val="21"/>
                      <w:szCs w:val="21"/>
                      <w:u w:val="single" w:color="auto"/>
                      <w:lang w:val="en-US" w:eastAsia="zh-CN"/>
                    </w:rPr>
                    <w:t>6</w:t>
                  </w:r>
                  <w:r>
                    <w:rPr>
                      <w:rFonts w:hint="eastAsia" w:ascii="Times New Roman" w:hAnsi="Times New Roman" w:cs="Times New Roman"/>
                      <w:b/>
                      <w:color w:val="auto"/>
                      <w:sz w:val="21"/>
                      <w:szCs w:val="21"/>
                      <w:u w:val="single" w:color="auto"/>
                      <w:lang w:val="en-US" w:eastAsia="zh-CN"/>
                    </w:rPr>
                    <w:t>.</w:t>
                  </w:r>
                  <w:r>
                    <w:rPr>
                      <w:rFonts w:hint="eastAsia" w:cs="Times New Roman"/>
                      <w:b/>
                      <w:color w:val="auto"/>
                      <w:sz w:val="21"/>
                      <w:szCs w:val="21"/>
                      <w:u w:val="single" w:color="auto"/>
                      <w:lang w:val="en-US" w:eastAsia="zh-CN"/>
                    </w:rPr>
                    <w:t>08</w:t>
                  </w:r>
                </w:p>
              </w:tc>
              <w:tc>
                <w:tcPr>
                  <w:tcW w:w="499" w:type="pct"/>
                  <w:vMerge w:val="continue"/>
                  <w:noWrap w:val="0"/>
                  <w:vAlign w:val="center"/>
                </w:tcPr>
                <w:p>
                  <w:pPr>
                    <w:widowControl/>
                    <w:spacing w:line="320" w:lineRule="exact"/>
                    <w:jc w:val="center"/>
                    <w:rPr>
                      <w:color w:val="auto"/>
                      <w:u w:val="single" w:color="auto"/>
                    </w:rPr>
                  </w:pPr>
                </w:p>
              </w:tc>
              <w:tc>
                <w:tcPr>
                  <w:tcW w:w="517" w:type="pct"/>
                  <w:vMerge w:val="continue"/>
                  <w:noWrap w:val="0"/>
                  <w:vAlign w:val="center"/>
                </w:tcPr>
                <w:p>
                  <w:pPr>
                    <w:widowControl/>
                    <w:spacing w:line="320" w:lineRule="exact"/>
                    <w:jc w:val="center"/>
                    <w:rPr>
                      <w:color w:val="auto"/>
                      <w:u w:val="single" w:color="auto"/>
                    </w:rPr>
                  </w:pPr>
                </w:p>
              </w:tc>
              <w:tc>
                <w:tcPr>
                  <w:tcW w:w="676" w:type="pct"/>
                  <w:vMerge w:val="continue"/>
                  <w:noWrap w:val="0"/>
                  <w:vAlign w:val="center"/>
                </w:tcPr>
                <w:p>
                  <w:pPr>
                    <w:widowControl/>
                    <w:spacing w:line="320" w:lineRule="exact"/>
                    <w:jc w:val="center"/>
                    <w:rPr>
                      <w:color w:val="auto"/>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2" w:type="pct"/>
                  <w:vMerge w:val="restart"/>
                  <w:noWrap w:val="0"/>
                  <w:vAlign w:val="center"/>
                </w:tcPr>
                <w:p>
                  <w:pPr>
                    <w:widowControl/>
                    <w:spacing w:line="320" w:lineRule="exact"/>
                    <w:jc w:val="center"/>
                    <w:rPr>
                      <w:rFonts w:eastAsia="宋体"/>
                      <w:color w:val="auto"/>
                      <w:kern w:val="0"/>
                      <w:szCs w:val="21"/>
                      <w:u w:val="single" w:color="auto"/>
                    </w:rPr>
                  </w:pPr>
                  <w:r>
                    <w:rPr>
                      <w:rFonts w:hint="default" w:ascii="Times New Roman" w:hAnsi="Times New Roman" w:cs="Times New Roman"/>
                      <w:color w:val="auto"/>
                      <w:highlight w:val="none"/>
                      <w:u w:val="single" w:color="auto"/>
                    </w:rPr>
                    <w:t>G1</w:t>
                  </w:r>
                  <w:r>
                    <w:rPr>
                      <w:rFonts w:hint="default" w:ascii="Times New Roman" w:hAnsi="Times New Roman" w:cs="Times New Roman"/>
                      <w:color w:val="auto"/>
                      <w:highlight w:val="none"/>
                      <w:u w:val="single" w:color="auto"/>
                      <w:lang w:eastAsia="zh-CN"/>
                    </w:rPr>
                    <w:t>金龙居民管委会</w:t>
                  </w:r>
                </w:p>
              </w:tc>
              <w:tc>
                <w:tcPr>
                  <w:tcW w:w="565" w:type="pct"/>
                  <w:noWrap w:val="0"/>
                  <w:vAlign w:val="center"/>
                </w:tcPr>
                <w:p>
                  <w:pPr>
                    <w:widowControl/>
                    <w:spacing w:line="320" w:lineRule="exact"/>
                    <w:jc w:val="center"/>
                    <w:rPr>
                      <w:rFonts w:hint="eastAsia" w:eastAsia="宋体"/>
                      <w:color w:val="auto"/>
                      <w:kern w:val="0"/>
                      <w:szCs w:val="21"/>
                      <w:u w:val="single" w:color="auto"/>
                      <w:lang w:eastAsia="zh-CN"/>
                    </w:rPr>
                  </w:pPr>
                  <w:r>
                    <w:rPr>
                      <w:rFonts w:hint="eastAsia" w:eastAsia="宋体"/>
                      <w:color w:val="auto"/>
                      <w:kern w:val="0"/>
                      <w:szCs w:val="21"/>
                      <w:u w:val="single" w:color="auto"/>
                      <w:lang w:eastAsia="zh-CN"/>
                    </w:rPr>
                    <w:t>硫酸雾</w:t>
                  </w:r>
                </w:p>
              </w:tc>
              <w:tc>
                <w:tcPr>
                  <w:tcW w:w="423" w:type="pct"/>
                  <w:noWrap w:val="0"/>
                  <w:vAlign w:val="center"/>
                </w:tcPr>
                <w:p>
                  <w:pPr>
                    <w:widowControl/>
                    <w:spacing w:line="320" w:lineRule="exact"/>
                    <w:jc w:val="center"/>
                    <w:rPr>
                      <w:rFonts w:eastAsia="宋体"/>
                      <w:color w:val="auto"/>
                      <w:kern w:val="0"/>
                      <w:szCs w:val="21"/>
                      <w:u w:val="single" w:color="auto"/>
                    </w:rPr>
                  </w:pPr>
                  <w:r>
                    <w:rPr>
                      <w:rFonts w:eastAsia="宋体"/>
                      <w:color w:val="auto"/>
                      <w:kern w:val="0"/>
                      <w:szCs w:val="21"/>
                      <w:u w:val="single" w:color="auto"/>
                    </w:rPr>
                    <w:t>1h</w:t>
                  </w:r>
                </w:p>
              </w:tc>
              <w:tc>
                <w:tcPr>
                  <w:tcW w:w="4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auto"/>
                      <w:kern w:val="0"/>
                      <w:szCs w:val="21"/>
                      <w:highlight w:val="none"/>
                      <w:u w:val="single" w:color="auto"/>
                      <w:lang w:val="en-US" w:eastAsia="zh-CN"/>
                    </w:rPr>
                  </w:pPr>
                  <w:r>
                    <w:rPr>
                      <w:rFonts w:hint="eastAsia" w:eastAsia="楷体" w:cs="Times New Roman"/>
                      <w:bCs/>
                      <w:color w:val="auto"/>
                      <w:sz w:val="21"/>
                      <w:szCs w:val="21"/>
                      <w:u w:val="single" w:color="auto"/>
                      <w:lang w:val="en-US" w:eastAsia="zh-CN"/>
                    </w:rPr>
                    <w:t>1.1</w:t>
                  </w:r>
                  <w:r>
                    <w:rPr>
                      <w:rFonts w:hint="eastAsia" w:ascii="Times New Roman" w:hAnsi="Times New Roman" w:eastAsia="楷体" w:cs="Times New Roman"/>
                      <w:bCs/>
                      <w:color w:val="auto"/>
                      <w:sz w:val="21"/>
                      <w:szCs w:val="21"/>
                      <w:u w:val="single" w:color="auto"/>
                      <w:lang w:val="en-US" w:eastAsia="zh-CN"/>
                    </w:rPr>
                    <w:t>2</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宋体"/>
                      <w:color w:val="auto"/>
                      <w:kern w:val="0"/>
                      <w:szCs w:val="21"/>
                      <w:highlight w:val="none"/>
                      <w:u w:val="single" w:color="auto"/>
                      <w:lang w:val="en-US" w:eastAsia="zh-CN"/>
                    </w:rPr>
                  </w:pPr>
                  <w:r>
                    <w:rPr>
                      <w:rFonts w:hint="eastAsia" w:ascii="Times New Roman" w:hAnsi="Times New Roman" w:eastAsia="楷体" w:cs="Times New Roman"/>
                      <w:bCs/>
                      <w:color w:val="auto"/>
                      <w:sz w:val="21"/>
                      <w:szCs w:val="21"/>
                      <w:u w:val="single" w:color="auto"/>
                      <w:lang w:val="en-US" w:eastAsia="zh-CN"/>
                    </w:rPr>
                    <w:t>1.28</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bCs/>
                      <w:color w:val="auto"/>
                      <w:kern w:val="2"/>
                      <w:sz w:val="21"/>
                      <w:szCs w:val="24"/>
                      <w:u w:val="single" w:color="auto"/>
                      <w:lang w:val="en-US" w:eastAsia="zh-CN" w:bidi="ar-SA"/>
                    </w:rPr>
                  </w:pPr>
                  <w:r>
                    <w:rPr>
                      <w:rFonts w:hint="eastAsia" w:ascii="Times New Roman" w:hAnsi="Times New Roman" w:eastAsia="楷体" w:cs="Times New Roman"/>
                      <w:bCs/>
                      <w:color w:val="auto"/>
                      <w:sz w:val="21"/>
                      <w:szCs w:val="21"/>
                      <w:u w:val="single" w:color="auto"/>
                      <w:lang w:val="en-US" w:eastAsia="zh-CN"/>
                    </w:rPr>
                    <w:t>1.04</w:t>
                  </w:r>
                </w:p>
              </w:tc>
              <w:tc>
                <w:tcPr>
                  <w:tcW w:w="499" w:type="pct"/>
                  <w:noWrap w:val="0"/>
                  <w:vAlign w:val="center"/>
                </w:tcPr>
                <w:p>
                  <w:pPr>
                    <w:widowControl/>
                    <w:spacing w:line="320" w:lineRule="exact"/>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w:t>
                  </w:r>
                </w:p>
              </w:tc>
              <w:tc>
                <w:tcPr>
                  <w:tcW w:w="517" w:type="pct"/>
                  <w:noWrap w:val="0"/>
                  <w:vAlign w:val="center"/>
                </w:tcPr>
                <w:p>
                  <w:pPr>
                    <w:widowControl/>
                    <w:spacing w:line="320" w:lineRule="exact"/>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w:t>
                  </w:r>
                </w:p>
              </w:tc>
              <w:tc>
                <w:tcPr>
                  <w:tcW w:w="676" w:type="pct"/>
                  <w:noWrap w:val="0"/>
                  <w:vAlign w:val="center"/>
                </w:tcPr>
                <w:p>
                  <w:pPr>
                    <w:widowControl/>
                    <w:spacing w:line="320" w:lineRule="exact"/>
                    <w:jc w:val="center"/>
                    <w:rPr>
                      <w:rFonts w:hint="default" w:eastAsia="宋体"/>
                      <w:color w:val="auto"/>
                      <w:kern w:val="0"/>
                      <w:szCs w:val="21"/>
                      <w:u w:val="single" w:color="auto"/>
                      <w:lang w:val="en-US" w:eastAsia="zh-CN"/>
                    </w:rPr>
                  </w:pPr>
                  <w:r>
                    <w:rPr>
                      <w:rFonts w:hint="eastAsia" w:eastAsia="宋体"/>
                      <w:color w:val="auto"/>
                      <w:kern w:val="0"/>
                      <w:szCs w:val="21"/>
                      <w:u w:val="single" w:color="auto"/>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pct"/>
                  <w:vMerge w:val="continue"/>
                  <w:noWrap w:val="0"/>
                  <w:vAlign w:val="center"/>
                </w:tcPr>
                <w:p>
                  <w:pPr>
                    <w:widowControl/>
                    <w:spacing w:line="320" w:lineRule="exact"/>
                    <w:jc w:val="center"/>
                    <w:rPr>
                      <w:rFonts w:hint="default" w:ascii="Times New Roman" w:hAnsi="Times New Roman" w:cs="Times New Roman"/>
                      <w:color w:val="auto"/>
                      <w:highlight w:val="none"/>
                      <w:u w:val="single" w:color="auto"/>
                    </w:rPr>
                  </w:pPr>
                </w:p>
              </w:tc>
              <w:tc>
                <w:tcPr>
                  <w:tcW w:w="565" w:type="pct"/>
                  <w:noWrap w:val="0"/>
                  <w:vAlign w:val="center"/>
                </w:tcPr>
                <w:p>
                  <w:pPr>
                    <w:widowControl/>
                    <w:spacing w:line="320" w:lineRule="exact"/>
                    <w:jc w:val="center"/>
                    <w:rPr>
                      <w:rFonts w:hint="eastAsia" w:eastAsia="宋体"/>
                      <w:color w:val="auto"/>
                      <w:kern w:val="0"/>
                      <w:szCs w:val="21"/>
                      <w:u w:val="single" w:color="auto"/>
                      <w:lang w:eastAsia="zh-CN"/>
                    </w:rPr>
                  </w:pPr>
                  <w:r>
                    <w:rPr>
                      <w:rFonts w:hint="eastAsia"/>
                      <w:color w:val="auto"/>
                      <w:kern w:val="0"/>
                      <w:szCs w:val="21"/>
                      <w:u w:val="single" w:color="auto"/>
                      <w:lang w:eastAsia="zh-CN"/>
                    </w:rPr>
                    <w:t>苯乙烯</w:t>
                  </w:r>
                </w:p>
              </w:tc>
              <w:tc>
                <w:tcPr>
                  <w:tcW w:w="423" w:type="pct"/>
                  <w:noWrap w:val="0"/>
                  <w:vAlign w:val="center"/>
                </w:tcPr>
                <w:p>
                  <w:pPr>
                    <w:widowControl/>
                    <w:spacing w:line="320" w:lineRule="exact"/>
                    <w:jc w:val="center"/>
                    <w:rPr>
                      <w:rFonts w:eastAsia="宋体"/>
                      <w:color w:val="auto"/>
                      <w:kern w:val="0"/>
                      <w:szCs w:val="21"/>
                      <w:u w:val="single" w:color="auto"/>
                    </w:rPr>
                  </w:pPr>
                  <w:r>
                    <w:rPr>
                      <w:rFonts w:eastAsia="宋体"/>
                      <w:color w:val="auto"/>
                      <w:kern w:val="0"/>
                      <w:szCs w:val="21"/>
                      <w:u w:val="single" w:color="auto"/>
                    </w:rPr>
                    <w:t>1h</w:t>
                  </w:r>
                </w:p>
              </w:tc>
              <w:tc>
                <w:tcPr>
                  <w:tcW w:w="4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楷体" w:cs="Times New Roman"/>
                      <w:bCs/>
                      <w:color w:val="auto"/>
                      <w:sz w:val="21"/>
                      <w:szCs w:val="21"/>
                      <w:u w:val="single" w:color="auto"/>
                      <w:lang w:val="en-US" w:eastAsia="zh-CN"/>
                    </w:rPr>
                  </w:pPr>
                  <w:r>
                    <w:rPr>
                      <w:rFonts w:hint="eastAsia" w:eastAsia="楷体" w:cs="Times New Roman"/>
                      <w:bCs/>
                      <w:color w:val="auto"/>
                      <w:sz w:val="21"/>
                      <w:szCs w:val="21"/>
                      <w:u w:val="single" w:color="auto"/>
                      <w:lang w:val="en-US" w:eastAsia="zh-CN"/>
                    </w:rPr>
                    <w:t>ND</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楷体" w:cs="Times New Roman"/>
                      <w:bCs/>
                      <w:color w:val="auto"/>
                      <w:sz w:val="21"/>
                      <w:szCs w:val="21"/>
                      <w:u w:val="single" w:color="auto"/>
                      <w:lang w:val="en-US" w:eastAsia="zh-CN"/>
                    </w:rPr>
                  </w:pPr>
                  <w:r>
                    <w:rPr>
                      <w:rFonts w:hint="eastAsia" w:eastAsia="楷体" w:cs="Times New Roman"/>
                      <w:bCs/>
                      <w:color w:val="auto"/>
                      <w:sz w:val="21"/>
                      <w:szCs w:val="21"/>
                      <w:u w:val="single" w:color="auto"/>
                      <w:lang w:val="en-US" w:eastAsia="zh-CN"/>
                    </w:rPr>
                    <w:t>ND</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楷体" w:cs="Times New Roman"/>
                      <w:bCs/>
                      <w:color w:val="auto"/>
                      <w:sz w:val="21"/>
                      <w:szCs w:val="21"/>
                      <w:u w:val="single" w:color="auto"/>
                      <w:lang w:val="en-US" w:eastAsia="zh-CN"/>
                    </w:rPr>
                  </w:pPr>
                  <w:r>
                    <w:rPr>
                      <w:rFonts w:hint="eastAsia" w:eastAsia="楷体" w:cs="Times New Roman"/>
                      <w:bCs/>
                      <w:color w:val="auto"/>
                      <w:sz w:val="21"/>
                      <w:szCs w:val="21"/>
                      <w:u w:val="single" w:color="auto"/>
                      <w:lang w:val="en-US" w:eastAsia="zh-CN"/>
                    </w:rPr>
                    <w:t>ND</w:t>
                  </w:r>
                </w:p>
              </w:tc>
              <w:tc>
                <w:tcPr>
                  <w:tcW w:w="795" w:type="dxa"/>
                  <w:noWrap w:val="0"/>
                  <w:vAlign w:val="center"/>
                </w:tcPr>
                <w:p>
                  <w:pPr>
                    <w:widowControl/>
                    <w:spacing w:line="320" w:lineRule="exact"/>
                    <w:jc w:val="center"/>
                    <w:rPr>
                      <w:rFonts w:hint="eastAsia"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w:t>
                  </w:r>
                </w:p>
              </w:tc>
              <w:tc>
                <w:tcPr>
                  <w:tcW w:w="825" w:type="dxa"/>
                  <w:noWrap w:val="0"/>
                  <w:vAlign w:val="center"/>
                </w:tcPr>
                <w:p>
                  <w:pPr>
                    <w:widowControl/>
                    <w:spacing w:line="320" w:lineRule="exact"/>
                    <w:jc w:val="center"/>
                    <w:rPr>
                      <w:rFonts w:hint="eastAsia"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0</w:t>
                  </w:r>
                </w:p>
              </w:tc>
              <w:tc>
                <w:tcPr>
                  <w:tcW w:w="676" w:type="pct"/>
                  <w:noWrap w:val="0"/>
                  <w:vAlign w:val="center"/>
                </w:tcPr>
                <w:p>
                  <w:pPr>
                    <w:widowControl/>
                    <w:spacing w:line="320" w:lineRule="exact"/>
                    <w:jc w:val="center"/>
                    <w:rPr>
                      <w:rFonts w:hint="default" w:eastAsia="宋体"/>
                      <w:color w:val="auto"/>
                      <w:kern w:val="0"/>
                      <w:szCs w:val="21"/>
                      <w:u w:val="single" w:color="auto"/>
                      <w:lang w:val="en-US" w:eastAsia="zh-CN"/>
                    </w:rPr>
                  </w:pPr>
                  <w:r>
                    <w:rPr>
                      <w:rFonts w:hint="eastAsia"/>
                      <w:color w:val="auto"/>
                      <w:kern w:val="0"/>
                      <w:szCs w:val="21"/>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pct"/>
                  <w:vMerge w:val="continue"/>
                  <w:noWrap w:val="0"/>
                  <w:vAlign w:val="center"/>
                </w:tcPr>
                <w:p>
                  <w:pPr>
                    <w:widowControl/>
                    <w:spacing w:line="320" w:lineRule="exact"/>
                    <w:jc w:val="center"/>
                    <w:rPr>
                      <w:rFonts w:hint="default" w:ascii="Times New Roman" w:hAnsi="Times New Roman" w:cs="Times New Roman"/>
                      <w:color w:val="auto"/>
                      <w:highlight w:val="none"/>
                      <w:u w:val="single" w:color="auto"/>
                    </w:rPr>
                  </w:pPr>
                </w:p>
              </w:tc>
              <w:tc>
                <w:tcPr>
                  <w:tcW w:w="565" w:type="pct"/>
                  <w:noWrap w:val="0"/>
                  <w:vAlign w:val="center"/>
                </w:tcPr>
                <w:p>
                  <w:pPr>
                    <w:widowControl/>
                    <w:spacing w:line="320" w:lineRule="exact"/>
                    <w:jc w:val="center"/>
                    <w:rPr>
                      <w:rFonts w:hint="eastAsia" w:eastAsia="宋体"/>
                      <w:color w:val="auto"/>
                      <w:kern w:val="0"/>
                      <w:szCs w:val="21"/>
                      <w:u w:val="single" w:color="auto"/>
                      <w:lang w:eastAsia="zh-CN"/>
                    </w:rPr>
                  </w:pPr>
                  <w:r>
                    <w:rPr>
                      <w:rFonts w:hint="eastAsia"/>
                      <w:color w:val="auto"/>
                      <w:kern w:val="0"/>
                      <w:szCs w:val="21"/>
                      <w:u w:val="single" w:color="auto"/>
                      <w:lang w:eastAsia="zh-CN"/>
                    </w:rPr>
                    <w:t>乙苯</w:t>
                  </w:r>
                </w:p>
              </w:tc>
              <w:tc>
                <w:tcPr>
                  <w:tcW w:w="423" w:type="pct"/>
                  <w:noWrap w:val="0"/>
                  <w:vAlign w:val="center"/>
                </w:tcPr>
                <w:p>
                  <w:pPr>
                    <w:widowControl/>
                    <w:spacing w:line="320" w:lineRule="exact"/>
                    <w:jc w:val="center"/>
                    <w:rPr>
                      <w:rFonts w:eastAsia="宋体"/>
                      <w:color w:val="auto"/>
                      <w:kern w:val="0"/>
                      <w:szCs w:val="21"/>
                      <w:u w:val="single" w:color="auto"/>
                    </w:rPr>
                  </w:pPr>
                  <w:r>
                    <w:rPr>
                      <w:rFonts w:eastAsia="宋体"/>
                      <w:color w:val="auto"/>
                      <w:kern w:val="0"/>
                      <w:szCs w:val="21"/>
                      <w:u w:val="single" w:color="auto"/>
                    </w:rPr>
                    <w:t>1h</w:t>
                  </w:r>
                </w:p>
              </w:tc>
              <w:tc>
                <w:tcPr>
                  <w:tcW w:w="4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楷体" w:cs="Times New Roman"/>
                      <w:bCs/>
                      <w:color w:val="auto"/>
                      <w:sz w:val="21"/>
                      <w:szCs w:val="21"/>
                      <w:u w:val="single" w:color="auto"/>
                      <w:lang w:val="en-US" w:eastAsia="zh-CN"/>
                    </w:rPr>
                  </w:pPr>
                  <w:r>
                    <w:rPr>
                      <w:rFonts w:hint="eastAsia" w:eastAsia="楷体" w:cs="Times New Roman"/>
                      <w:bCs/>
                      <w:color w:val="auto"/>
                      <w:sz w:val="21"/>
                      <w:szCs w:val="21"/>
                      <w:u w:val="single" w:color="auto"/>
                      <w:lang w:val="en-US" w:eastAsia="zh-CN"/>
                    </w:rPr>
                    <w:t>ND</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楷体" w:cs="Times New Roman"/>
                      <w:bCs/>
                      <w:color w:val="auto"/>
                      <w:sz w:val="21"/>
                      <w:szCs w:val="21"/>
                      <w:u w:val="single" w:color="auto"/>
                      <w:lang w:val="en-US" w:eastAsia="zh-CN"/>
                    </w:rPr>
                  </w:pPr>
                  <w:r>
                    <w:rPr>
                      <w:rFonts w:hint="eastAsia" w:eastAsia="楷体" w:cs="Times New Roman"/>
                      <w:bCs/>
                      <w:color w:val="auto"/>
                      <w:sz w:val="21"/>
                      <w:szCs w:val="21"/>
                      <w:u w:val="single" w:color="auto"/>
                      <w:lang w:val="en-US" w:eastAsia="zh-CN"/>
                    </w:rPr>
                    <w:t>ND</w:t>
                  </w:r>
                </w:p>
              </w:tc>
              <w:tc>
                <w:tcPr>
                  <w:tcW w:w="53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楷体" w:cs="Times New Roman"/>
                      <w:bCs/>
                      <w:color w:val="auto"/>
                      <w:sz w:val="21"/>
                      <w:szCs w:val="21"/>
                      <w:u w:val="single" w:color="auto"/>
                      <w:lang w:val="en-US" w:eastAsia="zh-CN"/>
                    </w:rPr>
                  </w:pPr>
                  <w:r>
                    <w:rPr>
                      <w:rFonts w:hint="eastAsia" w:eastAsia="楷体" w:cs="Times New Roman"/>
                      <w:bCs/>
                      <w:color w:val="auto"/>
                      <w:sz w:val="21"/>
                      <w:szCs w:val="21"/>
                      <w:u w:val="single" w:color="auto"/>
                      <w:lang w:val="en-US" w:eastAsia="zh-CN"/>
                    </w:rPr>
                    <w:t>ND</w:t>
                  </w:r>
                </w:p>
              </w:tc>
              <w:tc>
                <w:tcPr>
                  <w:tcW w:w="499" w:type="pct"/>
                  <w:noWrap w:val="0"/>
                  <w:vAlign w:val="center"/>
                </w:tcPr>
                <w:p>
                  <w:pPr>
                    <w:widowControl/>
                    <w:spacing w:line="320" w:lineRule="exact"/>
                    <w:jc w:val="center"/>
                    <w:rPr>
                      <w:rFonts w:hint="default"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p>
              </w:tc>
              <w:tc>
                <w:tcPr>
                  <w:tcW w:w="517" w:type="pct"/>
                  <w:noWrap w:val="0"/>
                  <w:vAlign w:val="center"/>
                </w:tcPr>
                <w:p>
                  <w:pPr>
                    <w:widowControl/>
                    <w:spacing w:line="320" w:lineRule="exact"/>
                    <w:jc w:val="center"/>
                    <w:rPr>
                      <w:rFonts w:hint="default" w:cs="Times New Roman"/>
                      <w:b w:val="0"/>
                      <w:bCs w:val="0"/>
                      <w:color w:val="auto"/>
                      <w:kern w:val="2"/>
                      <w:sz w:val="21"/>
                      <w:szCs w:val="24"/>
                      <w:u w:val="single" w:color="auto"/>
                      <w:lang w:val="en-US" w:eastAsia="zh-CN" w:bidi="ar-SA"/>
                    </w:rPr>
                  </w:pPr>
                  <w:r>
                    <w:rPr>
                      <w:rFonts w:hint="eastAsia" w:cs="Times New Roman"/>
                      <w:b w:val="0"/>
                      <w:bCs w:val="0"/>
                      <w:color w:val="auto"/>
                      <w:kern w:val="2"/>
                      <w:sz w:val="21"/>
                      <w:szCs w:val="24"/>
                      <w:u w:val="single" w:color="auto"/>
                      <w:lang w:val="en-US" w:eastAsia="zh-CN" w:bidi="ar-SA"/>
                    </w:rPr>
                    <w:t>/</w:t>
                  </w:r>
                </w:p>
              </w:tc>
              <w:tc>
                <w:tcPr>
                  <w:tcW w:w="676" w:type="pct"/>
                  <w:noWrap w:val="0"/>
                  <w:vAlign w:val="center"/>
                </w:tcPr>
                <w:p>
                  <w:pPr>
                    <w:widowControl/>
                    <w:spacing w:line="320" w:lineRule="exact"/>
                    <w:jc w:val="center"/>
                    <w:rPr>
                      <w:rFonts w:hint="default" w:eastAsia="宋体"/>
                      <w:color w:val="auto"/>
                      <w:kern w:val="0"/>
                      <w:szCs w:val="21"/>
                      <w:u w:val="single" w:color="auto"/>
                      <w:lang w:val="en-US" w:eastAsia="zh-CN"/>
                    </w:rPr>
                  </w:pPr>
                  <w:r>
                    <w:rPr>
                      <w:rFonts w:hint="eastAsia"/>
                      <w:color w:val="auto"/>
                      <w:kern w:val="0"/>
                      <w:szCs w:val="21"/>
                      <w:u w:val="single" w:color="auto"/>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yellow"/>
                <w:u w:val="single" w:color="auto"/>
                <w:lang w:val="en-US" w:eastAsia="zh-CN" w:bidi="ar-SA"/>
              </w:rPr>
            </w:pPr>
            <w:r>
              <w:rPr>
                <w:rFonts w:hint="eastAsia"/>
                <w:color w:val="auto"/>
                <w:sz w:val="24"/>
                <w:szCs w:val="24"/>
                <w:highlight w:val="none"/>
                <w:u w:val="single" w:color="auto"/>
                <w:lang w:val="en-US" w:eastAsia="zh-CN"/>
              </w:rPr>
              <w:t>根据监测结果显示，</w:t>
            </w:r>
            <w:r>
              <w:rPr>
                <w:rFonts w:hint="eastAsia"/>
                <w:color w:val="auto"/>
                <w:sz w:val="24"/>
                <w:szCs w:val="24"/>
                <w:highlight w:val="none"/>
                <w:u w:val="single" w:color="auto"/>
              </w:rPr>
              <w:t>该区域环境空气中</w:t>
            </w:r>
            <w:r>
              <w:rPr>
                <w:rFonts w:hint="eastAsia"/>
                <w:color w:val="auto"/>
                <w:sz w:val="24"/>
                <w:szCs w:val="24"/>
                <w:highlight w:val="none"/>
                <w:u w:val="single" w:color="auto"/>
                <w:lang w:val="en-US" w:eastAsia="zh-CN"/>
              </w:rPr>
              <w:t>硫酸雾、苯乙烯满足《环境影响评价技术导则大气环境》（HJ2.2-2018）附录D中相应的标准。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针对本项目特征因子</w:t>
            </w:r>
            <w:r>
              <w:rPr>
                <w:rFonts w:hint="eastAsia" w:cs="Times New Roman"/>
                <w:color w:val="auto"/>
                <w:kern w:val="2"/>
                <w:sz w:val="24"/>
                <w:szCs w:val="24"/>
                <w:highlight w:val="none"/>
                <w:u w:val="none" w:color="auto"/>
                <w:lang w:val="en-US" w:eastAsia="zh-CN" w:bidi="ar-SA"/>
              </w:rPr>
              <w:t>TSP、氨、非甲烷总烃、苯、甲苯、二甲苯、臭气浓度</w:t>
            </w:r>
            <w:r>
              <w:rPr>
                <w:rFonts w:hint="eastAsia"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cs="Times New Roman"/>
                <w:color w:val="auto"/>
                <w:kern w:val="2"/>
                <w:sz w:val="24"/>
                <w:szCs w:val="24"/>
                <w:highlight w:val="none"/>
                <w:u w:val="none" w:color="auto"/>
                <w:lang w:val="en-US" w:eastAsia="zh-CN" w:bidi="ar-SA"/>
              </w:rPr>
              <w:t>本评价引用《长沙临港产业开发区规划（2023-2035）环境影响报告书》中的监测数据，</w:t>
            </w:r>
            <w:r>
              <w:rPr>
                <w:rFonts w:hint="eastAsia" w:ascii="Times New Roman" w:hAnsi="Times New Roman" w:eastAsia="宋体" w:cs="Times New Roman"/>
                <w:color w:val="auto"/>
                <w:sz w:val="24"/>
                <w:szCs w:val="24"/>
                <w:highlight w:val="none"/>
                <w:u w:val="none" w:color="auto"/>
                <w:lang w:val="en-US" w:eastAsia="zh-CN"/>
              </w:rPr>
              <w:t>于2022</w:t>
            </w:r>
            <w:r>
              <w:rPr>
                <w:rFonts w:hint="default" w:ascii="Times New Roman" w:hAnsi="Times New Roman" w:eastAsia="宋体" w:cs="Times New Roman"/>
                <w:color w:val="auto"/>
                <w:sz w:val="24"/>
                <w:szCs w:val="24"/>
                <w:highlight w:val="none"/>
                <w:u w:val="none" w:color="auto"/>
              </w:rPr>
              <w:t>年</w:t>
            </w:r>
            <w:r>
              <w:rPr>
                <w:rFonts w:hint="eastAsia" w:cs="Times New Roman"/>
                <w:color w:val="auto"/>
                <w:sz w:val="24"/>
                <w:szCs w:val="24"/>
                <w:highlight w:val="none"/>
                <w:u w:val="none" w:color="auto"/>
                <w:lang w:val="en-US" w:eastAsia="zh-CN"/>
              </w:rPr>
              <w:t>11</w:t>
            </w:r>
            <w:r>
              <w:rPr>
                <w:rFonts w:hint="default" w:ascii="Times New Roman" w:hAnsi="Times New Roman" w:eastAsia="宋体" w:cs="Times New Roman"/>
                <w:color w:val="auto"/>
                <w:sz w:val="24"/>
                <w:szCs w:val="24"/>
                <w:highlight w:val="none"/>
                <w:u w:val="none" w:color="auto"/>
              </w:rPr>
              <w:t>月</w:t>
            </w:r>
            <w:r>
              <w:rPr>
                <w:rFonts w:hint="eastAsia" w:cs="Times New Roman"/>
                <w:color w:val="auto"/>
                <w:sz w:val="24"/>
                <w:szCs w:val="24"/>
                <w:highlight w:val="none"/>
                <w:u w:val="none" w:color="auto"/>
                <w:lang w:val="en-US" w:eastAsia="zh-CN"/>
              </w:rPr>
              <w:t>10</w:t>
            </w:r>
            <w:r>
              <w:rPr>
                <w:rFonts w:hint="default" w:ascii="Times New Roman" w:hAnsi="Times New Roman" w:eastAsia="宋体" w:cs="Times New Roman"/>
                <w:color w:val="auto"/>
                <w:sz w:val="24"/>
                <w:szCs w:val="24"/>
                <w:highlight w:val="none"/>
                <w:u w:val="none" w:color="auto"/>
              </w:rPr>
              <w:t>日-</w:t>
            </w:r>
            <w:r>
              <w:rPr>
                <w:rFonts w:hint="eastAsia" w:cs="Times New Roman"/>
                <w:color w:val="auto"/>
                <w:sz w:val="24"/>
                <w:szCs w:val="24"/>
                <w:highlight w:val="none"/>
                <w:u w:val="none" w:color="auto"/>
                <w:lang w:val="en-US" w:eastAsia="zh-CN"/>
              </w:rPr>
              <w:t>11</w:t>
            </w:r>
            <w:r>
              <w:rPr>
                <w:rFonts w:hint="default" w:ascii="Times New Roman" w:hAnsi="Times New Roman" w:eastAsia="宋体" w:cs="Times New Roman"/>
                <w:color w:val="auto"/>
                <w:sz w:val="24"/>
                <w:szCs w:val="24"/>
                <w:highlight w:val="none"/>
                <w:u w:val="none" w:color="auto"/>
              </w:rPr>
              <w:t>月</w:t>
            </w:r>
            <w:r>
              <w:rPr>
                <w:rFonts w:hint="eastAsia" w:ascii="Times New Roman" w:hAnsi="Times New Roman" w:eastAsia="宋体" w:cs="Times New Roman"/>
                <w:color w:val="auto"/>
                <w:sz w:val="24"/>
                <w:szCs w:val="24"/>
                <w:highlight w:val="none"/>
                <w:u w:val="none" w:color="auto"/>
                <w:lang w:val="en-US" w:eastAsia="zh-CN"/>
              </w:rPr>
              <w:t>1</w:t>
            </w:r>
            <w:r>
              <w:rPr>
                <w:rFonts w:hint="eastAsia" w:cs="Times New Roman"/>
                <w:color w:val="auto"/>
                <w:sz w:val="24"/>
                <w:szCs w:val="24"/>
                <w:highlight w:val="none"/>
                <w:u w:val="none" w:color="auto"/>
                <w:lang w:val="en-US" w:eastAsia="zh-CN"/>
              </w:rPr>
              <w:t>6</w:t>
            </w:r>
            <w:r>
              <w:rPr>
                <w:rFonts w:hint="default" w:ascii="Times New Roman" w:hAnsi="Times New Roman" w:eastAsia="宋体" w:cs="Times New Roman"/>
                <w:color w:val="auto"/>
                <w:sz w:val="24"/>
                <w:szCs w:val="24"/>
                <w:highlight w:val="none"/>
                <w:u w:val="none" w:color="auto"/>
              </w:rPr>
              <w:t>日</w:t>
            </w:r>
            <w:r>
              <w:rPr>
                <w:rFonts w:hint="eastAsia" w:ascii="Times New Roman" w:hAnsi="Times New Roman" w:eastAsia="宋体" w:cs="Times New Roman"/>
                <w:color w:val="auto"/>
                <w:kern w:val="2"/>
                <w:sz w:val="24"/>
                <w:szCs w:val="24"/>
                <w:highlight w:val="none"/>
                <w:u w:val="none" w:color="auto"/>
                <w:lang w:val="en-US" w:eastAsia="zh-CN" w:bidi="ar-SA"/>
              </w:rPr>
              <w:t>委托</w:t>
            </w:r>
            <w:r>
              <w:rPr>
                <w:rFonts w:hint="eastAsia" w:ascii="Times New Roman" w:hAnsi="Times New Roman" w:eastAsia="宋体" w:cs="Times New Roman"/>
                <w:color w:val="auto"/>
                <w:sz w:val="24"/>
                <w:szCs w:val="24"/>
                <w:highlight w:val="none"/>
                <w:u w:val="none" w:color="auto"/>
                <w:lang w:val="en-US" w:eastAsia="zh-CN"/>
              </w:rPr>
              <w:t>湖南</w:t>
            </w:r>
            <w:r>
              <w:rPr>
                <w:rFonts w:hint="eastAsia" w:cs="Times New Roman"/>
                <w:color w:val="auto"/>
                <w:sz w:val="24"/>
                <w:szCs w:val="24"/>
                <w:highlight w:val="none"/>
                <w:u w:val="none" w:color="auto"/>
                <w:lang w:val="en-US" w:eastAsia="zh-CN"/>
              </w:rPr>
              <w:t>中石检测</w:t>
            </w:r>
            <w:r>
              <w:rPr>
                <w:rFonts w:hint="eastAsia" w:ascii="Times New Roman" w:hAnsi="Times New Roman" w:eastAsia="宋体" w:cs="Times New Roman"/>
                <w:color w:val="auto"/>
                <w:sz w:val="24"/>
                <w:szCs w:val="24"/>
                <w:highlight w:val="none"/>
                <w:u w:val="none" w:color="auto"/>
                <w:lang w:val="en-US" w:eastAsia="zh-CN"/>
              </w:rPr>
              <w:t>有限公司</w:t>
            </w:r>
            <w:r>
              <w:rPr>
                <w:rFonts w:hint="eastAsia" w:ascii="Times New Roman" w:hAnsi="Times New Roman" w:eastAsia="宋体" w:cs="Times New Roman"/>
                <w:color w:val="auto"/>
                <w:kern w:val="2"/>
                <w:sz w:val="24"/>
                <w:szCs w:val="24"/>
                <w:highlight w:val="none"/>
                <w:u w:val="none" w:color="auto"/>
                <w:lang w:val="en-US" w:eastAsia="zh-CN" w:bidi="ar-SA"/>
              </w:rPr>
              <w:t>对项目周边敏感点</w:t>
            </w:r>
            <w:r>
              <w:rPr>
                <w:rFonts w:hint="eastAsia" w:ascii="Times New Roman" w:hAnsi="Times New Roman" w:cs="Times New Roman"/>
                <w:color w:val="auto"/>
                <w:kern w:val="2"/>
                <w:sz w:val="24"/>
                <w:szCs w:val="24"/>
                <w:highlight w:val="none"/>
                <w:u w:val="none" w:color="auto"/>
                <w:lang w:val="en-US" w:eastAsia="zh-CN" w:bidi="ar-SA"/>
              </w:rPr>
              <w:t>（</w:t>
            </w:r>
            <w:r>
              <w:rPr>
                <w:rFonts w:hint="eastAsia" w:cs="Times New Roman"/>
                <w:color w:val="auto"/>
                <w:sz w:val="24"/>
                <w:szCs w:val="24"/>
                <w:highlight w:val="none"/>
                <w:u w:val="none" w:color="auto"/>
                <w:lang w:val="en-US" w:eastAsia="zh-CN"/>
              </w:rPr>
              <w:t>金龙村</w:t>
            </w:r>
            <w:r>
              <w:rPr>
                <w:rFonts w:hint="eastAsia" w:ascii="Times New Roman" w:hAnsi="Times New Roman"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进行了检测</w:t>
            </w:r>
            <w:r>
              <w:rPr>
                <w:rFonts w:hint="eastAsia" w:cs="Times New Roman"/>
                <w:color w:val="auto"/>
                <w:kern w:val="2"/>
                <w:sz w:val="24"/>
                <w:szCs w:val="24"/>
                <w:highlight w:val="none"/>
                <w:u w:val="none" w:color="auto"/>
                <w:lang w:val="en-US" w:eastAsia="zh-CN" w:bidi="ar-SA"/>
              </w:rPr>
              <w:t>，</w:t>
            </w:r>
            <w:r>
              <w:rPr>
                <w:rFonts w:hint="eastAsia" w:cs="Times New Roman"/>
                <w:color w:val="auto"/>
                <w:sz w:val="24"/>
                <w:szCs w:val="24"/>
                <w:highlight w:val="none"/>
                <w:u w:val="none" w:color="auto"/>
                <w:lang w:val="en-US" w:eastAsia="zh-CN"/>
              </w:rPr>
              <w:t>金龙村</w:t>
            </w:r>
            <w:r>
              <w:rPr>
                <w:rFonts w:hint="eastAsia" w:cs="Times New Roman"/>
                <w:color w:val="auto"/>
                <w:kern w:val="2"/>
                <w:sz w:val="24"/>
                <w:szCs w:val="24"/>
                <w:highlight w:val="none"/>
                <w:u w:val="none" w:color="auto"/>
                <w:lang w:val="en-US" w:eastAsia="zh-CN" w:bidi="ar-SA"/>
              </w:rPr>
              <w:t>位于本项目北侧800m处，</w:t>
            </w:r>
            <w:r>
              <w:rPr>
                <w:rFonts w:hint="eastAsia" w:ascii="Times New Roman" w:hAnsi="Times New Roman" w:cs="Times New Roman"/>
                <w:color w:val="auto"/>
                <w:kern w:val="2"/>
                <w:sz w:val="24"/>
                <w:szCs w:val="24"/>
                <w:highlight w:val="none"/>
                <w:u w:val="none" w:color="auto"/>
                <w:lang w:val="en-US" w:eastAsia="zh-CN" w:bidi="ar-SA"/>
              </w:rPr>
              <w:t>引用数据符合近三年现状数据要求，且引用点位距离符合相应要求，引用数据可行</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cs="Times New Roman"/>
                <w:color w:val="auto"/>
                <w:kern w:val="2"/>
                <w:sz w:val="24"/>
                <w:szCs w:val="24"/>
                <w:highlight w:val="none"/>
                <w:u w:val="none" w:color="auto"/>
                <w:lang w:val="en-US" w:eastAsia="zh-CN" w:bidi="ar-SA"/>
              </w:rPr>
              <w:t>具体监测数据如下：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b/>
                <w:color w:val="auto"/>
                <w:sz w:val="24"/>
                <w:szCs w:val="24"/>
                <w:highlight w:val="none"/>
                <w:u w:val="none" w:color="auto"/>
              </w:rPr>
              <w:t>表3</w:t>
            </w:r>
            <w:r>
              <w:rPr>
                <w:rFonts w:hint="eastAsia" w:cs="Times New Roman"/>
                <w:b/>
                <w:color w:val="auto"/>
                <w:sz w:val="24"/>
                <w:szCs w:val="24"/>
                <w:highlight w:val="none"/>
                <w:u w:val="none" w:color="auto"/>
                <w:lang w:val="en-US" w:eastAsia="zh-CN"/>
              </w:rPr>
              <w:t>.1</w:t>
            </w:r>
            <w:r>
              <w:rPr>
                <w:rFonts w:hint="default" w:ascii="Times New Roman" w:hAnsi="Times New Roman" w:eastAsia="宋体" w:cs="Times New Roman"/>
                <w:b/>
                <w:color w:val="auto"/>
                <w:sz w:val="24"/>
                <w:szCs w:val="24"/>
                <w:highlight w:val="none"/>
                <w:u w:val="none" w:color="auto"/>
              </w:rPr>
              <w:t>-</w:t>
            </w:r>
            <w:r>
              <w:rPr>
                <w:rFonts w:hint="eastAsia" w:cs="Times New Roman"/>
                <w:b/>
                <w:color w:val="auto"/>
                <w:sz w:val="24"/>
                <w:szCs w:val="24"/>
                <w:highlight w:val="none"/>
                <w:u w:val="none" w:color="auto"/>
                <w:lang w:val="en-US" w:eastAsia="zh-CN"/>
              </w:rPr>
              <w:t>3</w:t>
            </w:r>
            <w:r>
              <w:rPr>
                <w:rFonts w:hint="eastAsia" w:ascii="Times New Roman" w:hAnsi="Times New Roman" w:eastAsia="宋体" w:cs="Times New Roman"/>
                <w:b/>
                <w:color w:val="auto"/>
                <w:sz w:val="24"/>
                <w:szCs w:val="24"/>
                <w:highlight w:val="none"/>
                <w:u w:val="none" w:color="auto"/>
                <w:lang w:val="en-US" w:eastAsia="zh-CN"/>
              </w:rPr>
              <w:t>特征</w:t>
            </w:r>
            <w:r>
              <w:rPr>
                <w:rFonts w:hint="default" w:ascii="Times New Roman" w:hAnsi="Times New Roman" w:eastAsia="宋体" w:cs="Times New Roman"/>
                <w:b/>
                <w:color w:val="auto"/>
                <w:sz w:val="24"/>
                <w:szCs w:val="24"/>
                <w:highlight w:val="none"/>
                <w:u w:val="none" w:color="auto"/>
              </w:rPr>
              <w:t>污染物环境质量监测结果</w:t>
            </w:r>
          </w:p>
          <w:tbl>
            <w:tblPr>
              <w:tblStyle w:val="2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124"/>
              <w:gridCol w:w="931"/>
              <w:gridCol w:w="1113"/>
              <w:gridCol w:w="1121"/>
              <w:gridCol w:w="991"/>
              <w:gridCol w:w="804"/>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73"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监测点位</w:t>
                  </w:r>
                </w:p>
              </w:tc>
              <w:tc>
                <w:tcPr>
                  <w:tcW w:w="706"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污染物</w:t>
                  </w:r>
                </w:p>
              </w:tc>
              <w:tc>
                <w:tcPr>
                  <w:tcW w:w="585"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平均时间</w:t>
                  </w:r>
                </w:p>
              </w:tc>
              <w:tc>
                <w:tcPr>
                  <w:tcW w:w="699"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评价标准/（μg/m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w:t>
                  </w:r>
                </w:p>
              </w:tc>
              <w:tc>
                <w:tcPr>
                  <w:tcW w:w="704"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监测浓度范围/（μg/m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w:t>
                  </w:r>
                </w:p>
              </w:tc>
              <w:tc>
                <w:tcPr>
                  <w:tcW w:w="622"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最大浓度占标率/%</w:t>
                  </w:r>
                </w:p>
              </w:tc>
              <w:tc>
                <w:tcPr>
                  <w:tcW w:w="505"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超标率/%</w:t>
                  </w:r>
                </w:p>
              </w:tc>
              <w:tc>
                <w:tcPr>
                  <w:tcW w:w="502" w:type="pct"/>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3"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706"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585"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699"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704"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622"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505"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c>
                <w:tcPr>
                  <w:tcW w:w="502" w:type="pct"/>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G2金龙村</w:t>
                  </w:r>
                </w:p>
              </w:tc>
              <w:tc>
                <w:tcPr>
                  <w:tcW w:w="706"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TSP</w:t>
                  </w:r>
                </w:p>
              </w:tc>
              <w:tc>
                <w:tcPr>
                  <w:tcW w:w="585"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24h</w:t>
                  </w:r>
                </w:p>
              </w:tc>
              <w:tc>
                <w:tcPr>
                  <w:tcW w:w="699"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300</w:t>
                  </w:r>
                </w:p>
              </w:tc>
              <w:tc>
                <w:tcPr>
                  <w:tcW w:w="704"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13</w:t>
                  </w:r>
                  <w:r>
                    <w:rPr>
                      <w:rFonts w:hint="eastAsia" w:cs="Times New Roman"/>
                      <w:bCs/>
                      <w:color w:val="auto"/>
                      <w:sz w:val="21"/>
                      <w:szCs w:val="21"/>
                      <w:highlight w:val="none"/>
                      <w:u w:val="none" w:color="auto"/>
                      <w:lang w:val="en-US" w:eastAsia="zh-CN"/>
                    </w:rPr>
                    <w:t>9~</w:t>
                  </w:r>
                  <w:r>
                    <w:rPr>
                      <w:rFonts w:hint="eastAsia" w:ascii="Times New Roman" w:hAnsi="Times New Roman" w:eastAsia="宋体" w:cs="Times New Roman"/>
                      <w:bCs/>
                      <w:color w:val="auto"/>
                      <w:sz w:val="21"/>
                      <w:szCs w:val="21"/>
                      <w:highlight w:val="none"/>
                      <w:u w:val="none" w:color="auto"/>
                      <w:lang w:val="en-US" w:eastAsia="zh-CN"/>
                    </w:rPr>
                    <w:t>156</w:t>
                  </w:r>
                </w:p>
              </w:tc>
              <w:tc>
                <w:tcPr>
                  <w:tcW w:w="62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52</w:t>
                  </w:r>
                </w:p>
              </w:tc>
              <w:tc>
                <w:tcPr>
                  <w:tcW w:w="505"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氨</w:t>
                  </w:r>
                </w:p>
              </w:tc>
              <w:tc>
                <w:tcPr>
                  <w:tcW w:w="585"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1h</w:t>
                  </w:r>
                </w:p>
              </w:tc>
              <w:tc>
                <w:tcPr>
                  <w:tcW w:w="699"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200</w:t>
                  </w:r>
                </w:p>
              </w:tc>
              <w:tc>
                <w:tcPr>
                  <w:tcW w:w="704"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50~80</w:t>
                  </w:r>
                </w:p>
              </w:tc>
              <w:tc>
                <w:tcPr>
                  <w:tcW w:w="62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40</w:t>
                  </w:r>
                </w:p>
              </w:tc>
              <w:tc>
                <w:tcPr>
                  <w:tcW w:w="505" w:type="pct"/>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TVOC</w:t>
                  </w:r>
                </w:p>
              </w:tc>
              <w:tc>
                <w:tcPr>
                  <w:tcW w:w="585"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8h</w:t>
                  </w:r>
                </w:p>
              </w:tc>
              <w:tc>
                <w:tcPr>
                  <w:tcW w:w="699"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600</w:t>
                  </w:r>
                </w:p>
              </w:tc>
              <w:tc>
                <w:tcPr>
                  <w:tcW w:w="704"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未检出</w:t>
                  </w:r>
                </w:p>
              </w:tc>
              <w:tc>
                <w:tcPr>
                  <w:tcW w:w="622"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5"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非甲烷总烃</w:t>
                  </w:r>
                </w:p>
              </w:tc>
              <w:tc>
                <w:tcPr>
                  <w:tcW w:w="585"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一次值</w:t>
                  </w:r>
                </w:p>
              </w:tc>
              <w:tc>
                <w:tcPr>
                  <w:tcW w:w="699"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2000</w:t>
                  </w:r>
                </w:p>
              </w:tc>
              <w:tc>
                <w:tcPr>
                  <w:tcW w:w="704"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90~190</w:t>
                  </w:r>
                </w:p>
              </w:tc>
              <w:tc>
                <w:tcPr>
                  <w:tcW w:w="622"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9.5</w:t>
                  </w:r>
                </w:p>
              </w:tc>
              <w:tc>
                <w:tcPr>
                  <w:tcW w:w="505"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苯</w:t>
                  </w:r>
                </w:p>
              </w:tc>
              <w:tc>
                <w:tcPr>
                  <w:tcW w:w="585"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1h</w:t>
                  </w:r>
                </w:p>
              </w:tc>
              <w:tc>
                <w:tcPr>
                  <w:tcW w:w="699"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110</w:t>
                  </w:r>
                </w:p>
              </w:tc>
              <w:tc>
                <w:tcPr>
                  <w:tcW w:w="704"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未检出</w:t>
                  </w:r>
                </w:p>
              </w:tc>
              <w:tc>
                <w:tcPr>
                  <w:tcW w:w="622"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5"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甲苯</w:t>
                  </w:r>
                </w:p>
              </w:tc>
              <w:tc>
                <w:tcPr>
                  <w:tcW w:w="585"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1h</w:t>
                  </w:r>
                </w:p>
              </w:tc>
              <w:tc>
                <w:tcPr>
                  <w:tcW w:w="699"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200</w:t>
                  </w:r>
                </w:p>
              </w:tc>
              <w:tc>
                <w:tcPr>
                  <w:tcW w:w="704"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未检出</w:t>
                  </w:r>
                </w:p>
              </w:tc>
              <w:tc>
                <w:tcPr>
                  <w:tcW w:w="622"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5"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二甲苯</w:t>
                  </w:r>
                </w:p>
              </w:tc>
              <w:tc>
                <w:tcPr>
                  <w:tcW w:w="585"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1h</w:t>
                  </w:r>
                </w:p>
              </w:tc>
              <w:tc>
                <w:tcPr>
                  <w:tcW w:w="699"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200</w:t>
                  </w:r>
                </w:p>
              </w:tc>
              <w:tc>
                <w:tcPr>
                  <w:tcW w:w="704"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未检出</w:t>
                  </w:r>
                </w:p>
              </w:tc>
              <w:tc>
                <w:tcPr>
                  <w:tcW w:w="622"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5"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val="en-US" w:eastAsia="zh-CN"/>
                    </w:rPr>
                  </w:pPr>
                </w:p>
              </w:tc>
              <w:tc>
                <w:tcPr>
                  <w:tcW w:w="706"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臭气浓度</w:t>
                  </w:r>
                </w:p>
              </w:tc>
              <w:tc>
                <w:tcPr>
                  <w:tcW w:w="585"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一次值</w:t>
                  </w:r>
                </w:p>
              </w:tc>
              <w:tc>
                <w:tcPr>
                  <w:tcW w:w="699"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w:t>
                  </w:r>
                </w:p>
              </w:tc>
              <w:tc>
                <w:tcPr>
                  <w:tcW w:w="704" w:type="pct"/>
                  <w:tcBorders>
                    <w:tl2br w:val="nil"/>
                    <w:tr2bl w:val="nil"/>
                  </w:tcBorders>
                  <w:noWrap w:val="0"/>
                  <w:vAlign w:val="center"/>
                </w:tcPr>
                <w:p>
                  <w:pPr>
                    <w:jc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＜10</w:t>
                  </w:r>
                </w:p>
              </w:tc>
              <w:tc>
                <w:tcPr>
                  <w:tcW w:w="622"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5" w:type="pct"/>
                  <w:tcBorders>
                    <w:tl2br w:val="nil"/>
                    <w:tr2bl w:val="nil"/>
                  </w:tcBorders>
                  <w:noWrap w:val="0"/>
                  <w:vAlign w:val="center"/>
                </w:tcPr>
                <w:p>
                  <w:pPr>
                    <w:jc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0</w:t>
                  </w:r>
                </w:p>
              </w:tc>
              <w:tc>
                <w:tcPr>
                  <w:tcW w:w="502" w:type="pct"/>
                  <w:tcBorders>
                    <w:tl2br w:val="nil"/>
                    <w:tr2bl w:val="nil"/>
                  </w:tcBorders>
                  <w:noWrap w:val="0"/>
                  <w:vAlign w:val="center"/>
                </w:tcPr>
                <w:p>
                  <w:pPr>
                    <w:jc w:val="center"/>
                    <w:rPr>
                      <w:rFonts w:hint="eastAsia" w:ascii="Times New Roman" w:hAnsi="Times New Roman" w:eastAsia="宋体" w:cs="Times New Roman"/>
                      <w:bCs/>
                      <w:color w:val="auto"/>
                      <w:sz w:val="21"/>
                      <w:szCs w:val="21"/>
                      <w:highlight w:val="none"/>
                      <w:u w:val="none" w:color="auto"/>
                      <w:lang w:eastAsia="zh-CN"/>
                    </w:rPr>
                  </w:pPr>
                  <w:r>
                    <w:rPr>
                      <w:rFonts w:hint="eastAsia" w:cs="Times New Roman"/>
                      <w:bCs/>
                      <w:color w:val="auto"/>
                      <w:sz w:val="21"/>
                      <w:szCs w:val="21"/>
                      <w:highlight w:val="none"/>
                      <w:u w:val="none" w:color="auto"/>
                      <w:lang w:eastAsia="zh-CN"/>
                    </w:rPr>
                    <w:t>达标</w:t>
                  </w:r>
                </w:p>
              </w:tc>
            </w:tr>
          </w:tbl>
          <w:p>
            <w:pPr>
              <w:pStyle w:val="62"/>
              <w:bidi w:val="0"/>
              <w:rPr>
                <w:rFonts w:hint="default"/>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监测数据表明，</w:t>
            </w:r>
            <w:r>
              <w:rPr>
                <w:rFonts w:hint="eastAsia" w:ascii="Times New Roman" w:hAnsi="Times New Roman" w:eastAsia="宋体" w:cs="Times New Roman"/>
                <w:color w:val="auto"/>
                <w:kern w:val="0"/>
                <w:sz w:val="24"/>
                <w:szCs w:val="24"/>
                <w:highlight w:val="none"/>
                <w:u w:val="none"/>
                <w:lang w:val="en-US" w:eastAsia="zh-CN"/>
              </w:rPr>
              <w:t>TSP满足</w:t>
            </w:r>
            <w:r>
              <w:rPr>
                <w:rFonts w:hint="default" w:ascii="Times New Roman" w:hAnsi="Times New Roman" w:eastAsia="宋体" w:cs="Times New Roman"/>
                <w:color w:val="auto"/>
                <w:kern w:val="0"/>
                <w:sz w:val="24"/>
                <w:szCs w:val="24"/>
                <w:highlight w:val="none"/>
                <w:u w:val="none"/>
                <w:lang w:val="zh-CN"/>
              </w:rPr>
              <w:t>《环境空气质量标准》</w:t>
            </w:r>
            <w:r>
              <w:rPr>
                <w:rFonts w:hint="default" w:ascii="Times New Roman" w:hAnsi="Times New Roman" w:eastAsia="宋体" w:cs="Times New Roman"/>
                <w:color w:val="auto"/>
                <w:kern w:val="0"/>
                <w:sz w:val="24"/>
                <w:szCs w:val="24"/>
                <w:highlight w:val="none"/>
                <w:u w:val="none"/>
              </w:rPr>
              <w:t>(GB3095-2012)及修改单</w:t>
            </w:r>
            <w:r>
              <w:rPr>
                <w:rFonts w:hint="default" w:ascii="Times New Roman" w:hAnsi="Times New Roman" w:eastAsia="宋体" w:cs="Times New Roman"/>
                <w:color w:val="auto"/>
                <w:kern w:val="0"/>
                <w:sz w:val="24"/>
                <w:szCs w:val="24"/>
                <w:highlight w:val="none"/>
                <w:u w:val="none"/>
                <w:lang w:val="zh-CN"/>
              </w:rPr>
              <w:t>中的二级标准要求</w:t>
            </w:r>
            <w:r>
              <w:rPr>
                <w:rFonts w:hint="eastAsia" w:cs="Times New Roman"/>
                <w:color w:val="auto"/>
                <w:kern w:val="0"/>
                <w:sz w:val="24"/>
                <w:szCs w:val="24"/>
                <w:highlight w:val="none"/>
                <w:u w:val="none"/>
                <w:lang w:val="zh-CN"/>
              </w:rPr>
              <w:t>，氨、</w:t>
            </w:r>
            <w:r>
              <w:rPr>
                <w:rFonts w:hint="eastAsia" w:cs="Times New Roman"/>
                <w:color w:val="auto"/>
                <w:kern w:val="0"/>
                <w:sz w:val="24"/>
                <w:szCs w:val="24"/>
                <w:highlight w:val="none"/>
                <w:u w:val="none"/>
                <w:lang w:val="en-US" w:eastAsia="zh-CN"/>
              </w:rPr>
              <w:t>TVOC、</w:t>
            </w:r>
            <w:r>
              <w:rPr>
                <w:rFonts w:hint="eastAsia" w:cs="Times New Roman"/>
                <w:color w:val="auto"/>
                <w:kern w:val="2"/>
                <w:sz w:val="24"/>
                <w:szCs w:val="24"/>
                <w:highlight w:val="none"/>
                <w:u w:val="none" w:color="auto"/>
                <w:lang w:val="en-US" w:eastAsia="zh-CN" w:bidi="ar-SA"/>
              </w:rPr>
              <w:t>苯、甲苯、二甲苯</w:t>
            </w:r>
            <w:r>
              <w:rPr>
                <w:rFonts w:hint="eastAsia" w:cs="Times New Roman"/>
                <w:color w:val="auto"/>
                <w:kern w:val="0"/>
                <w:sz w:val="24"/>
                <w:szCs w:val="24"/>
                <w:highlight w:val="none"/>
                <w:u w:val="none"/>
                <w:lang w:val="zh-CN"/>
              </w:rPr>
              <w:t>满足《环境影响评价技术导则大气环境》（HJ2.2</w:t>
            </w:r>
            <w:r>
              <w:rPr>
                <w:rFonts w:hint="eastAsia" w:cs="Times New Roman"/>
                <w:color w:val="auto"/>
                <w:kern w:val="0"/>
                <w:sz w:val="24"/>
                <w:szCs w:val="24"/>
                <w:highlight w:val="none"/>
                <w:u w:val="none"/>
                <w:lang w:val="en-US" w:eastAsia="zh-CN"/>
              </w:rPr>
              <w:t>-</w:t>
            </w:r>
            <w:r>
              <w:rPr>
                <w:rFonts w:hint="eastAsia" w:cs="Times New Roman"/>
                <w:color w:val="auto"/>
                <w:kern w:val="0"/>
                <w:sz w:val="24"/>
                <w:szCs w:val="24"/>
                <w:highlight w:val="none"/>
                <w:u w:val="none"/>
                <w:lang w:val="zh-CN"/>
              </w:rPr>
              <w:t>2018）附录D相关标准要求</w:t>
            </w:r>
            <w:r>
              <w:rPr>
                <w:rFonts w:hint="eastAsia" w:ascii="Times New Roman" w:hAnsi="Times New Roman" w:eastAsia="宋体" w:cs="Times New Roman"/>
                <w:color w:val="auto"/>
                <w:kern w:val="0"/>
                <w:sz w:val="24"/>
                <w:szCs w:val="24"/>
                <w:highlight w:val="none"/>
                <w:u w:val="none"/>
                <w:lang w:val="zh-CN"/>
              </w:rPr>
              <w:t>，</w:t>
            </w:r>
            <w:r>
              <w:rPr>
                <w:rFonts w:hint="default" w:ascii="Times New Roman" w:hAnsi="Times New Roman" w:eastAsia="宋体" w:cs="Times New Roman"/>
                <w:color w:val="auto"/>
                <w:kern w:val="0"/>
                <w:sz w:val="24"/>
                <w:szCs w:val="24"/>
                <w:highlight w:val="none"/>
                <w:u w:val="none"/>
              </w:rPr>
              <w:t>区域大气环境良好。</w:t>
            </w:r>
          </w:p>
          <w:p>
            <w:pPr>
              <w:topLinePunct/>
              <w:spacing w:line="360" w:lineRule="auto"/>
              <w:jc w:val="left"/>
              <w:rPr>
                <w:rFonts w:hint="default" w:ascii="Times New Roman" w:hAnsi="Times New Roman" w:eastAsia="宋体" w:cs="Times New Roman"/>
                <w:b/>
                <w:color w:val="auto"/>
                <w:sz w:val="24"/>
                <w:szCs w:val="24"/>
                <w:highlight w:val="none"/>
                <w:u w:val="none"/>
              </w:rPr>
            </w:pPr>
            <w:r>
              <w:rPr>
                <w:rFonts w:hint="default" w:ascii="Times New Roman" w:hAnsi="Times New Roman" w:eastAsia="宋体" w:cs="Times New Roman"/>
                <w:b/>
                <w:color w:val="auto"/>
                <w:sz w:val="24"/>
                <w:szCs w:val="24"/>
                <w:highlight w:val="none"/>
                <w:u w:val="none"/>
              </w:rPr>
              <w:t>3.2地表水环境质量</w:t>
            </w:r>
          </w:p>
          <w:p>
            <w:pPr>
              <w:tabs>
                <w:tab w:val="left" w:pos="600"/>
                <w:tab w:val="left" w:pos="7343"/>
              </w:tabs>
              <w:spacing w:line="360" w:lineRule="auto"/>
              <w:ind w:firstLine="480" w:firstLineChars="200"/>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kern w:val="0"/>
                <w:sz w:val="24"/>
                <w:szCs w:val="24"/>
                <w:highlight w:val="none"/>
                <w:u w:val="none"/>
              </w:rPr>
              <w:t>为了解项目建设区域地表水环境质量现状，本次环评引用2022年岳阳市生态环境局湘阴分局对湘江乌龙嘴断面的监测数据，为本项目所在流域最近省控监测断面。引用的监测数据在3年内，数据有效，具体监测情况详见下表：</w:t>
            </w:r>
          </w:p>
          <w:p>
            <w:pPr>
              <w:pStyle w:val="93"/>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eastAsia" w:ascii="Times New Roman" w:hAnsi="Times New Roman" w:eastAsia="宋体" w:cs="Times New Roman"/>
                <w:b/>
                <w:bCs w:val="0"/>
                <w:color w:val="auto"/>
                <w:sz w:val="24"/>
                <w:szCs w:val="24"/>
                <w:u w:val="none"/>
                <w:lang w:val="en-US" w:eastAsia="zh-CN"/>
              </w:rPr>
            </w:pPr>
            <w:r>
              <w:rPr>
                <w:rFonts w:hint="default" w:ascii="Times New Roman" w:hAnsi="Times New Roman" w:eastAsia="宋体" w:cs="Times New Roman"/>
                <w:b/>
                <w:bCs w:val="0"/>
                <w:color w:val="auto"/>
                <w:sz w:val="24"/>
                <w:szCs w:val="24"/>
                <w:u w:val="none"/>
                <w:lang w:val="en-US" w:eastAsia="zh-CN"/>
              </w:rPr>
              <w:t>表</w:t>
            </w:r>
            <w:r>
              <w:rPr>
                <w:rFonts w:hint="eastAsia" w:eastAsia="宋体" w:cs="Times New Roman"/>
                <w:b/>
                <w:bCs w:val="0"/>
                <w:color w:val="auto"/>
                <w:sz w:val="24"/>
                <w:szCs w:val="24"/>
                <w:u w:val="none"/>
                <w:lang w:val="en-US" w:eastAsia="zh-CN"/>
              </w:rPr>
              <w:t>3.2-1</w:t>
            </w:r>
            <w:r>
              <w:rPr>
                <w:rFonts w:hint="eastAsia" w:ascii="Times New Roman" w:hAnsi="Times New Roman" w:eastAsia="宋体" w:cs="Times New Roman"/>
                <w:b/>
                <w:bCs w:val="0"/>
                <w:color w:val="auto"/>
                <w:sz w:val="24"/>
                <w:szCs w:val="24"/>
                <w:u w:val="none"/>
                <w:lang w:val="en-US" w:eastAsia="zh-CN"/>
              </w:rPr>
              <w:t>乌龙嘴断面</w:t>
            </w:r>
            <w:r>
              <w:rPr>
                <w:rFonts w:hint="default" w:ascii="Times New Roman" w:hAnsi="Times New Roman" w:eastAsia="宋体" w:cs="Times New Roman"/>
                <w:b/>
                <w:bCs w:val="0"/>
                <w:color w:val="auto"/>
                <w:sz w:val="24"/>
                <w:szCs w:val="24"/>
                <w:u w:val="none"/>
                <w:lang w:val="en-US" w:eastAsia="zh-CN"/>
              </w:rPr>
              <w:t>现状监测断面与监测因子</w:t>
            </w:r>
            <w:r>
              <w:rPr>
                <w:rFonts w:hint="eastAsia" w:ascii="Times New Roman" w:hAnsi="Times New Roman" w:eastAsia="宋体" w:cs="Times New Roman"/>
                <w:b/>
                <w:bCs w:val="0"/>
                <w:color w:val="auto"/>
                <w:sz w:val="24"/>
                <w:szCs w:val="24"/>
                <w:u w:val="none"/>
                <w:lang w:val="en-US" w:eastAsia="zh-CN"/>
              </w:rPr>
              <w:t>（202</w:t>
            </w:r>
            <w:r>
              <w:rPr>
                <w:rFonts w:hint="eastAsia" w:eastAsia="宋体" w:cs="Times New Roman"/>
                <w:b/>
                <w:bCs w:val="0"/>
                <w:color w:val="auto"/>
                <w:sz w:val="24"/>
                <w:szCs w:val="24"/>
                <w:u w:val="none"/>
                <w:lang w:val="en-US" w:eastAsia="zh-CN"/>
              </w:rPr>
              <w:t>2</w:t>
            </w:r>
            <w:r>
              <w:rPr>
                <w:rFonts w:hint="eastAsia" w:ascii="Times New Roman" w:hAnsi="Times New Roman" w:eastAsia="宋体" w:cs="Times New Roman"/>
                <w:b/>
                <w:bCs w:val="0"/>
                <w:color w:val="auto"/>
                <w:sz w:val="24"/>
                <w:szCs w:val="24"/>
                <w:u w:val="none"/>
                <w:lang w:val="en-US" w:eastAsia="zh-CN"/>
              </w:rPr>
              <w:t>年）</w:t>
            </w:r>
          </w:p>
          <w:tbl>
            <w:tblPr>
              <w:tblStyle w:val="92"/>
              <w:tblW w:w="4998"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7"/>
              <w:gridCol w:w="1621"/>
              <w:gridCol w:w="948"/>
              <w:gridCol w:w="1201"/>
              <w:gridCol w:w="859"/>
              <w:gridCol w:w="1117"/>
              <w:gridCol w:w="794"/>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475" w:type="pct"/>
                  <w:vMerge w:val="restar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监测</w:t>
                  </w:r>
                </w:p>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断面</w:t>
                  </w:r>
                </w:p>
              </w:tc>
              <w:tc>
                <w:tcPr>
                  <w:tcW w:w="1018"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监测因子</w:t>
                  </w:r>
                </w:p>
              </w:tc>
              <w:tc>
                <w:tcPr>
                  <w:tcW w:w="595"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单位</w:t>
                  </w:r>
                </w:p>
              </w:tc>
              <w:tc>
                <w:tcPr>
                  <w:tcW w:w="754"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年平均值</w:t>
                  </w:r>
                </w:p>
              </w:tc>
              <w:tc>
                <w:tcPr>
                  <w:tcW w:w="539"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超标率</w:t>
                  </w:r>
                </w:p>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w:t>
                  </w:r>
                </w:p>
              </w:tc>
              <w:tc>
                <w:tcPr>
                  <w:tcW w:w="701"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最大超标倍数%</w:t>
                  </w:r>
                </w:p>
              </w:tc>
              <w:tc>
                <w:tcPr>
                  <w:tcW w:w="498"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标准</w:t>
                  </w:r>
                </w:p>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限值</w:t>
                  </w:r>
                </w:p>
              </w:tc>
              <w:tc>
                <w:tcPr>
                  <w:tcW w:w="417" w:type="pct"/>
                  <w:tcBorders>
                    <w:tl2br w:val="nil"/>
                    <w:tr2bl w:val="nil"/>
                  </w:tcBorders>
                  <w:noWrap w:val="0"/>
                  <w:vAlign w:val="center"/>
                </w:tcPr>
                <w:p>
                  <w:pPr>
                    <w:bidi w:val="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475" w:type="pct"/>
                  <w:vMerge w:val="restar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湘江乌龙嘴断面</w:t>
                  </w: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水温</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摄氏度</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电导率</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ms/m</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25</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pH值</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无量纲</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7</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6-9</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溶解氧</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7</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高锰酸盐指数</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化学需氧量</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11</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生化需氧量</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氨氮</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0.152</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总磷</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0.039</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总氮</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0.823</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铜</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锌</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氟化物</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0.239</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硒</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0.01</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砷</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汞</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0.0001</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镉</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0.005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六价铬</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铅</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氰化物</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挥发酚</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0.005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石油类</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0.02</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0.05</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LAS</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ND</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硫化物</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mg/L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0.012</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475"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p>
              </w:tc>
              <w:tc>
                <w:tcPr>
                  <w:tcW w:w="101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粪大肠菌群</w:t>
                  </w:r>
                </w:p>
              </w:tc>
              <w:tc>
                <w:tcPr>
                  <w:tcW w:w="595"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个/L</w:t>
                  </w:r>
                </w:p>
              </w:tc>
              <w:tc>
                <w:tcPr>
                  <w:tcW w:w="75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3408</w:t>
                  </w:r>
                </w:p>
              </w:tc>
              <w:tc>
                <w:tcPr>
                  <w:tcW w:w="539"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701"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w:t>
                  </w:r>
                </w:p>
              </w:tc>
              <w:tc>
                <w:tcPr>
                  <w:tcW w:w="498"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10000</w:t>
                  </w:r>
                </w:p>
              </w:tc>
              <w:tc>
                <w:tcPr>
                  <w:tcW w:w="41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达标</w:t>
                  </w:r>
                </w:p>
              </w:tc>
            </w:tr>
          </w:tbl>
          <w:p>
            <w:pPr>
              <w:pStyle w:val="62"/>
              <w:bidi w:val="0"/>
              <w:rPr>
                <w:rFonts w:hint="eastAsia" w:ascii="Times New Roman" w:hAnsi="Times New Roman" w:eastAsia="宋体" w:cs="Times New Roman"/>
                <w:color w:val="auto"/>
                <w:kern w:val="0"/>
                <w:sz w:val="24"/>
                <w:szCs w:val="24"/>
                <w:u w:val="none"/>
                <w:lang w:val="en-US" w:eastAsia="zh-CN"/>
              </w:rPr>
            </w:pPr>
            <w:r>
              <w:rPr>
                <w:rFonts w:hint="eastAsia" w:ascii="Times New Roman" w:hAnsi="Times New Roman" w:eastAsia="宋体" w:cs="Times New Roman"/>
                <w:color w:val="auto"/>
                <w:kern w:val="0"/>
                <w:sz w:val="24"/>
                <w:szCs w:val="24"/>
                <w:u w:val="none"/>
                <w:lang w:val="en-US" w:eastAsia="zh-CN"/>
              </w:rPr>
              <w:t>根据监测统计结果可知，湘江湘阴乌龙嘴断面水质各项指标均达到《地表水环境质量标准》（GB3838-2002）中Ⅲ类标准，区域水质状况良好。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u w:val="single" w:color="auto"/>
                <w:lang w:val="en-US" w:eastAsia="zh-CN"/>
              </w:rPr>
            </w:pPr>
            <w:r>
              <w:rPr>
                <w:rFonts w:hint="default" w:ascii="Times New Roman" w:hAnsi="Times New Roman" w:eastAsia="宋体" w:cs="Times New Roman"/>
                <w:color w:val="auto"/>
                <w:kern w:val="0"/>
                <w:sz w:val="24"/>
                <w:szCs w:val="24"/>
                <w:u w:val="single" w:color="auto"/>
                <w:lang w:val="en-US" w:eastAsia="zh-CN"/>
              </w:rPr>
              <w:t>为进一步了解项目区域地表水环境质量，本环评引用《岳阳厚浦废旧锂电池三元正极材料再生利用项目环境影响报告书》中湖南乾诚检测有限公司于2022.10.24~2022.10.26对湘江及洋沙湖进行的历史监测数据。</w:t>
            </w:r>
          </w:p>
          <w:p>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u w:val="single" w:color="auto"/>
                <w:lang w:val="en-US" w:eastAsia="zh-CN"/>
              </w:rPr>
            </w:pPr>
            <w:r>
              <w:rPr>
                <w:rFonts w:hint="eastAsia" w:ascii="Times New Roman" w:hAnsi="Times New Roman" w:eastAsia="宋体" w:cs="Times New Roman"/>
                <w:color w:val="auto"/>
                <w:kern w:val="0"/>
                <w:sz w:val="24"/>
                <w:szCs w:val="24"/>
                <w:u w:val="single" w:color="auto"/>
                <w:lang w:val="en-US" w:eastAsia="zh-CN"/>
              </w:rPr>
              <w:t>监测点位及监测因子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4"/>
                <w:szCs w:val="24"/>
                <w:u w:val="single" w:color="auto"/>
                <w:lang w:val="en-US" w:eastAsia="zh-CN"/>
              </w:rPr>
              <w:t>引用4个地表水监测点见下表。</w:t>
            </w:r>
          </w:p>
          <w:p>
            <w:pPr>
              <w:pStyle w:val="93"/>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bCs w:val="0"/>
                <w:color w:val="auto"/>
                <w:sz w:val="24"/>
                <w:szCs w:val="24"/>
                <w:u w:val="single" w:color="auto"/>
                <w:lang w:val="en-US" w:eastAsia="zh-CN"/>
              </w:rPr>
            </w:pPr>
            <w:r>
              <w:rPr>
                <w:rFonts w:hint="default" w:ascii="Times New Roman" w:hAnsi="Times New Roman" w:eastAsia="宋体" w:cs="Times New Roman"/>
                <w:b/>
                <w:bCs w:val="0"/>
                <w:color w:val="auto"/>
                <w:sz w:val="24"/>
                <w:szCs w:val="24"/>
                <w:u w:val="single" w:color="auto"/>
                <w:lang w:val="en-US" w:eastAsia="zh-CN"/>
              </w:rPr>
              <w:t>表</w:t>
            </w:r>
            <w:r>
              <w:rPr>
                <w:rFonts w:hint="eastAsia" w:ascii="Times New Roman" w:hAnsi="Times New Roman" w:eastAsia="宋体" w:cs="Times New Roman"/>
                <w:b/>
                <w:bCs w:val="0"/>
                <w:color w:val="auto"/>
                <w:sz w:val="24"/>
                <w:szCs w:val="24"/>
                <w:u w:val="single" w:color="auto"/>
                <w:lang w:val="en-US" w:eastAsia="zh-CN"/>
              </w:rPr>
              <w:t>3.2-2地表水监测布点说明表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0"/>
              <w:gridCol w:w="879"/>
              <w:gridCol w:w="3972"/>
              <w:gridCol w:w="24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2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水体</w:t>
                  </w:r>
                </w:p>
              </w:tc>
              <w:tc>
                <w:tcPr>
                  <w:tcW w:w="552"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序号</w:t>
                  </w:r>
                </w:p>
              </w:tc>
              <w:tc>
                <w:tcPr>
                  <w:tcW w:w="249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点位名称及位置</w:t>
                  </w:r>
                </w:p>
              </w:tc>
              <w:tc>
                <w:tcPr>
                  <w:tcW w:w="1527"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27" w:type="pct"/>
                  <w:vMerge w:val="restar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洋沙湖</w:t>
                  </w:r>
                </w:p>
              </w:tc>
              <w:tc>
                <w:tcPr>
                  <w:tcW w:w="552"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W1</w:t>
                  </w:r>
                </w:p>
              </w:tc>
              <w:tc>
                <w:tcPr>
                  <w:tcW w:w="249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洋沙湖</w:t>
                  </w:r>
                </w:p>
              </w:tc>
              <w:tc>
                <w:tcPr>
                  <w:tcW w:w="1527" w:type="pct"/>
                  <w:vMerge w:val="restar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pH值、悬浮物、CODcr、BOD</w:t>
                  </w:r>
                  <w:r>
                    <w:rPr>
                      <w:rFonts w:hint="default" w:ascii="Times New Roman" w:hAnsi="Times New Roman" w:eastAsia="宋体" w:cs="Times New Roman"/>
                      <w:color w:val="auto"/>
                      <w:sz w:val="21"/>
                      <w:szCs w:val="21"/>
                      <w:u w:val="single" w:color="auto"/>
                      <w:vertAlign w:val="subscript"/>
                      <w:lang w:val="en-US" w:eastAsia="zh-CN"/>
                    </w:rPr>
                    <w:t>5</w:t>
                  </w:r>
                  <w:r>
                    <w:rPr>
                      <w:rFonts w:hint="default" w:ascii="Times New Roman" w:hAnsi="Times New Roman" w:eastAsia="宋体" w:cs="Times New Roman"/>
                      <w:color w:val="auto"/>
                      <w:sz w:val="21"/>
                      <w:szCs w:val="21"/>
                      <w:u w:val="single" w:color="auto"/>
                      <w:lang w:val="en-US" w:eastAsia="zh-CN"/>
                    </w:rPr>
                    <w:t>、氨氮、总磷、石油类、氟化物、硫化物、氯化物、硫酸盐共1</w:t>
                  </w:r>
                  <w:r>
                    <w:rPr>
                      <w:rFonts w:hint="eastAsia" w:ascii="Times New Roman" w:hAnsi="Times New Roman" w:eastAsia="宋体"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个指标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427"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552"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W2</w:t>
                  </w:r>
                </w:p>
              </w:tc>
              <w:tc>
                <w:tcPr>
                  <w:tcW w:w="249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洋沙湖</w:t>
                  </w:r>
                </w:p>
              </w:tc>
              <w:tc>
                <w:tcPr>
                  <w:tcW w:w="1527"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color w:val="auto"/>
                      <w:kern w:val="0"/>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27" w:type="pct"/>
                  <w:vMerge w:val="restar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湘江</w:t>
                  </w:r>
                </w:p>
              </w:tc>
              <w:tc>
                <w:tcPr>
                  <w:tcW w:w="552"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W3</w:t>
                  </w:r>
                </w:p>
              </w:tc>
              <w:tc>
                <w:tcPr>
                  <w:tcW w:w="249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洋沙湖汇入湘江口上游500m</w:t>
                  </w:r>
                </w:p>
              </w:tc>
              <w:tc>
                <w:tcPr>
                  <w:tcW w:w="1527"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color w:val="auto"/>
                      <w:kern w:val="0"/>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27" w:type="pct"/>
                  <w:vMerge w:val="continue"/>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552"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W4</w:t>
                  </w:r>
                </w:p>
              </w:tc>
              <w:tc>
                <w:tcPr>
                  <w:tcW w:w="2494" w:type="pct"/>
                  <w:tcBorders>
                    <w:tl2br w:val="nil"/>
                    <w:tr2bl w:val="nil"/>
                  </w:tcBorders>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洋沙湖汇入湘江口下游1000m</w:t>
                  </w:r>
                </w:p>
              </w:tc>
              <w:tc>
                <w:tcPr>
                  <w:tcW w:w="1527"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color w:val="auto"/>
                      <w:sz w:val="21"/>
                      <w:szCs w:val="21"/>
                      <w:u w:val="single" w:color="auto"/>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u w:val="single" w:color="auto"/>
                <w:lang w:val="en-US" w:eastAsia="zh-CN"/>
              </w:rPr>
            </w:pPr>
            <w:r>
              <w:rPr>
                <w:rFonts w:hint="eastAsia" w:ascii="Times New Roman" w:hAnsi="Times New Roman" w:eastAsia="宋体" w:cs="Times New Roman"/>
                <w:color w:val="auto"/>
                <w:kern w:val="0"/>
                <w:sz w:val="24"/>
                <w:szCs w:val="24"/>
                <w:u w:val="single" w:color="auto"/>
                <w:lang w:val="en-US" w:eastAsia="zh-CN"/>
              </w:rPr>
              <w:t>（2）监测结果与评价</w:t>
            </w:r>
          </w:p>
          <w:p>
            <w:pPr>
              <w:pStyle w:val="93"/>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bCs w:val="0"/>
                <w:color w:val="auto"/>
                <w:sz w:val="24"/>
                <w:szCs w:val="24"/>
                <w:u w:val="single" w:color="auto"/>
                <w:lang w:val="en-US" w:eastAsia="zh-CN"/>
              </w:rPr>
            </w:pPr>
            <w:r>
              <w:rPr>
                <w:rFonts w:hint="default" w:ascii="Times New Roman" w:hAnsi="Times New Roman" w:eastAsia="宋体" w:cs="Times New Roman"/>
                <w:b/>
                <w:bCs w:val="0"/>
                <w:color w:val="auto"/>
                <w:sz w:val="24"/>
                <w:szCs w:val="24"/>
                <w:u w:val="single" w:color="auto"/>
                <w:lang w:val="en-US" w:eastAsia="zh-CN"/>
              </w:rPr>
              <w:t>表</w:t>
            </w:r>
            <w:r>
              <w:rPr>
                <w:rFonts w:hint="eastAsia" w:ascii="Times New Roman" w:hAnsi="Times New Roman" w:eastAsia="宋体" w:cs="Times New Roman"/>
                <w:b/>
                <w:bCs w:val="0"/>
                <w:color w:val="auto"/>
                <w:sz w:val="24"/>
                <w:szCs w:val="24"/>
                <w:u w:val="single" w:color="auto"/>
                <w:lang w:val="en-US" w:eastAsia="zh-CN"/>
              </w:rPr>
              <w:t>3.2-3地表水检测结果统计单位：mg/L（pH除外）</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162"/>
              <w:gridCol w:w="910"/>
              <w:gridCol w:w="910"/>
              <w:gridCol w:w="910"/>
              <w:gridCol w:w="783"/>
              <w:gridCol w:w="956"/>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restar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监测</w:t>
                  </w:r>
                </w:p>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断面</w:t>
                  </w:r>
                </w:p>
              </w:tc>
              <w:tc>
                <w:tcPr>
                  <w:tcW w:w="730" w:type="pct"/>
                  <w:vMerge w:val="restar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监测因子</w:t>
                  </w:r>
                </w:p>
              </w:tc>
              <w:tc>
                <w:tcPr>
                  <w:tcW w:w="1716" w:type="pct"/>
                  <w:gridSpan w:val="3"/>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采样日期及检测结果</w:t>
                  </w:r>
                </w:p>
              </w:tc>
              <w:tc>
                <w:tcPr>
                  <w:tcW w:w="492" w:type="pct"/>
                  <w:vMerge w:val="restar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Ⅲ类</w:t>
                  </w:r>
                </w:p>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标准</w:t>
                  </w:r>
                </w:p>
              </w:tc>
              <w:tc>
                <w:tcPr>
                  <w:tcW w:w="601" w:type="pct"/>
                  <w:vMerge w:val="restar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超标率</w:t>
                  </w:r>
                </w:p>
              </w:tc>
              <w:tc>
                <w:tcPr>
                  <w:tcW w:w="983" w:type="pct"/>
                  <w:vMerge w:val="restar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572" w:type="pc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10.24</w:t>
                  </w:r>
                </w:p>
              </w:tc>
              <w:tc>
                <w:tcPr>
                  <w:tcW w:w="572" w:type="pc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10.25</w:t>
                  </w:r>
                </w:p>
              </w:tc>
              <w:tc>
                <w:tcPr>
                  <w:tcW w:w="572" w:type="pct"/>
                  <w:noWrap w:val="0"/>
                  <w:vAlign w:val="center"/>
                </w:tcPr>
                <w:p>
                  <w:pPr>
                    <w:bidi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10.26</w:t>
                  </w:r>
                </w:p>
              </w:tc>
              <w:tc>
                <w:tcPr>
                  <w:tcW w:w="492"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601"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983"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restar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W1</w:t>
                  </w: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pH值</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7.54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7.82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7.66</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6-9</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SS</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COD</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BOD</w:t>
                  </w:r>
                  <w:r>
                    <w:rPr>
                      <w:rFonts w:hint="default" w:ascii="Times New Roman" w:hAnsi="Times New Roman" w:eastAsia="宋体" w:cs="Times New Roman"/>
                      <w:color w:val="auto"/>
                      <w:sz w:val="21"/>
                      <w:szCs w:val="21"/>
                      <w:u w:val="single" w:color="auto"/>
                      <w:vertAlign w:val="subscript"/>
                      <w:lang w:val="en-US" w:eastAsia="zh-CN"/>
                    </w:rPr>
                    <w:t>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2.8</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氨氮</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0.067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0.073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0.076</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总磷</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0.04</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石油类</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0.05</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氟化物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0.237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0.216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氯化物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硫酸盐</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29.4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29.2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28.8</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474" w:type="pct"/>
                  <w:vMerge w:val="restar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W2</w:t>
                  </w: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pH值</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7.16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7.79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7.91</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6-9</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SS</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13</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COD</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BOD</w:t>
                  </w:r>
                  <w:r>
                    <w:rPr>
                      <w:rFonts w:hint="default" w:ascii="Times New Roman" w:hAnsi="Times New Roman" w:eastAsia="宋体" w:cs="Times New Roman"/>
                      <w:color w:val="auto"/>
                      <w:sz w:val="21"/>
                      <w:szCs w:val="21"/>
                      <w:u w:val="single" w:color="auto"/>
                      <w:vertAlign w:val="subscript"/>
                      <w:lang w:val="en-US" w:eastAsia="zh-CN"/>
                    </w:rPr>
                    <w:t>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氨氮</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0.093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0.096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0.105</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总磷</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0.03</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石油类</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0.05</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氟化物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0.468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0.363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0.274</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氯化物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20.5</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硫酸盐</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13.0</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12.9</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restar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W3</w:t>
                  </w: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pH值</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7.51</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7.44</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6-9</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SS</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COD</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9</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BOD</w:t>
                  </w:r>
                  <w:r>
                    <w:rPr>
                      <w:rFonts w:hint="default" w:ascii="Times New Roman" w:hAnsi="Times New Roman" w:eastAsia="宋体" w:cs="Times New Roman"/>
                      <w:color w:val="auto"/>
                      <w:sz w:val="21"/>
                      <w:szCs w:val="21"/>
                      <w:u w:val="single" w:color="auto"/>
                      <w:vertAlign w:val="subscript"/>
                      <w:lang w:val="en-US" w:eastAsia="zh-CN"/>
                    </w:rPr>
                    <w:t>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氨氮</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0.105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0.114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总磷</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石油类</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0.05</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氟化物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0.478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0.359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0.314</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氯化物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21.0</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20.6</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硫酸盐</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12.6</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12.3</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restar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W4</w:t>
                  </w: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pH值</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7.29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7.38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7.45</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6-9</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SS</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COD</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BOD</w:t>
                  </w:r>
                  <w:r>
                    <w:rPr>
                      <w:rFonts w:hint="default" w:ascii="Times New Roman" w:hAnsi="Times New Roman" w:eastAsia="宋体" w:cs="Times New Roman"/>
                      <w:color w:val="auto"/>
                      <w:sz w:val="21"/>
                      <w:szCs w:val="21"/>
                      <w:u w:val="single" w:color="auto"/>
                      <w:vertAlign w:val="subscript"/>
                      <w:lang w:val="en-US" w:eastAsia="zh-CN"/>
                    </w:rPr>
                    <w:t>5</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2.1</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1.9</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2.6</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氨氮</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0.070</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0.073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0.076</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总磷</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石油类</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0.05</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氟化物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0.183</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0.174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0.164</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0.01L</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0.2</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氯化物</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21.2</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20.7</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20.9</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474" w:type="pct"/>
                  <w:vMerge w:val="continue"/>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p>
              </w:tc>
              <w:tc>
                <w:tcPr>
                  <w:tcW w:w="730"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硫酸盐</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12.8</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12.4</w:t>
                  </w:r>
                </w:p>
              </w:tc>
              <w:tc>
                <w:tcPr>
                  <w:tcW w:w="57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12.5</w:t>
                  </w:r>
                </w:p>
              </w:tc>
              <w:tc>
                <w:tcPr>
                  <w:tcW w:w="492"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250</w:t>
                  </w:r>
                </w:p>
              </w:tc>
              <w:tc>
                <w:tcPr>
                  <w:tcW w:w="601"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983" w:type="pct"/>
                  <w:noWrap w:val="0"/>
                  <w:vAlign w:val="center"/>
                </w:tcPr>
                <w:p>
                  <w:pPr>
                    <w:bidi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5000" w:type="pct"/>
                  <w:gridSpan w:val="8"/>
                  <w:noWrap w:val="0"/>
                  <w:vAlign w:val="center"/>
                </w:tcPr>
                <w:p>
                  <w:pPr>
                    <w:bidi w:val="0"/>
                    <w:jc w:val="both"/>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备注：1、“检出限+L”表示检测结果低于本方法检出限，未检出</w:t>
                  </w:r>
                  <w:r>
                    <w:rPr>
                      <w:rFonts w:hint="eastAsia" w:ascii="Times New Roman" w:hAnsi="Times New Roman" w:eastAsia="宋体" w:cs="Times New Roman"/>
                      <w:color w:val="auto"/>
                      <w:sz w:val="21"/>
                      <w:szCs w:val="21"/>
                      <w:u w:val="single" w:color="auto"/>
                      <w:lang w:val="en-US" w:eastAsia="zh-CN"/>
                    </w:rPr>
                    <w:t>。</w:t>
                  </w:r>
                </w:p>
              </w:tc>
            </w:tr>
          </w:tbl>
          <w:p>
            <w:pPr>
              <w:pStyle w:val="62"/>
              <w:bidi w:val="0"/>
              <w:rPr>
                <w:rFonts w:hint="eastAsia" w:ascii="Times New Roman" w:hAnsi="Times New Roman" w:eastAsia="宋体" w:cs="Times New Roman"/>
                <w:color w:val="auto"/>
                <w:kern w:val="0"/>
                <w:sz w:val="32"/>
                <w:szCs w:val="32"/>
                <w:u w:val="none"/>
                <w:lang w:val="en-US" w:eastAsia="zh-CN"/>
              </w:rPr>
            </w:pPr>
            <w:r>
              <w:rPr>
                <w:rFonts w:hint="default" w:ascii="Times New Roman" w:hAnsi="Times New Roman" w:eastAsia="宋体" w:cs="Times New Roman"/>
                <w:color w:val="auto"/>
                <w:kern w:val="0"/>
                <w:sz w:val="24"/>
                <w:szCs w:val="24"/>
                <w:u w:val="single" w:color="auto"/>
                <w:lang w:val="en-US" w:eastAsia="zh-CN"/>
              </w:rPr>
              <w:t>由上表可知，湘江及洋沙湖各监测断面中各因子均达到《地表水环境质量标准》（GB3838-2002）中的Ⅲ类标准。</w:t>
            </w:r>
          </w:p>
          <w:p>
            <w:pPr>
              <w:pStyle w:val="56"/>
              <w:bidi w:val="0"/>
              <w:rPr>
                <w:rFonts w:hint="default"/>
                <w:color w:val="auto"/>
                <w:sz w:val="24"/>
                <w:szCs w:val="24"/>
                <w:highlight w:val="none"/>
                <w:u w:val="none"/>
              </w:rPr>
            </w:pPr>
            <w:r>
              <w:rPr>
                <w:rFonts w:hint="default"/>
                <w:color w:val="auto"/>
                <w:sz w:val="24"/>
                <w:szCs w:val="24"/>
                <w:highlight w:val="none"/>
                <w:u w:val="none"/>
              </w:rPr>
              <w:t>3.3声环境质量</w:t>
            </w:r>
          </w:p>
          <w:p>
            <w:pPr>
              <w:pStyle w:val="62"/>
              <w:bidi w:val="0"/>
              <w:rPr>
                <w:rFonts w:hint="default"/>
                <w:color w:val="auto"/>
                <w:sz w:val="24"/>
                <w:szCs w:val="24"/>
                <w:highlight w:val="none"/>
                <w:u w:val="none"/>
              </w:rPr>
            </w:pPr>
            <w:r>
              <w:rPr>
                <w:rFonts w:hint="default"/>
                <w:color w:val="auto"/>
                <w:sz w:val="24"/>
                <w:szCs w:val="24"/>
                <w:highlight w:val="none"/>
                <w:u w:val="none"/>
              </w:rPr>
              <w:t>根据生态环境部办公厅2020年12月24日印发的《建设项目环境影响报告表编制技术指南（污染影响类）（试行）》中具体编制要求“声环境、厂界外周边50米范围内存在声环境保护目标的建设项目，应监测保护目标声环境质量现状并评价达标情况。各点位应监测昼夜间噪声，监测时间不少于1天，项目夜间不生产则仅监测昼间噪声。”</w:t>
            </w:r>
          </w:p>
          <w:p>
            <w:pPr>
              <w:spacing w:line="360" w:lineRule="auto"/>
              <w:ind w:firstLine="480" w:firstLineChars="200"/>
              <w:rPr>
                <w:rFonts w:hint="eastAsia"/>
                <w:color w:val="auto"/>
                <w:sz w:val="24"/>
                <w:szCs w:val="24"/>
                <w:highlight w:val="none"/>
                <w:u w:val="none"/>
              </w:rPr>
            </w:pPr>
            <w:r>
              <w:rPr>
                <w:rFonts w:hint="eastAsia" w:ascii="Times New Roman" w:hAnsi="Times New Roman" w:eastAsia="宋体" w:cs="Times New Roman"/>
                <w:color w:val="auto"/>
                <w:sz w:val="24"/>
                <w:szCs w:val="24"/>
                <w:highlight w:val="none"/>
                <w:u w:val="none"/>
              </w:rPr>
              <w:t>结合现场调查，项目</w:t>
            </w:r>
            <w:r>
              <w:rPr>
                <w:rFonts w:hint="eastAsia" w:ascii="Times New Roman" w:hAnsi="Times New Roman" w:eastAsia="宋体" w:cs="Times New Roman"/>
                <w:color w:val="auto"/>
                <w:sz w:val="24"/>
                <w:szCs w:val="24"/>
                <w:highlight w:val="none"/>
                <w:u w:val="none"/>
                <w:lang w:val="en-US" w:eastAsia="zh-CN" w:bidi="en-US"/>
              </w:rPr>
              <w:t>东南</w:t>
            </w:r>
            <w:r>
              <w:rPr>
                <w:rFonts w:hint="eastAsia" w:ascii="Times New Roman" w:hAnsi="Times New Roman" w:eastAsia="宋体" w:cs="Times New Roman"/>
                <w:color w:val="auto"/>
                <w:sz w:val="24"/>
                <w:szCs w:val="24"/>
                <w:highlight w:val="none"/>
                <w:u w:val="none"/>
                <w:lang w:val="en-US" w:eastAsia="zh-CN"/>
              </w:rPr>
              <w:t>侧40m处为在建创新创业服务中心</w:t>
            </w:r>
            <w:r>
              <w:rPr>
                <w:rFonts w:hint="eastAsia" w:ascii="Times New Roman" w:hAnsi="Times New Roman" w:eastAsia="宋体" w:cs="Times New Roman"/>
                <w:color w:val="auto"/>
                <w:sz w:val="24"/>
                <w:szCs w:val="24"/>
                <w:highlight w:val="none"/>
                <w:u w:val="none"/>
                <w:lang w:eastAsia="zh-CN"/>
              </w:rPr>
              <w:t>，</w:t>
            </w:r>
            <w:r>
              <w:rPr>
                <w:color w:val="auto"/>
                <w:sz w:val="24"/>
                <w:szCs w:val="24"/>
                <w:highlight w:val="none"/>
                <w:u w:val="none"/>
              </w:rPr>
              <w:t>本项目委托</w:t>
            </w:r>
            <w:r>
              <w:rPr>
                <w:rFonts w:hint="eastAsia"/>
                <w:color w:val="auto"/>
                <w:sz w:val="24"/>
                <w:szCs w:val="24"/>
                <w:highlight w:val="none"/>
                <w:u w:val="none"/>
                <w:lang w:val="en-US" w:eastAsia="zh-CN"/>
              </w:rPr>
              <w:t>湖南中额环保科技有限公司</w:t>
            </w:r>
            <w:r>
              <w:rPr>
                <w:color w:val="auto"/>
                <w:sz w:val="24"/>
                <w:szCs w:val="24"/>
                <w:highlight w:val="none"/>
                <w:u w:val="none"/>
              </w:rPr>
              <w:t>对</w:t>
            </w:r>
            <w:r>
              <w:rPr>
                <w:rFonts w:hint="eastAsia"/>
                <w:color w:val="auto"/>
                <w:sz w:val="24"/>
                <w:szCs w:val="24"/>
                <w:highlight w:val="none"/>
                <w:u w:val="none"/>
                <w:lang w:eastAsia="zh-CN"/>
              </w:rPr>
              <w:t>敏感点</w:t>
            </w:r>
            <w:r>
              <w:rPr>
                <w:color w:val="auto"/>
                <w:sz w:val="24"/>
                <w:szCs w:val="24"/>
                <w:highlight w:val="none"/>
                <w:u w:val="none"/>
              </w:rPr>
              <w:t>进行</w:t>
            </w:r>
            <w:r>
              <w:rPr>
                <w:rFonts w:hint="eastAsia"/>
                <w:color w:val="auto"/>
                <w:sz w:val="24"/>
                <w:szCs w:val="24"/>
                <w:highlight w:val="none"/>
                <w:u w:val="none"/>
                <w:lang w:eastAsia="zh-CN"/>
              </w:rPr>
              <w:t>声</w:t>
            </w:r>
            <w:r>
              <w:rPr>
                <w:rFonts w:hint="eastAsia"/>
                <w:color w:val="auto"/>
                <w:sz w:val="24"/>
                <w:szCs w:val="24"/>
                <w:highlight w:val="none"/>
                <w:u w:val="none"/>
              </w:rPr>
              <w:t>环境</w:t>
            </w:r>
            <w:r>
              <w:rPr>
                <w:color w:val="auto"/>
                <w:sz w:val="24"/>
                <w:szCs w:val="24"/>
                <w:highlight w:val="none"/>
                <w:u w:val="none"/>
              </w:rPr>
              <w:t>现状监测</w:t>
            </w:r>
            <w:r>
              <w:rPr>
                <w:rFonts w:hint="eastAsia"/>
                <w:color w:val="auto"/>
                <w:sz w:val="24"/>
                <w:szCs w:val="24"/>
                <w:highlight w:val="none"/>
                <w:u w:val="none"/>
              </w:rPr>
              <w:t>，</w:t>
            </w:r>
            <w:r>
              <w:rPr>
                <w:rFonts w:hint="eastAsia"/>
                <w:color w:val="auto"/>
                <w:sz w:val="24"/>
                <w:szCs w:val="24"/>
                <w:highlight w:val="none"/>
                <w:u w:val="none"/>
                <w:lang w:eastAsia="zh-CN"/>
              </w:rPr>
              <w:t>监测时间为</w:t>
            </w:r>
            <w:r>
              <w:rPr>
                <w:rFonts w:hint="eastAsia"/>
                <w:color w:val="auto"/>
                <w:sz w:val="24"/>
                <w:szCs w:val="24"/>
                <w:highlight w:val="none"/>
                <w:u w:val="none"/>
                <w:lang w:val="en-US" w:eastAsia="zh-CN"/>
              </w:rPr>
              <w:t>2024年6月6日，</w:t>
            </w:r>
            <w:r>
              <w:rPr>
                <w:rFonts w:hint="eastAsia"/>
                <w:color w:val="auto"/>
                <w:sz w:val="24"/>
                <w:szCs w:val="24"/>
                <w:highlight w:val="none"/>
                <w:u w:val="none"/>
              </w:rPr>
              <w:t>监测方法：按照《声环境质量标准》（GB3096-2008）和《环境监测分析方法》规定和要求进行。监测结果见表3</w:t>
            </w:r>
            <w:r>
              <w:rPr>
                <w:rFonts w:hint="eastAsia"/>
                <w:color w:val="auto"/>
                <w:sz w:val="24"/>
                <w:szCs w:val="24"/>
                <w:highlight w:val="none"/>
                <w:u w:val="none"/>
                <w:lang w:val="en-US" w:eastAsia="zh-CN"/>
              </w:rPr>
              <w:t>.3</w:t>
            </w:r>
            <w:r>
              <w:rPr>
                <w:rFonts w:hint="eastAsia"/>
                <w:color w:val="auto"/>
                <w:sz w:val="24"/>
                <w:szCs w:val="24"/>
                <w:highlight w:val="none"/>
                <w:u w:val="none"/>
              </w:rPr>
              <w:t>-</w:t>
            </w:r>
            <w:r>
              <w:rPr>
                <w:rFonts w:hint="eastAsia"/>
                <w:color w:val="auto"/>
                <w:sz w:val="24"/>
                <w:szCs w:val="24"/>
                <w:highlight w:val="none"/>
                <w:u w:val="none"/>
                <w:lang w:val="en-US" w:eastAsia="zh-CN"/>
              </w:rPr>
              <w:t>1</w:t>
            </w:r>
            <w:r>
              <w:rPr>
                <w:rFonts w:hint="eastAsia"/>
                <w:color w:val="auto"/>
                <w:sz w:val="24"/>
                <w:szCs w:val="24"/>
                <w:highlight w:val="none"/>
                <w:u w:val="none"/>
              </w:rPr>
              <w:t>。</w:t>
            </w:r>
          </w:p>
          <w:p>
            <w:pPr>
              <w:spacing w:line="240" w:lineRule="auto"/>
              <w:jc w:val="center"/>
              <w:rPr>
                <w:rFonts w:hint="eastAsia" w:ascii="Times New Roman" w:hAnsi="Times New Roman" w:eastAsia="宋体" w:cs="Times New Roman"/>
                <w:color w:val="auto"/>
                <w:sz w:val="21"/>
                <w:szCs w:val="21"/>
                <w:highlight w:val="none"/>
                <w:u w:val="none"/>
              </w:rPr>
            </w:pPr>
            <w:r>
              <w:rPr>
                <w:rFonts w:hint="eastAsia" w:hAnsi="宋体"/>
                <w:b/>
                <w:color w:val="auto"/>
                <w:position w:val="3"/>
                <w:sz w:val="24"/>
                <w:szCs w:val="24"/>
                <w:highlight w:val="none"/>
                <w:u w:val="none"/>
              </w:rPr>
              <w:t>表3</w:t>
            </w:r>
            <w:r>
              <w:rPr>
                <w:rFonts w:hint="eastAsia" w:hAnsi="宋体"/>
                <w:b/>
                <w:color w:val="auto"/>
                <w:position w:val="3"/>
                <w:sz w:val="24"/>
                <w:szCs w:val="24"/>
                <w:highlight w:val="none"/>
                <w:u w:val="none"/>
                <w:lang w:val="en-US" w:eastAsia="zh-CN"/>
              </w:rPr>
              <w:t>.3</w:t>
            </w:r>
            <w:r>
              <w:rPr>
                <w:rFonts w:hint="eastAsia" w:hAnsi="宋体"/>
                <w:b/>
                <w:color w:val="auto"/>
                <w:position w:val="3"/>
                <w:sz w:val="24"/>
                <w:szCs w:val="24"/>
                <w:highlight w:val="none"/>
                <w:u w:val="none"/>
              </w:rPr>
              <w:t>-</w:t>
            </w:r>
            <w:r>
              <w:rPr>
                <w:rFonts w:hint="eastAsia" w:hAnsi="宋体"/>
                <w:b/>
                <w:color w:val="auto"/>
                <w:position w:val="3"/>
                <w:sz w:val="24"/>
                <w:szCs w:val="24"/>
                <w:highlight w:val="none"/>
                <w:u w:val="none"/>
                <w:lang w:val="en-US" w:eastAsia="zh-CN"/>
              </w:rPr>
              <w:t>1环境</w:t>
            </w:r>
            <w:r>
              <w:rPr>
                <w:rFonts w:hint="eastAsia" w:hAnsi="宋体"/>
                <w:b/>
                <w:color w:val="auto"/>
                <w:position w:val="3"/>
                <w:sz w:val="24"/>
                <w:szCs w:val="24"/>
                <w:highlight w:val="none"/>
                <w:u w:val="none"/>
              </w:rPr>
              <w:t>噪声监测结果</w:t>
            </w:r>
          </w:p>
          <w:tbl>
            <w:tblPr>
              <w:tblStyle w:val="29"/>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702"/>
              <w:gridCol w:w="1035"/>
              <w:gridCol w:w="1650"/>
              <w:gridCol w:w="1484"/>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702" w:type="dxa"/>
                  <w:vMerge w:val="restart"/>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lang w:val="zh-TW" w:eastAsia="zh-TW" w:bidi="zh-TW"/>
                    </w:rPr>
                  </w:pPr>
                  <w:r>
                    <w:rPr>
                      <w:rFonts w:hint="default" w:ascii="Times New Roman" w:hAnsi="Times New Roman" w:cs="Times New Roman"/>
                      <w:b/>
                      <w:bCs/>
                      <w:color w:val="auto"/>
                      <w:sz w:val="21"/>
                      <w:szCs w:val="21"/>
                      <w:highlight w:val="none"/>
                      <w:u w:val="none"/>
                      <w:lang w:val="zh-TW" w:eastAsia="zh-TW" w:bidi="zh-TW"/>
                    </w:rPr>
                    <w:t>点位名称</w:t>
                  </w:r>
                </w:p>
              </w:tc>
              <w:tc>
                <w:tcPr>
                  <w:tcW w:w="1035" w:type="dxa"/>
                  <w:vMerge w:val="restart"/>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lang w:val="zh-TW" w:eastAsia="zh-TW" w:bidi="zh-TW"/>
                    </w:rPr>
                  </w:pPr>
                  <w:r>
                    <w:rPr>
                      <w:rFonts w:hint="default" w:ascii="Times New Roman" w:hAnsi="Times New Roman" w:cs="Times New Roman"/>
                      <w:b/>
                      <w:bCs/>
                      <w:color w:val="auto"/>
                      <w:sz w:val="21"/>
                      <w:szCs w:val="21"/>
                      <w:highlight w:val="none"/>
                      <w:u w:val="none"/>
                      <w:lang w:val="zh-TW" w:eastAsia="zh-TW" w:bidi="zh-TW"/>
                    </w:rPr>
                    <w:t>检测项目</w:t>
                  </w:r>
                </w:p>
              </w:tc>
              <w:tc>
                <w:tcPr>
                  <w:tcW w:w="3134" w:type="dxa"/>
                  <w:gridSpan w:val="2"/>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lang w:val="zh-TW" w:eastAsia="zh-TW" w:bidi="zh-TW"/>
                    </w:rPr>
                  </w:pPr>
                  <w:r>
                    <w:rPr>
                      <w:rFonts w:hint="default" w:ascii="Times New Roman" w:hAnsi="Times New Roman" w:cs="Times New Roman"/>
                      <w:b/>
                      <w:bCs/>
                      <w:color w:val="auto"/>
                      <w:sz w:val="21"/>
                      <w:szCs w:val="21"/>
                      <w:highlight w:val="none"/>
                      <w:u w:val="none"/>
                      <w:lang w:val="zh-TW" w:eastAsia="zh-TW" w:bidi="zh-TW"/>
                    </w:rPr>
                    <w:t>检测结果</w:t>
                  </w:r>
                </w:p>
              </w:tc>
              <w:tc>
                <w:tcPr>
                  <w:tcW w:w="1193" w:type="dxa"/>
                  <w:vMerge w:val="restart"/>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u w:val="none"/>
                      <w:lang w:val="zh-TW" w:eastAsia="zh-TW" w:bidi="zh-TW"/>
                    </w:rPr>
                  </w:pPr>
                  <w:r>
                    <w:rPr>
                      <w:rFonts w:hint="default" w:ascii="Times New Roman" w:hAnsi="Times New Roman" w:cs="Times New Roman"/>
                      <w:b/>
                      <w:bCs/>
                      <w:color w:val="auto"/>
                      <w:sz w:val="21"/>
                      <w:szCs w:val="21"/>
                      <w:highlight w:val="none"/>
                      <w:u w:val="none"/>
                      <w:lang w:val="zh-TW" w:eastAsia="zh-TW" w:bidi="zh-TW"/>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702" w:type="dxa"/>
                  <w:vMerge w:val="continue"/>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rPr>
                  </w:pPr>
                </w:p>
              </w:tc>
              <w:tc>
                <w:tcPr>
                  <w:tcW w:w="1035" w:type="dxa"/>
                  <w:vMerge w:val="continue"/>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rPr>
                  </w:pPr>
                </w:p>
              </w:tc>
              <w:tc>
                <w:tcPr>
                  <w:tcW w:w="3134" w:type="dxa"/>
                  <w:gridSpan w:val="2"/>
                  <w:noWrap w:val="0"/>
                  <w:vAlign w:val="center"/>
                </w:tcPr>
                <w:p>
                  <w:pPr>
                    <w:pStyle w:val="36"/>
                    <w:keepNext w:val="0"/>
                    <w:keepLines w:val="0"/>
                    <w:pageBreakBefore w:val="0"/>
                    <w:kinsoku/>
                    <w:wordWrap/>
                    <w:overflowPunct/>
                    <w:topLinePunct w:val="0"/>
                    <w:autoSpaceDE/>
                    <w:autoSpaceDN/>
                    <w:bidi w:val="0"/>
                    <w:adjustRightInd/>
                    <w:spacing w:before="0" w:after="0" w:line="240" w:lineRule="auto"/>
                    <w:textAlignment w:val="auto"/>
                    <w:rPr>
                      <w:rFonts w:hint="default" w:ascii="Times New Roman" w:hAnsi="Times New Roman" w:eastAsia="宋体" w:cs="Times New Roman"/>
                      <w:b/>
                      <w:bCs/>
                      <w:color w:val="auto"/>
                      <w:sz w:val="21"/>
                      <w:szCs w:val="21"/>
                      <w:highlight w:val="none"/>
                      <w:u w:val="none"/>
                      <w:lang w:val="en-US" w:eastAsia="zh-CN" w:bidi="zh-TW"/>
                    </w:rPr>
                  </w:pPr>
                  <w:r>
                    <w:rPr>
                      <w:rFonts w:hint="eastAsia" w:ascii="Times New Roman" w:hAnsi="Times New Roman" w:cs="Times New Roman"/>
                      <w:b/>
                      <w:bCs/>
                      <w:color w:val="auto"/>
                      <w:kern w:val="2"/>
                      <w:sz w:val="21"/>
                      <w:szCs w:val="21"/>
                      <w:highlight w:val="none"/>
                      <w:u w:val="none"/>
                      <w:lang w:val="en-US" w:eastAsia="zh-CN"/>
                    </w:rPr>
                    <w:t>202</w:t>
                  </w:r>
                  <w:r>
                    <w:rPr>
                      <w:rFonts w:hint="eastAsia" w:cs="Times New Roman"/>
                      <w:b/>
                      <w:bCs/>
                      <w:color w:val="auto"/>
                      <w:kern w:val="2"/>
                      <w:sz w:val="21"/>
                      <w:szCs w:val="21"/>
                      <w:highlight w:val="none"/>
                      <w:u w:val="none"/>
                      <w:lang w:val="en-US" w:eastAsia="zh-CN"/>
                    </w:rPr>
                    <w:t>4</w:t>
                  </w:r>
                  <w:r>
                    <w:rPr>
                      <w:rFonts w:hint="eastAsia" w:ascii="Times New Roman" w:hAnsi="Times New Roman" w:cs="Times New Roman"/>
                      <w:b/>
                      <w:bCs/>
                      <w:color w:val="auto"/>
                      <w:kern w:val="2"/>
                      <w:sz w:val="21"/>
                      <w:szCs w:val="21"/>
                      <w:highlight w:val="none"/>
                      <w:u w:val="none"/>
                      <w:lang w:val="en-US" w:eastAsia="zh-CN"/>
                    </w:rPr>
                    <w:t>年6月6日</w:t>
                  </w:r>
                </w:p>
              </w:tc>
              <w:tc>
                <w:tcPr>
                  <w:tcW w:w="1193" w:type="dxa"/>
                  <w:vMerge w:val="continue"/>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702" w:type="dxa"/>
                  <w:vMerge w:val="continue"/>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rPr>
                  </w:pPr>
                </w:p>
              </w:tc>
              <w:tc>
                <w:tcPr>
                  <w:tcW w:w="1035" w:type="dxa"/>
                  <w:vMerge w:val="continue"/>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rPr>
                  </w:pPr>
                </w:p>
              </w:tc>
              <w:tc>
                <w:tcPr>
                  <w:tcW w:w="1650"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lang w:val="zh-TW" w:eastAsia="zh-TW" w:bidi="zh-TW"/>
                    </w:rPr>
                  </w:pPr>
                  <w:r>
                    <w:rPr>
                      <w:rFonts w:hint="default" w:ascii="Times New Roman" w:hAnsi="Times New Roman" w:cs="Times New Roman"/>
                      <w:b/>
                      <w:bCs/>
                      <w:color w:val="auto"/>
                      <w:sz w:val="21"/>
                      <w:szCs w:val="21"/>
                      <w:highlight w:val="none"/>
                      <w:u w:val="none"/>
                      <w:lang w:val="zh-TW" w:eastAsia="zh-TW" w:bidi="zh-TW"/>
                    </w:rPr>
                    <w:t>昼间</w:t>
                  </w:r>
                </w:p>
              </w:tc>
              <w:tc>
                <w:tcPr>
                  <w:tcW w:w="1484"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auto"/>
                      <w:sz w:val="21"/>
                      <w:szCs w:val="21"/>
                      <w:highlight w:val="none"/>
                      <w:u w:val="none"/>
                      <w:lang w:val="zh-TW" w:eastAsia="zh-TW" w:bidi="zh-TW"/>
                    </w:rPr>
                  </w:pPr>
                  <w:r>
                    <w:rPr>
                      <w:rFonts w:hint="default" w:ascii="Times New Roman" w:hAnsi="Times New Roman" w:cs="Times New Roman"/>
                      <w:b/>
                      <w:bCs/>
                      <w:color w:val="auto"/>
                      <w:sz w:val="21"/>
                      <w:szCs w:val="21"/>
                      <w:highlight w:val="none"/>
                      <w:u w:val="none"/>
                      <w:lang w:val="zh-TW" w:eastAsia="zh-TW" w:bidi="zh-TW"/>
                    </w:rPr>
                    <w:t>夜间</w:t>
                  </w:r>
                </w:p>
              </w:tc>
              <w:tc>
                <w:tcPr>
                  <w:tcW w:w="1193" w:type="dxa"/>
                  <w:vMerge w:val="continue"/>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2702"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bidi="en-US"/>
                    </w:rPr>
                  </w:pPr>
                  <w:r>
                    <w:rPr>
                      <w:rFonts w:hint="default" w:ascii="Times New Roman" w:hAnsi="Times New Roman" w:eastAsia="宋体" w:cs="Times New Roman"/>
                      <w:color w:val="auto"/>
                      <w:sz w:val="21"/>
                      <w:szCs w:val="21"/>
                      <w:highlight w:val="none"/>
                      <w:u w:val="none"/>
                      <w:lang w:val="en-US" w:eastAsia="zh-CN" w:bidi="en-US"/>
                    </w:rPr>
                    <w:t>N</w:t>
                  </w:r>
                  <w:r>
                    <w:rPr>
                      <w:rFonts w:hint="eastAsia" w:ascii="Times New Roman" w:hAnsi="Times New Roman" w:eastAsia="宋体" w:cs="Times New Roman"/>
                      <w:color w:val="auto"/>
                      <w:sz w:val="21"/>
                      <w:szCs w:val="21"/>
                      <w:highlight w:val="none"/>
                      <w:u w:val="none"/>
                      <w:lang w:val="en-US" w:eastAsia="zh-CN" w:bidi="en-US"/>
                    </w:rPr>
                    <w:t>1创新创业服务中心（在建）</w:t>
                  </w:r>
                </w:p>
              </w:tc>
              <w:tc>
                <w:tcPr>
                  <w:tcW w:w="1035"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环境噪声</w:t>
                  </w:r>
                </w:p>
              </w:tc>
              <w:tc>
                <w:tcPr>
                  <w:tcW w:w="1650" w:type="dxa"/>
                  <w:noWrap w:val="0"/>
                  <w:vAlign w:val="center"/>
                </w:tcPr>
                <w:p>
                  <w:pPr>
                    <w:pStyle w:val="36"/>
                    <w:keepNext w:val="0"/>
                    <w:keepLines w:val="0"/>
                    <w:pageBreakBefore w:val="0"/>
                    <w:kinsoku/>
                    <w:wordWrap/>
                    <w:overflowPunct/>
                    <w:topLinePunct w:val="0"/>
                    <w:autoSpaceDE/>
                    <w:autoSpaceDN/>
                    <w:bidi w:val="0"/>
                    <w:adjustRightInd/>
                    <w:spacing w:before="0" w:after="0" w:line="240" w:lineRule="auto"/>
                    <w:textAlignment w:val="auto"/>
                    <w:rPr>
                      <w:rFonts w:hint="default" w:ascii="Times New Roman" w:hAnsi="Times New Roman" w:cs="Times New Roman"/>
                      <w:bCs/>
                      <w:color w:val="auto"/>
                      <w:kern w:val="2"/>
                      <w:sz w:val="21"/>
                      <w:szCs w:val="21"/>
                      <w:highlight w:val="none"/>
                      <w:u w:val="none"/>
                      <w:lang w:val="en-US" w:eastAsia="zh-CN"/>
                    </w:rPr>
                  </w:pPr>
                  <w:r>
                    <w:rPr>
                      <w:rFonts w:hint="eastAsia" w:cs="Times New Roman"/>
                      <w:bCs/>
                      <w:color w:val="auto"/>
                      <w:kern w:val="2"/>
                      <w:sz w:val="21"/>
                      <w:szCs w:val="21"/>
                      <w:highlight w:val="none"/>
                      <w:u w:val="none"/>
                      <w:lang w:val="en-US" w:eastAsia="zh-CN"/>
                    </w:rPr>
                    <w:t>53</w:t>
                  </w:r>
                </w:p>
              </w:tc>
              <w:tc>
                <w:tcPr>
                  <w:tcW w:w="1484" w:type="dxa"/>
                  <w:noWrap w:val="0"/>
                  <w:vAlign w:val="center"/>
                </w:tcPr>
                <w:p>
                  <w:pPr>
                    <w:pStyle w:val="36"/>
                    <w:keepNext w:val="0"/>
                    <w:keepLines w:val="0"/>
                    <w:pageBreakBefore w:val="0"/>
                    <w:kinsoku/>
                    <w:wordWrap/>
                    <w:overflowPunct/>
                    <w:topLinePunct w:val="0"/>
                    <w:autoSpaceDE/>
                    <w:autoSpaceDN/>
                    <w:bidi w:val="0"/>
                    <w:adjustRightInd/>
                    <w:spacing w:before="0" w:after="0" w:line="240" w:lineRule="auto"/>
                    <w:ind w:right="0" w:rightChars="0" w:firstLine="0" w:firstLineChars="0"/>
                    <w:textAlignment w:val="auto"/>
                    <w:rPr>
                      <w:rFonts w:hint="default" w:ascii="Times New Roman" w:hAnsi="Times New Roman" w:eastAsia="宋体" w:cs="Times New Roman"/>
                      <w:color w:val="auto"/>
                      <w:kern w:val="2"/>
                      <w:sz w:val="21"/>
                      <w:szCs w:val="21"/>
                      <w:highlight w:val="none"/>
                      <w:u w:val="none"/>
                      <w:lang w:val="en-US" w:eastAsia="zh-CN" w:bidi="ar"/>
                    </w:rPr>
                  </w:pPr>
                  <w:r>
                    <w:rPr>
                      <w:rFonts w:hint="eastAsia" w:cs="Times New Roman"/>
                      <w:color w:val="auto"/>
                      <w:kern w:val="2"/>
                      <w:sz w:val="21"/>
                      <w:szCs w:val="21"/>
                      <w:highlight w:val="none"/>
                      <w:u w:val="none"/>
                      <w:lang w:val="en-US" w:eastAsia="zh-CN" w:bidi="ar"/>
                    </w:rPr>
                    <w:t>44</w:t>
                  </w:r>
                </w:p>
              </w:tc>
              <w:tc>
                <w:tcPr>
                  <w:tcW w:w="1193"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Times New Roman" w:cs="Times New Roman"/>
                      <w:color w:val="auto"/>
                      <w:sz w:val="21"/>
                      <w:szCs w:val="21"/>
                      <w:highlight w:val="none"/>
                      <w:u w:val="none"/>
                      <w:lang w:bidi="en-US"/>
                    </w:rPr>
                  </w:pPr>
                  <w:r>
                    <w:rPr>
                      <w:rFonts w:hint="default" w:ascii="Times New Roman" w:hAnsi="Times New Roman" w:eastAsia="Times New Roman" w:cs="Times New Roman"/>
                      <w:color w:val="auto"/>
                      <w:sz w:val="21"/>
                      <w:szCs w:val="21"/>
                      <w:highlight w:val="none"/>
                      <w:u w:val="none"/>
                      <w:lang w:bidi="en-US"/>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737" w:type="dxa"/>
                  <w:gridSpan w:val="2"/>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标准值</w:t>
                  </w:r>
                </w:p>
              </w:tc>
              <w:tc>
                <w:tcPr>
                  <w:tcW w:w="1650"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bidi="zh-TW"/>
                    </w:rPr>
                  </w:pPr>
                  <w:r>
                    <w:rPr>
                      <w:rFonts w:hint="eastAsia" w:ascii="Times New Roman" w:hAnsi="Times New Roman" w:eastAsia="宋体" w:cs="Times New Roman"/>
                      <w:color w:val="auto"/>
                      <w:sz w:val="21"/>
                      <w:szCs w:val="21"/>
                      <w:highlight w:val="none"/>
                      <w:u w:val="none"/>
                      <w:lang w:val="en-US" w:eastAsia="zh-CN" w:bidi="zh-TW"/>
                    </w:rPr>
                    <w:t>60</w:t>
                  </w:r>
                </w:p>
              </w:tc>
              <w:tc>
                <w:tcPr>
                  <w:tcW w:w="1484"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u w:val="none"/>
                      <w:lang w:val="en-US" w:eastAsia="zh-CN" w:bidi="zh-TW"/>
                    </w:rPr>
                  </w:pPr>
                  <w:r>
                    <w:rPr>
                      <w:rFonts w:hint="eastAsia" w:ascii="Times New Roman" w:hAnsi="Times New Roman" w:eastAsia="宋体" w:cs="Times New Roman"/>
                      <w:color w:val="auto"/>
                      <w:sz w:val="21"/>
                      <w:szCs w:val="21"/>
                      <w:highlight w:val="none"/>
                      <w:u w:val="none"/>
                      <w:lang w:val="en-US" w:eastAsia="zh-CN" w:bidi="zh-TW"/>
                    </w:rPr>
                    <w:t>50</w:t>
                  </w:r>
                </w:p>
              </w:tc>
              <w:tc>
                <w:tcPr>
                  <w:tcW w:w="1193" w:type="dxa"/>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Times New Roman" w:cs="Times New Roman"/>
                      <w:color w:val="auto"/>
                      <w:sz w:val="21"/>
                      <w:szCs w:val="21"/>
                      <w:highlight w:val="none"/>
                      <w:u w:val="none"/>
                      <w:lang w:bidi="en-US"/>
                    </w:rPr>
                  </w:pPr>
                  <w:r>
                    <w:rPr>
                      <w:rFonts w:hint="default" w:ascii="Times New Roman" w:hAnsi="Times New Roman" w:eastAsia="Times New Roman" w:cs="Times New Roman"/>
                      <w:color w:val="auto"/>
                      <w:sz w:val="21"/>
                      <w:szCs w:val="21"/>
                      <w:highlight w:val="none"/>
                      <w:u w:val="none"/>
                      <w:lang w:bidi="en-US"/>
                    </w:rPr>
                    <w:t>dB(A)</w:t>
                  </w:r>
                </w:p>
              </w:tc>
            </w:tr>
          </w:tbl>
          <w:p>
            <w:pPr>
              <w:pStyle w:val="62"/>
              <w:bidi w:val="0"/>
              <w:rPr>
                <w:rFonts w:hint="default"/>
                <w:color w:val="auto"/>
                <w:sz w:val="24"/>
                <w:szCs w:val="24"/>
                <w:highlight w:val="none"/>
                <w:u w:val="none"/>
              </w:rPr>
            </w:pPr>
            <w:r>
              <w:rPr>
                <w:rFonts w:hint="eastAsia" w:ascii="Times New Roman" w:hAnsi="Times New Roman" w:eastAsia="宋体" w:cs="Times New Roman"/>
                <w:color w:val="auto"/>
                <w:sz w:val="24"/>
                <w:szCs w:val="24"/>
                <w:highlight w:val="none"/>
                <w:u w:val="none"/>
              </w:rPr>
              <w:t>由表3</w:t>
            </w:r>
            <w:r>
              <w:rPr>
                <w:rFonts w:hint="eastAsia" w:ascii="Times New Roman" w:hAnsi="Times New Roman" w:eastAsia="宋体" w:cs="Times New Roman"/>
                <w:color w:val="auto"/>
                <w:sz w:val="24"/>
                <w:szCs w:val="24"/>
                <w:highlight w:val="none"/>
                <w:u w:val="none"/>
                <w:lang w:val="en-US" w:eastAsia="zh-CN"/>
              </w:rPr>
              <w:t>.3</w:t>
            </w:r>
            <w:r>
              <w:rPr>
                <w:rFonts w:hint="eastAsia" w:ascii="Times New Roman" w:hAnsi="Times New Roman" w:eastAsia="宋体" w:cs="Times New Roman"/>
                <w:color w:val="auto"/>
                <w:sz w:val="24"/>
                <w:szCs w:val="24"/>
                <w:highlight w:val="none"/>
                <w:u w:val="none"/>
              </w:rPr>
              <w:t>-</w:t>
            </w:r>
            <w:r>
              <w:rPr>
                <w:rFonts w:hint="eastAsia"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rPr>
              <w:t>噪声监测结果可知，项目</w:t>
            </w:r>
            <w:r>
              <w:rPr>
                <w:rFonts w:hint="eastAsia" w:ascii="Times New Roman" w:hAnsi="Times New Roman" w:eastAsia="宋体" w:cs="Times New Roman"/>
                <w:color w:val="auto"/>
                <w:sz w:val="24"/>
                <w:szCs w:val="24"/>
                <w:highlight w:val="none"/>
                <w:u w:val="none"/>
                <w:lang w:eastAsia="zh-CN"/>
              </w:rPr>
              <w:t>敏感点昼夜间</w:t>
            </w:r>
            <w:r>
              <w:rPr>
                <w:rFonts w:hint="eastAsia" w:ascii="Times New Roman" w:hAnsi="Times New Roman" w:eastAsia="宋体" w:cs="Times New Roman"/>
                <w:color w:val="auto"/>
                <w:sz w:val="24"/>
                <w:szCs w:val="24"/>
                <w:highlight w:val="none"/>
                <w:u w:val="none"/>
              </w:rPr>
              <w:t>噪声值均达到《声环境质量标准》（GB3096-2008）</w:t>
            </w:r>
            <w:r>
              <w:rPr>
                <w:rFonts w:hint="eastAsia" w:ascii="Times New Roman" w:hAnsi="Times New Roman" w:eastAsia="宋体"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rPr>
              <w:t>类标准要求。</w:t>
            </w:r>
          </w:p>
          <w:p>
            <w:pPr>
              <w:pStyle w:val="56"/>
              <w:bidi w:val="0"/>
              <w:rPr>
                <w:rFonts w:hint="default"/>
                <w:color w:val="auto"/>
                <w:sz w:val="24"/>
                <w:szCs w:val="24"/>
                <w:highlight w:val="none"/>
                <w:u w:val="none"/>
              </w:rPr>
            </w:pPr>
            <w:r>
              <w:rPr>
                <w:rFonts w:hint="default"/>
                <w:color w:val="auto"/>
                <w:sz w:val="24"/>
                <w:szCs w:val="24"/>
                <w:highlight w:val="none"/>
                <w:u w:val="none"/>
              </w:rPr>
              <w:t>3.4生态环境现状</w:t>
            </w:r>
          </w:p>
          <w:p>
            <w:pPr>
              <w:pStyle w:val="62"/>
              <w:bidi w:val="0"/>
              <w:rPr>
                <w:rFonts w:hint="default" w:eastAsia="宋体"/>
                <w:color w:val="auto"/>
                <w:highlight w:val="none"/>
                <w:u w:val="none"/>
                <w:lang w:val="en-US" w:eastAsia="zh-CN"/>
              </w:rPr>
            </w:pPr>
            <w:r>
              <w:rPr>
                <w:rFonts w:hint="default" w:ascii="Times New Roman" w:hAnsi="Times New Roman" w:cs="Times New Roman"/>
                <w:color w:val="auto"/>
                <w:kern w:val="0"/>
                <w:sz w:val="24"/>
                <w:szCs w:val="24"/>
              </w:rPr>
              <w:t>项目所在区域属于工业园，全部为工业用地，原有植被已经清</w:t>
            </w:r>
            <w:r>
              <w:rPr>
                <w:rFonts w:hint="eastAsia" w:ascii="Times New Roman" w:hAnsi="Times New Roman" w:cs="Times New Roman"/>
                <w:color w:val="auto"/>
                <w:kern w:val="0"/>
                <w:sz w:val="24"/>
                <w:szCs w:val="24"/>
                <w:lang w:val="en-US" w:eastAsia="zh-CN"/>
              </w:rPr>
              <w:t>除</w:t>
            </w:r>
            <w:r>
              <w:rPr>
                <w:rFonts w:hint="default" w:ascii="Times New Roman" w:hAnsi="Times New Roman" w:cs="Times New Roman"/>
                <w:color w:val="auto"/>
                <w:kern w:val="0"/>
                <w:sz w:val="24"/>
                <w:szCs w:val="24"/>
              </w:rPr>
              <w:t>。根据现场踏勘，本项目区域内未发现野生珍稀动植物物种。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00"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环境</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保护</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目标</w:t>
            </w:r>
          </w:p>
        </w:tc>
        <w:tc>
          <w:tcPr>
            <w:tcW w:w="8190" w:type="dxa"/>
            <w:noWrap w:val="0"/>
            <w:vAlign w:val="center"/>
          </w:tcPr>
          <w:p>
            <w:pPr>
              <w:pStyle w:val="37"/>
              <w:spacing w:before="0" w:after="0" w:line="360" w:lineRule="auto"/>
              <w:ind w:firstLine="468" w:firstLineChars="200"/>
              <w:jc w:val="both"/>
              <w:rPr>
                <w:rFonts w:hint="default" w:ascii="Times New Roman" w:hAnsi="Times New Roman" w:eastAsia="宋体" w:cs="Times New Roman"/>
                <w:color w:val="auto"/>
                <w:spacing w:val="-3"/>
                <w:kern w:val="2"/>
                <w:sz w:val="24"/>
                <w:szCs w:val="24"/>
                <w:highlight w:val="none"/>
                <w:u w:val="none"/>
              </w:rPr>
            </w:pPr>
            <w:r>
              <w:rPr>
                <w:rFonts w:hint="default" w:ascii="Times New Roman" w:hAnsi="Times New Roman" w:eastAsia="宋体" w:cs="Times New Roman"/>
                <w:color w:val="auto"/>
                <w:spacing w:val="-3"/>
                <w:kern w:val="2"/>
                <w:sz w:val="24"/>
                <w:szCs w:val="24"/>
                <w:highlight w:val="none"/>
                <w:u w:val="none"/>
              </w:rPr>
              <w:t>本项目位于</w:t>
            </w:r>
            <w:r>
              <w:rPr>
                <w:rFonts w:hint="eastAsia" w:ascii="Times New Roman" w:hAnsi="Times New Roman" w:eastAsia="宋体" w:cs="Times New Roman"/>
                <w:color w:val="auto"/>
                <w:spacing w:val="-3"/>
                <w:kern w:val="2"/>
                <w:sz w:val="24"/>
                <w:szCs w:val="24"/>
                <w:highlight w:val="none"/>
                <w:u w:val="none"/>
                <w:lang w:eastAsia="zh-CN"/>
              </w:rPr>
              <w:t>湘阴县金龙工业园</w:t>
            </w:r>
            <w:r>
              <w:rPr>
                <w:rFonts w:hint="default" w:ascii="Times New Roman" w:hAnsi="Times New Roman" w:eastAsia="宋体" w:cs="Times New Roman"/>
                <w:color w:val="auto"/>
                <w:spacing w:val="-3"/>
                <w:kern w:val="2"/>
                <w:sz w:val="24"/>
                <w:szCs w:val="24"/>
                <w:highlight w:val="none"/>
                <w:u w:val="none"/>
              </w:rPr>
              <w:t>。</w:t>
            </w:r>
            <w:r>
              <w:rPr>
                <w:rFonts w:hint="default" w:ascii="Times New Roman" w:hAnsi="Times New Roman" w:eastAsia="宋体" w:cs="Times New Roman"/>
                <w:color w:val="auto"/>
                <w:spacing w:val="-3"/>
                <w:kern w:val="2"/>
                <w:sz w:val="24"/>
                <w:szCs w:val="24"/>
                <w:highlight w:val="none"/>
                <w:u w:val="none"/>
                <w:lang w:val="en-US" w:eastAsia="zh-CN"/>
              </w:rPr>
              <w:t>处于工业园区域，</w:t>
            </w:r>
            <w:r>
              <w:rPr>
                <w:rFonts w:hint="default" w:ascii="Times New Roman" w:hAnsi="Times New Roman" w:eastAsia="宋体" w:cs="Times New Roman"/>
                <w:color w:val="auto"/>
                <w:spacing w:val="-3"/>
                <w:kern w:val="2"/>
                <w:sz w:val="24"/>
                <w:szCs w:val="24"/>
                <w:highlight w:val="none"/>
                <w:u w:val="none"/>
              </w:rPr>
              <w:t>根据现场勘查，项目厂界外500</w:t>
            </w:r>
            <w:r>
              <w:rPr>
                <w:rFonts w:hint="default" w:ascii="Times New Roman" w:hAnsi="Times New Roman" w:eastAsia="宋体" w:cs="Times New Roman"/>
                <w:color w:val="auto"/>
                <w:spacing w:val="-3"/>
                <w:kern w:val="2"/>
                <w:sz w:val="24"/>
                <w:szCs w:val="24"/>
                <w:highlight w:val="none"/>
                <w:u w:val="none"/>
                <w:lang w:val="en-US" w:eastAsia="zh-CN"/>
              </w:rPr>
              <w:t>m</w:t>
            </w:r>
            <w:r>
              <w:rPr>
                <w:rFonts w:hint="default" w:ascii="Times New Roman" w:hAnsi="Times New Roman" w:eastAsia="宋体" w:cs="Times New Roman"/>
                <w:color w:val="auto"/>
                <w:spacing w:val="-3"/>
                <w:kern w:val="2"/>
                <w:sz w:val="24"/>
                <w:szCs w:val="24"/>
                <w:highlight w:val="none"/>
                <w:u w:val="none"/>
              </w:rPr>
              <w:t>范围内无地下水集中式饮用水水源和热水、矿泉水、温泉等特殊地下水资源的保护目标。</w:t>
            </w:r>
            <w:r>
              <w:rPr>
                <w:rFonts w:hint="default" w:ascii="Times New Roman" w:hAnsi="Times New Roman" w:eastAsia="宋体" w:cs="Times New Roman"/>
                <w:color w:val="auto"/>
                <w:spacing w:val="-3"/>
                <w:kern w:val="2"/>
                <w:sz w:val="24"/>
                <w:szCs w:val="24"/>
                <w:highlight w:val="none"/>
                <w:u w:val="none"/>
                <w:lang w:val="en-US" w:eastAsia="zh-CN"/>
              </w:rPr>
              <w:t>本项目环境保护目标如下：</w:t>
            </w:r>
          </w:p>
          <w:p>
            <w:pPr>
              <w:pStyle w:val="37"/>
              <w:spacing w:before="0" w:after="0" w:line="240" w:lineRule="auto"/>
              <w:rPr>
                <w:rFonts w:hint="default" w:ascii="Times New Roman" w:hAnsi="Times New Roman" w:eastAsia="宋体" w:cs="Times New Roman"/>
                <w:b/>
                <w:bCs/>
                <w:color w:val="auto"/>
                <w:sz w:val="24"/>
                <w:szCs w:val="32"/>
                <w:highlight w:val="none"/>
                <w:u w:val="none"/>
              </w:rPr>
            </w:pPr>
            <w:r>
              <w:rPr>
                <w:rFonts w:hint="default" w:ascii="Times New Roman" w:hAnsi="Times New Roman" w:eastAsia="宋体" w:cs="Times New Roman"/>
                <w:b/>
                <w:bCs/>
                <w:color w:val="auto"/>
                <w:sz w:val="24"/>
                <w:szCs w:val="32"/>
                <w:highlight w:val="none"/>
                <w:u w:val="none"/>
              </w:rPr>
              <w:t>表3</w:t>
            </w:r>
            <w:r>
              <w:rPr>
                <w:rFonts w:hint="eastAsia" w:ascii="Times New Roman" w:hAnsi="Times New Roman" w:eastAsia="宋体" w:cs="Times New Roman"/>
                <w:b/>
                <w:bCs/>
                <w:color w:val="auto"/>
                <w:sz w:val="24"/>
                <w:szCs w:val="32"/>
                <w:highlight w:val="none"/>
                <w:u w:val="none"/>
                <w:lang w:val="en-US" w:eastAsia="zh-CN"/>
              </w:rPr>
              <w:t>.5-1</w:t>
            </w:r>
            <w:r>
              <w:rPr>
                <w:rFonts w:hint="default" w:ascii="Times New Roman" w:hAnsi="Times New Roman" w:eastAsia="宋体" w:cs="Times New Roman"/>
                <w:b/>
                <w:bCs/>
                <w:color w:val="auto"/>
                <w:sz w:val="24"/>
                <w:szCs w:val="32"/>
                <w:highlight w:val="none"/>
                <w:u w:val="none"/>
              </w:rPr>
              <w:t>环境空气保护目标一览表</w:t>
            </w:r>
          </w:p>
          <w:tbl>
            <w:tblPr>
              <w:tblStyle w:val="2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68"/>
              <w:gridCol w:w="1290"/>
              <w:gridCol w:w="1170"/>
              <w:gridCol w:w="469"/>
              <w:gridCol w:w="761"/>
              <w:gridCol w:w="677"/>
              <w:gridCol w:w="1027"/>
              <w:gridCol w:w="11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859"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eastAsia" w:cs="Times New Roman"/>
                      <w:b/>
                      <w:bCs/>
                      <w:snapToGrid w:val="0"/>
                      <w:color w:val="auto"/>
                      <w:szCs w:val="21"/>
                      <w:highlight w:val="none"/>
                      <w:u w:val="none"/>
                      <w:lang w:val="en-US" w:eastAsia="zh-CN"/>
                    </w:rPr>
                    <w:t>环境空气保护目标</w:t>
                  </w:r>
                </w:p>
              </w:tc>
              <w:tc>
                <w:tcPr>
                  <w:tcW w:w="1545" w:type="pct"/>
                  <w:gridSpan w:val="2"/>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坐标（°）</w:t>
                  </w:r>
                </w:p>
              </w:tc>
              <w:tc>
                <w:tcPr>
                  <w:tcW w:w="294" w:type="pct"/>
                  <w:vMerge w:val="restart"/>
                  <w:noWrap w:val="0"/>
                  <w:vAlign w:val="center"/>
                </w:tcPr>
                <w:p>
                  <w:pPr>
                    <w:jc w:val="center"/>
                    <w:rPr>
                      <w:rFonts w:hint="eastAsia" w:ascii="Times New Roman" w:hAnsi="Times New Roman" w:eastAsia="宋体" w:cs="Times New Roman"/>
                      <w:b/>
                      <w:bCs/>
                      <w:snapToGrid w:val="0"/>
                      <w:color w:val="auto"/>
                      <w:szCs w:val="21"/>
                      <w:highlight w:val="none"/>
                      <w:u w:val="none"/>
                      <w:lang w:eastAsia="zh-CN"/>
                    </w:rPr>
                  </w:pPr>
                  <w:r>
                    <w:rPr>
                      <w:rFonts w:hint="eastAsia" w:cs="Times New Roman"/>
                      <w:b/>
                      <w:bCs/>
                      <w:snapToGrid w:val="0"/>
                      <w:color w:val="auto"/>
                      <w:szCs w:val="21"/>
                      <w:highlight w:val="none"/>
                      <w:u w:val="none"/>
                      <w:lang w:val="en-US" w:eastAsia="zh-CN"/>
                    </w:rPr>
                    <w:t>功能</w:t>
                  </w:r>
                </w:p>
              </w:tc>
              <w:tc>
                <w:tcPr>
                  <w:tcW w:w="478"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规模</w:t>
                  </w:r>
                </w:p>
              </w:tc>
              <w:tc>
                <w:tcPr>
                  <w:tcW w:w="425"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环境功能区</w:t>
                  </w:r>
                </w:p>
              </w:tc>
              <w:tc>
                <w:tcPr>
                  <w:tcW w:w="645"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相对厂址方位</w:t>
                  </w:r>
                </w:p>
              </w:tc>
              <w:tc>
                <w:tcPr>
                  <w:tcW w:w="750"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eastAsia" w:cs="Times New Roman"/>
                      <w:b/>
                      <w:bCs/>
                      <w:snapToGrid w:val="0"/>
                      <w:color w:val="auto"/>
                      <w:szCs w:val="21"/>
                      <w:highlight w:val="none"/>
                      <w:u w:val="none"/>
                      <w:lang w:eastAsia="zh-CN"/>
                    </w:rPr>
                    <w:t>距厂界最近</w:t>
                  </w:r>
                  <w:r>
                    <w:rPr>
                      <w:rFonts w:hint="default" w:ascii="Times New Roman" w:hAnsi="Times New Roman" w:cs="Times New Roman"/>
                      <w:b/>
                      <w:bCs/>
                      <w:snapToGrid w:val="0"/>
                      <w:color w:val="auto"/>
                      <w:szCs w:val="21"/>
                      <w:highlight w:val="none"/>
                      <w:u w:val="none"/>
                    </w:rPr>
                    <w:t>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9"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810"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经度</w:t>
                  </w:r>
                </w:p>
              </w:tc>
              <w:tc>
                <w:tcPr>
                  <w:tcW w:w="735"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纬度</w:t>
                  </w:r>
                </w:p>
              </w:tc>
              <w:tc>
                <w:tcPr>
                  <w:tcW w:w="294"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78"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25"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645"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750"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9" w:type="pct"/>
                  <w:noWrap w:val="0"/>
                  <w:vAlign w:val="center"/>
                </w:tcPr>
                <w:p>
                  <w:pPr>
                    <w:jc w:val="center"/>
                    <w:rPr>
                      <w:rFonts w:hint="eastAsia"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创新创业服务中心</w:t>
                  </w:r>
                  <w:r>
                    <w:rPr>
                      <w:rFonts w:hint="eastAsia"/>
                      <w:color w:val="auto"/>
                      <w:lang w:eastAsia="zh-CN"/>
                    </w:rPr>
                    <w:t>（在建）</w:t>
                  </w:r>
                </w:p>
              </w:tc>
              <w:tc>
                <w:tcPr>
                  <w:tcW w:w="81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eastAsia="宋体" w:cs="Times New Roman"/>
                      <w:snapToGrid w:val="0"/>
                      <w:color w:val="auto"/>
                      <w:szCs w:val="21"/>
                      <w:highlight w:val="none"/>
                      <w:u w:val="none"/>
                      <w:lang w:val="en-US" w:eastAsia="zh-CN"/>
                    </w:rPr>
                    <w:t>112°55′5</w:t>
                  </w:r>
                  <w:r>
                    <w:rPr>
                      <w:rFonts w:hint="eastAsia" w:ascii="Times New Roman" w:hAnsi="Times New Roman" w:eastAsia="宋体" w:cs="Times New Roman"/>
                      <w:snapToGrid w:val="0"/>
                      <w:color w:val="auto"/>
                      <w:szCs w:val="21"/>
                      <w:highlight w:val="none"/>
                      <w:u w:val="none"/>
                      <w:lang w:val="en-US" w:eastAsia="zh-CN"/>
                    </w:rPr>
                    <w:t>2.891</w:t>
                  </w:r>
                </w:p>
              </w:tc>
              <w:tc>
                <w:tcPr>
                  <w:tcW w:w="735"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eastAsia="宋体" w:cs="Times New Roman"/>
                      <w:snapToGrid w:val="0"/>
                      <w:color w:val="auto"/>
                      <w:szCs w:val="21"/>
                      <w:highlight w:val="none"/>
                      <w:u w:val="none"/>
                      <w:lang w:val="en-US" w:eastAsia="zh-CN"/>
                    </w:rPr>
                    <w:t>28°31′</w:t>
                  </w:r>
                  <w:r>
                    <w:rPr>
                      <w:rFonts w:hint="eastAsia" w:ascii="Times New Roman" w:hAnsi="Times New Roman" w:eastAsia="宋体" w:cs="Times New Roman"/>
                      <w:snapToGrid w:val="0"/>
                      <w:color w:val="auto"/>
                      <w:szCs w:val="21"/>
                      <w:highlight w:val="none"/>
                      <w:u w:val="none"/>
                      <w:lang w:val="en-US" w:eastAsia="zh-CN"/>
                    </w:rPr>
                    <w:t>51.835</w:t>
                  </w:r>
                </w:p>
              </w:tc>
              <w:tc>
                <w:tcPr>
                  <w:tcW w:w="294" w:type="pct"/>
                  <w:noWrap w:val="0"/>
                  <w:vAlign w:val="center"/>
                </w:tcPr>
                <w:p>
                  <w:pPr>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办公</w:t>
                  </w:r>
                </w:p>
              </w:tc>
              <w:tc>
                <w:tcPr>
                  <w:tcW w:w="478"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500人</w:t>
                  </w:r>
                </w:p>
              </w:tc>
              <w:tc>
                <w:tcPr>
                  <w:tcW w:w="425" w:type="pct"/>
                  <w:vMerge w:val="restart"/>
                  <w:noWrap w:val="0"/>
                  <w:vAlign w:val="center"/>
                </w:tcPr>
                <w:p>
                  <w:pPr>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二类</w:t>
                  </w:r>
                </w:p>
              </w:tc>
              <w:tc>
                <w:tcPr>
                  <w:tcW w:w="645"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东南</w:t>
                  </w:r>
                </w:p>
              </w:tc>
              <w:tc>
                <w:tcPr>
                  <w:tcW w:w="75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9"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小金龙幼儿园</w:t>
                  </w:r>
                </w:p>
              </w:tc>
              <w:tc>
                <w:tcPr>
                  <w:tcW w:w="810"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112°55′5</w:t>
                  </w:r>
                  <w:r>
                    <w:rPr>
                      <w:rFonts w:hint="eastAsia" w:ascii="Times New Roman" w:hAnsi="Times New Roman" w:eastAsia="宋体" w:cs="Times New Roman"/>
                      <w:snapToGrid w:val="0"/>
                      <w:color w:val="auto"/>
                      <w:szCs w:val="21"/>
                      <w:highlight w:val="none"/>
                      <w:u w:val="none"/>
                      <w:lang w:val="en-US" w:eastAsia="zh-CN"/>
                    </w:rPr>
                    <w:t>6.715</w:t>
                  </w:r>
                </w:p>
              </w:tc>
              <w:tc>
                <w:tcPr>
                  <w:tcW w:w="735"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28°31′</w:t>
                  </w:r>
                  <w:r>
                    <w:rPr>
                      <w:rFonts w:hint="eastAsia" w:ascii="Times New Roman" w:hAnsi="Times New Roman" w:eastAsia="宋体" w:cs="Times New Roman"/>
                      <w:snapToGrid w:val="0"/>
                      <w:color w:val="auto"/>
                      <w:szCs w:val="21"/>
                      <w:highlight w:val="none"/>
                      <w:u w:val="none"/>
                      <w:lang w:val="en-US" w:eastAsia="zh-CN"/>
                    </w:rPr>
                    <w:t>53.496</w:t>
                  </w:r>
                </w:p>
              </w:tc>
              <w:tc>
                <w:tcPr>
                  <w:tcW w:w="294"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学校</w:t>
                  </w:r>
                </w:p>
              </w:tc>
              <w:tc>
                <w:tcPr>
                  <w:tcW w:w="478"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200人</w:t>
                  </w:r>
                </w:p>
              </w:tc>
              <w:tc>
                <w:tcPr>
                  <w:tcW w:w="425"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东</w:t>
                  </w:r>
                </w:p>
              </w:tc>
              <w:tc>
                <w:tcPr>
                  <w:tcW w:w="750"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9" w:type="pct"/>
                  <w:noWrap w:val="0"/>
                  <w:vAlign w:val="center"/>
                </w:tcPr>
                <w:p>
                  <w:pPr>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金龙居民</w:t>
                  </w:r>
                </w:p>
                <w:p>
                  <w:pPr>
                    <w:jc w:val="center"/>
                    <w:rPr>
                      <w:rFonts w:hint="default" w:ascii="Times New Roman" w:hAnsi="Times New Roman" w:cs="Times New Roman"/>
                      <w:color w:val="auto"/>
                      <w:szCs w:val="21"/>
                      <w:highlight w:val="none"/>
                      <w:u w:val="none"/>
                      <w:lang w:val="en-US" w:eastAsia="zh-CN"/>
                    </w:rPr>
                  </w:pPr>
                  <w:r>
                    <w:rPr>
                      <w:rFonts w:hint="eastAsia" w:cs="Times New Roman"/>
                      <w:color w:val="auto"/>
                      <w:szCs w:val="21"/>
                      <w:highlight w:val="none"/>
                      <w:u w:val="none"/>
                      <w:lang w:val="en-US" w:eastAsia="zh-CN"/>
                    </w:rPr>
                    <w:t>管委会</w:t>
                  </w:r>
                </w:p>
              </w:tc>
              <w:tc>
                <w:tcPr>
                  <w:tcW w:w="810"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112°55′5</w:t>
                  </w:r>
                  <w:r>
                    <w:rPr>
                      <w:rFonts w:hint="eastAsia" w:ascii="Times New Roman" w:hAnsi="Times New Roman" w:eastAsia="宋体" w:cs="Times New Roman"/>
                      <w:snapToGrid w:val="0"/>
                      <w:color w:val="auto"/>
                      <w:szCs w:val="21"/>
                      <w:highlight w:val="none"/>
                      <w:u w:val="none"/>
                      <w:lang w:val="en-US" w:eastAsia="zh-CN"/>
                    </w:rPr>
                    <w:t>5.937</w:t>
                  </w:r>
                </w:p>
              </w:tc>
              <w:tc>
                <w:tcPr>
                  <w:tcW w:w="735"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28°31′</w:t>
                  </w:r>
                  <w:r>
                    <w:rPr>
                      <w:rFonts w:hint="eastAsia" w:ascii="Times New Roman" w:hAnsi="Times New Roman" w:eastAsia="宋体" w:cs="Times New Roman"/>
                      <w:snapToGrid w:val="0"/>
                      <w:color w:val="auto"/>
                      <w:szCs w:val="21"/>
                      <w:highlight w:val="none"/>
                      <w:u w:val="none"/>
                      <w:lang w:val="en-US" w:eastAsia="zh-CN"/>
                    </w:rPr>
                    <w:t>48.687</w:t>
                  </w:r>
                </w:p>
              </w:tc>
              <w:tc>
                <w:tcPr>
                  <w:tcW w:w="294" w:type="pct"/>
                  <w:noWrap w:val="0"/>
                  <w:vAlign w:val="center"/>
                </w:tcPr>
                <w:p>
                  <w:pPr>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办公</w:t>
                  </w:r>
                </w:p>
              </w:tc>
              <w:tc>
                <w:tcPr>
                  <w:tcW w:w="478"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50人</w:t>
                  </w:r>
                </w:p>
              </w:tc>
              <w:tc>
                <w:tcPr>
                  <w:tcW w:w="425"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snapToGrid w:val="0"/>
                      <w:color w:val="auto"/>
                      <w:szCs w:val="21"/>
                      <w:highlight w:val="none"/>
                      <w:u w:val="none"/>
                      <w:lang w:val="en-US" w:eastAsia="zh-CN"/>
                    </w:rPr>
                    <w:t>东南</w:t>
                  </w:r>
                </w:p>
              </w:tc>
              <w:tc>
                <w:tcPr>
                  <w:tcW w:w="750" w:type="pct"/>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145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9" w:type="pct"/>
                  <w:noWrap w:val="0"/>
                  <w:vAlign w:val="center"/>
                </w:tcPr>
                <w:p>
                  <w:pPr>
                    <w:pStyle w:val="55"/>
                    <w:bidi w:val="0"/>
                    <w:jc w:val="center"/>
                    <w:rPr>
                      <w:rFonts w:hint="eastAsia" w:cs="Times New Roman"/>
                      <w:color w:val="auto"/>
                      <w:szCs w:val="21"/>
                      <w:highlight w:val="none"/>
                      <w:u w:val="none"/>
                      <w:lang w:val="en-US" w:eastAsia="zh-CN"/>
                    </w:rPr>
                  </w:pPr>
                  <w:r>
                    <w:rPr>
                      <w:rFonts w:hint="eastAsia"/>
                      <w:color w:val="auto"/>
                      <w:highlight w:val="none"/>
                      <w:u w:val="none"/>
                      <w:lang w:val="en-US" w:eastAsia="zh-CN"/>
                    </w:rPr>
                    <w:t>金龙新区安置小区</w:t>
                  </w:r>
                </w:p>
              </w:tc>
              <w:tc>
                <w:tcPr>
                  <w:tcW w:w="810"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112°5</w:t>
                  </w:r>
                  <w:r>
                    <w:rPr>
                      <w:rFonts w:hint="eastAsia" w:ascii="Times New Roman" w:hAnsi="Times New Roman" w:eastAsia="宋体" w:cs="Times New Roman"/>
                      <w:snapToGrid w:val="0"/>
                      <w:color w:val="auto"/>
                      <w:szCs w:val="21"/>
                      <w:highlight w:val="none"/>
                      <w:u w:val="none"/>
                      <w:lang w:val="en-US" w:eastAsia="zh-CN"/>
                    </w:rPr>
                    <w:t>6</w:t>
                  </w:r>
                  <w:r>
                    <w:rPr>
                      <w:rFonts w:hint="default" w:ascii="Times New Roman" w:hAnsi="Times New Roman" w:eastAsia="宋体" w:cs="Times New Roman"/>
                      <w:snapToGrid w:val="0"/>
                      <w:color w:val="auto"/>
                      <w:szCs w:val="21"/>
                      <w:highlight w:val="none"/>
                      <w:u w:val="none"/>
                      <w:lang w:val="en-US" w:eastAsia="zh-CN"/>
                    </w:rPr>
                    <w:t>′</w:t>
                  </w:r>
                  <w:r>
                    <w:rPr>
                      <w:rFonts w:hint="eastAsia" w:ascii="Times New Roman" w:hAnsi="Times New Roman" w:eastAsia="宋体" w:cs="Times New Roman"/>
                      <w:snapToGrid w:val="0"/>
                      <w:color w:val="auto"/>
                      <w:szCs w:val="21"/>
                      <w:highlight w:val="none"/>
                      <w:u w:val="none"/>
                      <w:lang w:val="en-US" w:eastAsia="zh-CN"/>
                    </w:rPr>
                    <w:t>4.512</w:t>
                  </w:r>
                </w:p>
              </w:tc>
              <w:tc>
                <w:tcPr>
                  <w:tcW w:w="735"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28°31′</w:t>
                  </w:r>
                  <w:r>
                    <w:rPr>
                      <w:rFonts w:hint="eastAsia" w:ascii="Times New Roman" w:hAnsi="Times New Roman" w:eastAsia="宋体" w:cs="Times New Roman"/>
                      <w:snapToGrid w:val="0"/>
                      <w:color w:val="auto"/>
                      <w:szCs w:val="21"/>
                      <w:highlight w:val="none"/>
                      <w:u w:val="none"/>
                      <w:lang w:val="en-US" w:eastAsia="zh-CN"/>
                    </w:rPr>
                    <w:t>54.056</w:t>
                  </w:r>
                </w:p>
              </w:tc>
              <w:tc>
                <w:tcPr>
                  <w:tcW w:w="294" w:type="pct"/>
                  <w:vMerge w:val="restar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居民</w:t>
                  </w:r>
                </w:p>
              </w:tc>
              <w:tc>
                <w:tcPr>
                  <w:tcW w:w="478"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500户</w:t>
                  </w:r>
                </w:p>
              </w:tc>
              <w:tc>
                <w:tcPr>
                  <w:tcW w:w="425"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pStyle w:val="55"/>
                    <w:bidi w:val="0"/>
                    <w:jc w:val="center"/>
                    <w:rPr>
                      <w:rFonts w:hint="eastAsia" w:cs="Times New Roman"/>
                      <w:color w:val="auto"/>
                      <w:szCs w:val="21"/>
                      <w:highlight w:val="none"/>
                      <w:u w:val="none"/>
                      <w:lang w:val="en-US" w:eastAsia="zh-CN"/>
                    </w:rPr>
                  </w:pPr>
                  <w:r>
                    <w:rPr>
                      <w:rFonts w:hint="eastAsia"/>
                      <w:color w:val="auto"/>
                      <w:u w:val="none"/>
                      <w:lang w:val="en-US" w:eastAsia="zh-CN"/>
                    </w:rPr>
                    <w:t>东</w:t>
                  </w:r>
                </w:p>
              </w:tc>
              <w:tc>
                <w:tcPr>
                  <w:tcW w:w="750" w:type="pct"/>
                  <w:noWrap w:val="0"/>
                  <w:vAlign w:val="center"/>
                </w:tcPr>
                <w:p>
                  <w:pPr>
                    <w:pStyle w:val="55"/>
                    <w:bidi w:val="0"/>
                    <w:jc w:val="center"/>
                    <w:rPr>
                      <w:rFonts w:hint="default" w:cs="Times New Roman"/>
                      <w:color w:val="auto"/>
                      <w:szCs w:val="21"/>
                      <w:highlight w:val="none"/>
                      <w:u w:val="none"/>
                      <w:lang w:val="en-US" w:eastAsia="zh-CN"/>
                    </w:rPr>
                  </w:pPr>
                  <w:r>
                    <w:rPr>
                      <w:rFonts w:hint="eastAsia"/>
                      <w:color w:val="auto"/>
                      <w:u w:val="none"/>
                      <w:lang w:val="en-US" w:eastAsia="zh-CN"/>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9" w:type="pct"/>
                  <w:noWrap w:val="0"/>
                  <w:vAlign w:val="center"/>
                </w:tcPr>
                <w:p>
                  <w:pPr>
                    <w:pStyle w:val="55"/>
                    <w:bidi w:val="0"/>
                    <w:jc w:val="center"/>
                    <w:rPr>
                      <w:rFonts w:hint="eastAsia" w:cs="Times New Roman"/>
                      <w:color w:val="auto"/>
                      <w:szCs w:val="21"/>
                      <w:highlight w:val="none"/>
                      <w:u w:val="none"/>
                      <w:lang w:val="en-US" w:eastAsia="zh-CN"/>
                    </w:rPr>
                  </w:pPr>
                  <w:r>
                    <w:rPr>
                      <w:rFonts w:hint="eastAsia"/>
                      <w:color w:val="auto"/>
                      <w:highlight w:val="none"/>
                      <w:u w:val="none"/>
                      <w:lang w:val="en-US" w:eastAsia="zh-CN"/>
                    </w:rPr>
                    <w:t>金龙花苑</w:t>
                  </w:r>
                </w:p>
              </w:tc>
              <w:tc>
                <w:tcPr>
                  <w:tcW w:w="810"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112°5</w:t>
                  </w:r>
                  <w:r>
                    <w:rPr>
                      <w:rFonts w:hint="eastAsia" w:ascii="Times New Roman" w:hAnsi="Times New Roman" w:eastAsia="宋体" w:cs="Times New Roman"/>
                      <w:snapToGrid w:val="0"/>
                      <w:color w:val="auto"/>
                      <w:szCs w:val="21"/>
                      <w:highlight w:val="none"/>
                      <w:u w:val="none"/>
                      <w:lang w:val="en-US" w:eastAsia="zh-CN"/>
                    </w:rPr>
                    <w:t>6</w:t>
                  </w:r>
                  <w:r>
                    <w:rPr>
                      <w:rFonts w:hint="default" w:ascii="Times New Roman" w:hAnsi="Times New Roman" w:eastAsia="宋体" w:cs="Times New Roman"/>
                      <w:snapToGrid w:val="0"/>
                      <w:color w:val="auto"/>
                      <w:szCs w:val="21"/>
                      <w:highlight w:val="none"/>
                      <w:u w:val="none"/>
                      <w:lang w:val="en-US" w:eastAsia="zh-CN"/>
                    </w:rPr>
                    <w:t>′</w:t>
                  </w:r>
                  <w:r>
                    <w:rPr>
                      <w:rFonts w:hint="eastAsia" w:ascii="Times New Roman" w:hAnsi="Times New Roman" w:eastAsia="宋体" w:cs="Times New Roman"/>
                      <w:snapToGrid w:val="0"/>
                      <w:color w:val="auto"/>
                      <w:szCs w:val="21"/>
                      <w:highlight w:val="none"/>
                      <w:u w:val="none"/>
                      <w:lang w:val="en-US" w:eastAsia="zh-CN"/>
                    </w:rPr>
                    <w:t>6.443</w:t>
                  </w:r>
                </w:p>
              </w:tc>
              <w:tc>
                <w:tcPr>
                  <w:tcW w:w="735"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28°31′</w:t>
                  </w:r>
                  <w:r>
                    <w:rPr>
                      <w:rFonts w:hint="eastAsia" w:ascii="Times New Roman" w:hAnsi="Times New Roman" w:eastAsia="宋体" w:cs="Times New Roman"/>
                      <w:snapToGrid w:val="0"/>
                      <w:color w:val="auto"/>
                      <w:szCs w:val="21"/>
                      <w:highlight w:val="none"/>
                      <w:u w:val="none"/>
                      <w:lang w:val="en-US" w:eastAsia="zh-CN"/>
                    </w:rPr>
                    <w:t>49.962</w:t>
                  </w:r>
                </w:p>
              </w:tc>
              <w:tc>
                <w:tcPr>
                  <w:tcW w:w="294" w:type="pct"/>
                  <w:vMerge w:val="continue"/>
                  <w:noWrap w:val="0"/>
                  <w:vAlign w:val="center"/>
                </w:tcPr>
                <w:p>
                  <w:pPr>
                    <w:jc w:val="center"/>
                    <w:rPr>
                      <w:rFonts w:hint="eastAsia" w:cs="Times New Roman"/>
                      <w:color w:val="auto"/>
                      <w:szCs w:val="21"/>
                      <w:highlight w:val="none"/>
                      <w:u w:val="none"/>
                      <w:lang w:val="en-US" w:eastAsia="zh-CN"/>
                    </w:rPr>
                  </w:pPr>
                </w:p>
              </w:tc>
              <w:tc>
                <w:tcPr>
                  <w:tcW w:w="478"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840户</w:t>
                  </w:r>
                </w:p>
              </w:tc>
              <w:tc>
                <w:tcPr>
                  <w:tcW w:w="425"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pStyle w:val="55"/>
                    <w:bidi w:val="0"/>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东南</w:t>
                  </w:r>
                </w:p>
              </w:tc>
              <w:tc>
                <w:tcPr>
                  <w:tcW w:w="750" w:type="pct"/>
                  <w:noWrap w:val="0"/>
                  <w:vAlign w:val="center"/>
                </w:tcPr>
                <w:p>
                  <w:pPr>
                    <w:pStyle w:val="55"/>
                    <w:bidi w:val="0"/>
                    <w:jc w:val="center"/>
                    <w:rPr>
                      <w:rFonts w:hint="default" w:cs="Times New Roman"/>
                      <w:color w:val="auto"/>
                      <w:szCs w:val="21"/>
                      <w:highlight w:val="none"/>
                      <w:u w:val="none"/>
                      <w:lang w:val="en-US" w:eastAsia="zh-CN"/>
                    </w:rPr>
                  </w:pPr>
                  <w:r>
                    <w:rPr>
                      <w:rFonts w:hint="eastAsia"/>
                      <w:color w:val="auto"/>
                      <w:u w:val="none"/>
                      <w:lang w:val="en-US" w:eastAsia="zh-CN"/>
                    </w:rPr>
                    <w:t>290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9" w:type="pct"/>
                  <w:noWrap w:val="0"/>
                  <w:vAlign w:val="center"/>
                </w:tcPr>
                <w:p>
                  <w:pPr>
                    <w:pStyle w:val="55"/>
                    <w:bidi w:val="0"/>
                    <w:jc w:val="center"/>
                    <w:rPr>
                      <w:rFonts w:hint="default" w:cs="Times New Roman"/>
                      <w:color w:val="auto"/>
                      <w:szCs w:val="21"/>
                      <w:highlight w:val="none"/>
                      <w:u w:val="none"/>
                      <w:lang w:val="en-US" w:eastAsia="zh-CN"/>
                    </w:rPr>
                  </w:pPr>
                  <w:r>
                    <w:rPr>
                      <w:rFonts w:hint="eastAsia"/>
                      <w:color w:val="auto"/>
                      <w:highlight w:val="none"/>
                      <w:u w:val="none"/>
                      <w:lang w:val="en-US" w:eastAsia="zh-CN"/>
                    </w:rPr>
                    <w:t>金龙镇居民1#</w:t>
                  </w:r>
                </w:p>
              </w:tc>
              <w:tc>
                <w:tcPr>
                  <w:tcW w:w="810"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112°55′5</w:t>
                  </w:r>
                  <w:r>
                    <w:rPr>
                      <w:rFonts w:hint="eastAsia" w:ascii="Times New Roman" w:hAnsi="Times New Roman" w:eastAsia="宋体" w:cs="Times New Roman"/>
                      <w:snapToGrid w:val="0"/>
                      <w:color w:val="auto"/>
                      <w:szCs w:val="21"/>
                      <w:highlight w:val="none"/>
                      <w:u w:val="none"/>
                      <w:lang w:val="en-US" w:eastAsia="zh-CN"/>
                    </w:rPr>
                    <w:t>0.453</w:t>
                  </w:r>
                </w:p>
              </w:tc>
              <w:tc>
                <w:tcPr>
                  <w:tcW w:w="735"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28°3</w:t>
                  </w:r>
                  <w:r>
                    <w:rPr>
                      <w:rFonts w:hint="eastAsia" w:ascii="Times New Roman" w:hAnsi="Times New Roman" w:eastAsia="宋体" w:cs="Times New Roman"/>
                      <w:snapToGrid w:val="0"/>
                      <w:color w:val="auto"/>
                      <w:szCs w:val="21"/>
                      <w:highlight w:val="none"/>
                      <w:u w:val="none"/>
                      <w:lang w:val="en-US" w:eastAsia="zh-CN"/>
                    </w:rPr>
                    <w:t>2</w:t>
                  </w:r>
                  <w:r>
                    <w:rPr>
                      <w:rFonts w:hint="default" w:ascii="Times New Roman" w:hAnsi="Times New Roman" w:eastAsia="宋体" w:cs="Times New Roman"/>
                      <w:snapToGrid w:val="0"/>
                      <w:color w:val="auto"/>
                      <w:szCs w:val="21"/>
                      <w:highlight w:val="none"/>
                      <w:u w:val="none"/>
                      <w:lang w:val="en-US" w:eastAsia="zh-CN"/>
                    </w:rPr>
                    <w:t>′</w:t>
                  </w:r>
                  <w:r>
                    <w:rPr>
                      <w:rFonts w:hint="eastAsia" w:ascii="Times New Roman" w:hAnsi="Times New Roman" w:eastAsia="宋体" w:cs="Times New Roman"/>
                      <w:snapToGrid w:val="0"/>
                      <w:color w:val="auto"/>
                      <w:szCs w:val="21"/>
                      <w:highlight w:val="none"/>
                      <w:u w:val="none"/>
                      <w:lang w:val="en-US" w:eastAsia="zh-CN"/>
                    </w:rPr>
                    <w:t>14.140</w:t>
                  </w:r>
                </w:p>
              </w:tc>
              <w:tc>
                <w:tcPr>
                  <w:tcW w:w="294" w:type="pct"/>
                  <w:vMerge w:val="continue"/>
                  <w:noWrap w:val="0"/>
                  <w:vAlign w:val="center"/>
                </w:tcPr>
                <w:p>
                  <w:pPr>
                    <w:jc w:val="center"/>
                    <w:rPr>
                      <w:rFonts w:hint="eastAsia" w:cs="Times New Roman"/>
                      <w:color w:val="auto"/>
                      <w:szCs w:val="21"/>
                      <w:highlight w:val="none"/>
                      <w:u w:val="none"/>
                      <w:lang w:val="en-US" w:eastAsia="zh-CN"/>
                    </w:rPr>
                  </w:pPr>
                </w:p>
              </w:tc>
              <w:tc>
                <w:tcPr>
                  <w:tcW w:w="478"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35户</w:t>
                  </w:r>
                </w:p>
              </w:tc>
              <w:tc>
                <w:tcPr>
                  <w:tcW w:w="425"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pStyle w:val="55"/>
                    <w:bidi w:val="0"/>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北</w:t>
                  </w:r>
                </w:p>
              </w:tc>
              <w:tc>
                <w:tcPr>
                  <w:tcW w:w="750" w:type="pct"/>
                  <w:noWrap w:val="0"/>
                  <w:vAlign w:val="center"/>
                </w:tcPr>
                <w:p>
                  <w:pPr>
                    <w:pStyle w:val="55"/>
                    <w:bidi w:val="0"/>
                    <w:jc w:val="center"/>
                    <w:rPr>
                      <w:rFonts w:hint="default" w:cs="Times New Roman"/>
                      <w:color w:val="auto"/>
                      <w:szCs w:val="21"/>
                      <w:highlight w:val="none"/>
                      <w:u w:val="none"/>
                      <w:lang w:val="en-US" w:eastAsia="zh-CN"/>
                    </w:rPr>
                  </w:pPr>
                  <w:r>
                    <w:rPr>
                      <w:rFonts w:hint="eastAsia"/>
                      <w:color w:val="auto"/>
                      <w:u w:val="none"/>
                      <w:lang w:val="en-US" w:eastAsia="zh-CN"/>
                    </w:rPr>
                    <w:t>315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59" w:type="pct"/>
                  <w:noWrap w:val="0"/>
                  <w:vAlign w:val="center"/>
                </w:tcPr>
                <w:p>
                  <w:pPr>
                    <w:pStyle w:val="55"/>
                    <w:bidi w:val="0"/>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金龙镇居民2#</w:t>
                  </w:r>
                </w:p>
              </w:tc>
              <w:tc>
                <w:tcPr>
                  <w:tcW w:w="810"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112°55′</w:t>
                  </w:r>
                  <w:r>
                    <w:rPr>
                      <w:rFonts w:hint="eastAsia" w:ascii="Times New Roman" w:hAnsi="Times New Roman" w:eastAsia="宋体" w:cs="Times New Roman"/>
                      <w:snapToGrid w:val="0"/>
                      <w:color w:val="auto"/>
                      <w:szCs w:val="21"/>
                      <w:highlight w:val="none"/>
                      <w:u w:val="none"/>
                      <w:lang w:val="en-US" w:eastAsia="zh-CN"/>
                    </w:rPr>
                    <w:t>41.415</w:t>
                  </w:r>
                </w:p>
              </w:tc>
              <w:tc>
                <w:tcPr>
                  <w:tcW w:w="735" w:type="pct"/>
                  <w:noWrap w:val="0"/>
                  <w:vAlign w:val="center"/>
                </w:tcPr>
                <w:p>
                  <w:pPr>
                    <w:jc w:val="center"/>
                    <w:rPr>
                      <w:rFonts w:hint="default" w:ascii="Times New Roman" w:hAnsi="Times New Roman" w:cs="Times New Roman"/>
                      <w:color w:val="auto"/>
                      <w:szCs w:val="21"/>
                      <w:highlight w:val="none"/>
                      <w:u w:val="none"/>
                      <w:lang w:val="en-US"/>
                    </w:rPr>
                  </w:pPr>
                  <w:r>
                    <w:rPr>
                      <w:rFonts w:hint="default" w:ascii="Times New Roman" w:hAnsi="Times New Roman" w:eastAsia="宋体" w:cs="Times New Roman"/>
                      <w:snapToGrid w:val="0"/>
                      <w:color w:val="auto"/>
                      <w:szCs w:val="21"/>
                      <w:highlight w:val="none"/>
                      <w:u w:val="none"/>
                      <w:lang w:val="en-US" w:eastAsia="zh-CN"/>
                    </w:rPr>
                    <w:t>28°3</w:t>
                  </w:r>
                  <w:r>
                    <w:rPr>
                      <w:rFonts w:hint="eastAsia" w:ascii="Times New Roman" w:hAnsi="Times New Roman" w:eastAsia="宋体" w:cs="Times New Roman"/>
                      <w:snapToGrid w:val="0"/>
                      <w:color w:val="auto"/>
                      <w:szCs w:val="21"/>
                      <w:highlight w:val="none"/>
                      <w:u w:val="none"/>
                      <w:lang w:val="en-US" w:eastAsia="zh-CN"/>
                    </w:rPr>
                    <w:t>2</w:t>
                  </w:r>
                  <w:r>
                    <w:rPr>
                      <w:rFonts w:hint="default" w:ascii="Times New Roman" w:hAnsi="Times New Roman" w:eastAsia="宋体" w:cs="Times New Roman"/>
                      <w:snapToGrid w:val="0"/>
                      <w:color w:val="auto"/>
                      <w:szCs w:val="21"/>
                      <w:highlight w:val="none"/>
                      <w:u w:val="none"/>
                      <w:lang w:val="en-US" w:eastAsia="zh-CN"/>
                    </w:rPr>
                    <w:t>′</w:t>
                  </w:r>
                  <w:r>
                    <w:rPr>
                      <w:rFonts w:hint="eastAsia" w:ascii="Times New Roman" w:hAnsi="Times New Roman" w:eastAsia="宋体" w:cs="Times New Roman"/>
                      <w:snapToGrid w:val="0"/>
                      <w:color w:val="auto"/>
                      <w:szCs w:val="21"/>
                      <w:highlight w:val="none"/>
                      <w:u w:val="none"/>
                      <w:lang w:val="en-US" w:eastAsia="zh-CN"/>
                    </w:rPr>
                    <w:t>18.389</w:t>
                  </w:r>
                </w:p>
              </w:tc>
              <w:tc>
                <w:tcPr>
                  <w:tcW w:w="294" w:type="pct"/>
                  <w:vMerge w:val="continue"/>
                  <w:noWrap w:val="0"/>
                  <w:vAlign w:val="center"/>
                </w:tcPr>
                <w:p>
                  <w:pPr>
                    <w:jc w:val="center"/>
                    <w:rPr>
                      <w:rFonts w:hint="eastAsia" w:cs="Times New Roman"/>
                      <w:color w:val="auto"/>
                      <w:szCs w:val="21"/>
                      <w:highlight w:val="none"/>
                      <w:u w:val="none"/>
                      <w:lang w:val="en-US" w:eastAsia="zh-CN"/>
                    </w:rPr>
                  </w:pPr>
                </w:p>
              </w:tc>
              <w:tc>
                <w:tcPr>
                  <w:tcW w:w="478" w:type="pct"/>
                  <w:noWrap w:val="0"/>
                  <w:vAlign w:val="center"/>
                </w:tcPr>
                <w:p>
                  <w:pPr>
                    <w:jc w:val="center"/>
                    <w:rPr>
                      <w:rFonts w:hint="default" w:cs="Times New Roman"/>
                      <w:color w:val="auto"/>
                      <w:szCs w:val="21"/>
                      <w:highlight w:val="none"/>
                      <w:u w:val="none"/>
                      <w:lang w:val="en-US" w:eastAsia="zh-CN"/>
                    </w:rPr>
                  </w:pPr>
                  <w:r>
                    <w:rPr>
                      <w:rFonts w:hint="eastAsia" w:cs="Times New Roman"/>
                      <w:color w:val="auto"/>
                      <w:szCs w:val="21"/>
                      <w:highlight w:val="none"/>
                      <w:u w:val="none"/>
                      <w:lang w:val="en-US" w:eastAsia="zh-CN"/>
                    </w:rPr>
                    <w:t>30户</w:t>
                  </w:r>
                </w:p>
              </w:tc>
              <w:tc>
                <w:tcPr>
                  <w:tcW w:w="425" w:type="pct"/>
                  <w:vMerge w:val="continue"/>
                  <w:noWrap w:val="0"/>
                  <w:vAlign w:val="center"/>
                </w:tcPr>
                <w:p>
                  <w:pPr>
                    <w:jc w:val="center"/>
                    <w:rPr>
                      <w:rFonts w:hint="default" w:ascii="Times New Roman" w:hAnsi="Times New Roman" w:cs="Times New Roman"/>
                      <w:color w:val="auto"/>
                      <w:szCs w:val="21"/>
                      <w:highlight w:val="none"/>
                      <w:u w:val="none"/>
                    </w:rPr>
                  </w:pPr>
                </w:p>
              </w:tc>
              <w:tc>
                <w:tcPr>
                  <w:tcW w:w="645" w:type="pct"/>
                  <w:noWrap w:val="0"/>
                  <w:vAlign w:val="center"/>
                </w:tcPr>
                <w:p>
                  <w:pPr>
                    <w:pStyle w:val="55"/>
                    <w:bidi w:val="0"/>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北</w:t>
                  </w:r>
                </w:p>
              </w:tc>
              <w:tc>
                <w:tcPr>
                  <w:tcW w:w="750" w:type="pct"/>
                  <w:noWrap w:val="0"/>
                  <w:vAlign w:val="center"/>
                </w:tcPr>
                <w:p>
                  <w:pPr>
                    <w:pStyle w:val="55"/>
                    <w:bidi w:val="0"/>
                    <w:jc w:val="center"/>
                    <w:rPr>
                      <w:rFonts w:hint="default" w:cs="Times New Roman"/>
                      <w:color w:val="auto"/>
                      <w:szCs w:val="21"/>
                      <w:highlight w:val="none"/>
                      <w:u w:val="none"/>
                      <w:lang w:val="en-US" w:eastAsia="zh-CN"/>
                    </w:rPr>
                  </w:pPr>
                  <w:r>
                    <w:rPr>
                      <w:rFonts w:hint="eastAsia"/>
                      <w:color w:val="auto"/>
                      <w:u w:val="none"/>
                      <w:lang w:val="en-US" w:eastAsia="zh-CN"/>
                    </w:rPr>
                    <w:t>490</w:t>
                  </w:r>
                </w:p>
              </w:tc>
            </w:tr>
          </w:tbl>
          <w:p>
            <w:pPr>
              <w:pStyle w:val="37"/>
              <w:spacing w:before="0" w:after="0" w:line="240" w:lineRule="auto"/>
              <w:rPr>
                <w:rFonts w:hint="default" w:ascii="Times New Roman" w:hAnsi="Times New Roman" w:eastAsia="宋体" w:cs="Times New Roman"/>
                <w:b/>
                <w:bCs/>
                <w:color w:val="auto"/>
                <w:sz w:val="24"/>
                <w:szCs w:val="32"/>
                <w:highlight w:val="none"/>
                <w:u w:val="none"/>
              </w:rPr>
            </w:pPr>
            <w:r>
              <w:rPr>
                <w:rFonts w:hint="default" w:ascii="Times New Roman" w:hAnsi="Times New Roman" w:eastAsia="宋体" w:cs="Times New Roman"/>
                <w:b/>
                <w:bCs/>
                <w:color w:val="auto"/>
                <w:sz w:val="24"/>
                <w:szCs w:val="32"/>
                <w:highlight w:val="none"/>
                <w:u w:val="none"/>
              </w:rPr>
              <w:t>表3</w:t>
            </w:r>
            <w:r>
              <w:rPr>
                <w:rFonts w:hint="eastAsia" w:ascii="Times New Roman" w:hAnsi="Times New Roman" w:eastAsia="宋体" w:cs="Times New Roman"/>
                <w:b/>
                <w:bCs/>
                <w:color w:val="auto"/>
                <w:sz w:val="24"/>
                <w:szCs w:val="32"/>
                <w:highlight w:val="none"/>
                <w:u w:val="none"/>
                <w:lang w:val="en-US" w:eastAsia="zh-CN"/>
              </w:rPr>
              <w:t>.5-2声</w:t>
            </w:r>
            <w:r>
              <w:rPr>
                <w:rFonts w:hint="default" w:ascii="Times New Roman" w:hAnsi="Times New Roman" w:eastAsia="宋体" w:cs="Times New Roman"/>
                <w:b/>
                <w:bCs/>
                <w:color w:val="auto"/>
                <w:sz w:val="24"/>
                <w:szCs w:val="32"/>
                <w:highlight w:val="none"/>
                <w:u w:val="none"/>
              </w:rPr>
              <w:t>环境保护目标一览表</w:t>
            </w:r>
          </w:p>
          <w:tbl>
            <w:tblPr>
              <w:tblStyle w:val="2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68"/>
              <w:gridCol w:w="1290"/>
              <w:gridCol w:w="1170"/>
              <w:gridCol w:w="469"/>
              <w:gridCol w:w="761"/>
              <w:gridCol w:w="677"/>
              <w:gridCol w:w="1027"/>
              <w:gridCol w:w="11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859"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eastAsia" w:cs="Times New Roman"/>
                      <w:b/>
                      <w:bCs/>
                      <w:snapToGrid w:val="0"/>
                      <w:color w:val="auto"/>
                      <w:szCs w:val="21"/>
                      <w:highlight w:val="none"/>
                      <w:u w:val="none"/>
                      <w:lang w:val="en-US" w:eastAsia="zh-CN"/>
                    </w:rPr>
                    <w:t>环境空气保护目标</w:t>
                  </w:r>
                </w:p>
              </w:tc>
              <w:tc>
                <w:tcPr>
                  <w:tcW w:w="1545" w:type="pct"/>
                  <w:gridSpan w:val="2"/>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坐标（°）</w:t>
                  </w:r>
                </w:p>
              </w:tc>
              <w:tc>
                <w:tcPr>
                  <w:tcW w:w="294" w:type="pct"/>
                  <w:vMerge w:val="restart"/>
                  <w:noWrap w:val="0"/>
                  <w:vAlign w:val="center"/>
                </w:tcPr>
                <w:p>
                  <w:pPr>
                    <w:jc w:val="center"/>
                    <w:rPr>
                      <w:rFonts w:hint="eastAsia" w:ascii="Times New Roman" w:hAnsi="Times New Roman" w:eastAsia="宋体" w:cs="Times New Roman"/>
                      <w:b/>
                      <w:bCs/>
                      <w:snapToGrid w:val="0"/>
                      <w:color w:val="auto"/>
                      <w:szCs w:val="21"/>
                      <w:highlight w:val="none"/>
                      <w:u w:val="none"/>
                      <w:lang w:eastAsia="zh-CN"/>
                    </w:rPr>
                  </w:pPr>
                  <w:r>
                    <w:rPr>
                      <w:rFonts w:hint="eastAsia" w:cs="Times New Roman"/>
                      <w:b/>
                      <w:bCs/>
                      <w:snapToGrid w:val="0"/>
                      <w:color w:val="auto"/>
                      <w:szCs w:val="21"/>
                      <w:highlight w:val="none"/>
                      <w:u w:val="none"/>
                      <w:lang w:val="en-US" w:eastAsia="zh-CN"/>
                    </w:rPr>
                    <w:t>功能</w:t>
                  </w:r>
                </w:p>
              </w:tc>
              <w:tc>
                <w:tcPr>
                  <w:tcW w:w="478"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规模</w:t>
                  </w:r>
                </w:p>
              </w:tc>
              <w:tc>
                <w:tcPr>
                  <w:tcW w:w="425"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环境功能区</w:t>
                  </w:r>
                </w:p>
              </w:tc>
              <w:tc>
                <w:tcPr>
                  <w:tcW w:w="645"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default" w:ascii="Times New Roman" w:hAnsi="Times New Roman" w:cs="Times New Roman"/>
                      <w:b/>
                      <w:bCs/>
                      <w:snapToGrid w:val="0"/>
                      <w:color w:val="auto"/>
                      <w:szCs w:val="21"/>
                      <w:highlight w:val="none"/>
                      <w:u w:val="none"/>
                    </w:rPr>
                    <w:t>相对厂址方位</w:t>
                  </w:r>
                </w:p>
              </w:tc>
              <w:tc>
                <w:tcPr>
                  <w:tcW w:w="750" w:type="pct"/>
                  <w:vMerge w:val="restart"/>
                  <w:noWrap w:val="0"/>
                  <w:vAlign w:val="center"/>
                </w:tcPr>
                <w:p>
                  <w:pPr>
                    <w:jc w:val="center"/>
                    <w:rPr>
                      <w:rFonts w:hint="default" w:ascii="Times New Roman" w:hAnsi="Times New Roman" w:cs="Times New Roman"/>
                      <w:b/>
                      <w:bCs/>
                      <w:snapToGrid w:val="0"/>
                      <w:color w:val="auto"/>
                      <w:szCs w:val="21"/>
                      <w:highlight w:val="none"/>
                      <w:u w:val="none"/>
                    </w:rPr>
                  </w:pPr>
                  <w:r>
                    <w:rPr>
                      <w:rFonts w:hint="eastAsia" w:cs="Times New Roman"/>
                      <w:b/>
                      <w:bCs/>
                      <w:snapToGrid w:val="0"/>
                      <w:color w:val="auto"/>
                      <w:szCs w:val="21"/>
                      <w:highlight w:val="none"/>
                      <w:u w:val="none"/>
                      <w:lang w:eastAsia="zh-CN"/>
                    </w:rPr>
                    <w:t>距厂界最近</w:t>
                  </w:r>
                  <w:r>
                    <w:rPr>
                      <w:rFonts w:hint="default" w:ascii="Times New Roman" w:hAnsi="Times New Roman" w:cs="Times New Roman"/>
                      <w:b/>
                      <w:bCs/>
                      <w:snapToGrid w:val="0"/>
                      <w:color w:val="auto"/>
                      <w:szCs w:val="21"/>
                      <w:highlight w:val="none"/>
                      <w:u w:val="none"/>
                    </w:rPr>
                    <w:t>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9"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810"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经度</w:t>
                  </w:r>
                </w:p>
              </w:tc>
              <w:tc>
                <w:tcPr>
                  <w:tcW w:w="735" w:type="pct"/>
                  <w:noWrap w:val="0"/>
                  <w:vAlign w:val="center"/>
                </w:tcPr>
                <w:p>
                  <w:pPr>
                    <w:jc w:val="center"/>
                    <w:rPr>
                      <w:rFonts w:hint="default" w:ascii="Times New Roman" w:hAnsi="Times New Roman" w:cs="Times New Roman"/>
                      <w:snapToGrid w:val="0"/>
                      <w:color w:val="auto"/>
                      <w:szCs w:val="21"/>
                      <w:highlight w:val="none"/>
                      <w:u w:val="none"/>
                    </w:rPr>
                  </w:pPr>
                  <w:r>
                    <w:rPr>
                      <w:rFonts w:hint="default" w:ascii="Times New Roman" w:hAnsi="Times New Roman" w:cs="Times New Roman"/>
                      <w:snapToGrid w:val="0"/>
                      <w:color w:val="auto"/>
                      <w:szCs w:val="21"/>
                      <w:highlight w:val="none"/>
                      <w:u w:val="none"/>
                    </w:rPr>
                    <w:t>纬度</w:t>
                  </w:r>
                </w:p>
              </w:tc>
              <w:tc>
                <w:tcPr>
                  <w:tcW w:w="294"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78"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425"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645"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c>
                <w:tcPr>
                  <w:tcW w:w="750" w:type="pct"/>
                  <w:vMerge w:val="continue"/>
                  <w:noWrap w:val="0"/>
                  <w:vAlign w:val="center"/>
                </w:tcPr>
                <w:p>
                  <w:pPr>
                    <w:jc w:val="center"/>
                    <w:rPr>
                      <w:rFonts w:hint="default" w:ascii="Times New Roman" w:hAnsi="Times New Roman" w:cs="Times New Roman"/>
                      <w:snapToGrid w:val="0"/>
                      <w:color w:val="auto"/>
                      <w:szCs w:val="21"/>
                      <w:highlight w:val="none"/>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9"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创新创业服务中心（在建）</w:t>
                  </w:r>
                </w:p>
              </w:tc>
              <w:tc>
                <w:tcPr>
                  <w:tcW w:w="81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eastAsia="宋体" w:cs="Times New Roman"/>
                      <w:snapToGrid w:val="0"/>
                      <w:color w:val="auto"/>
                      <w:szCs w:val="21"/>
                      <w:highlight w:val="none"/>
                      <w:u w:val="none"/>
                      <w:lang w:val="en-US" w:eastAsia="zh-CN"/>
                    </w:rPr>
                    <w:t>112°55′5</w:t>
                  </w:r>
                  <w:r>
                    <w:rPr>
                      <w:rFonts w:hint="eastAsia" w:ascii="Times New Roman" w:hAnsi="Times New Roman" w:eastAsia="宋体" w:cs="Times New Roman"/>
                      <w:snapToGrid w:val="0"/>
                      <w:color w:val="auto"/>
                      <w:szCs w:val="21"/>
                      <w:highlight w:val="none"/>
                      <w:u w:val="none"/>
                      <w:lang w:val="en-US" w:eastAsia="zh-CN"/>
                    </w:rPr>
                    <w:t>2.891</w:t>
                  </w:r>
                </w:p>
              </w:tc>
              <w:tc>
                <w:tcPr>
                  <w:tcW w:w="735"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default" w:ascii="Times New Roman" w:hAnsi="Times New Roman" w:eastAsia="宋体" w:cs="Times New Roman"/>
                      <w:snapToGrid w:val="0"/>
                      <w:color w:val="auto"/>
                      <w:szCs w:val="21"/>
                      <w:highlight w:val="none"/>
                      <w:u w:val="none"/>
                      <w:lang w:val="en-US" w:eastAsia="zh-CN"/>
                    </w:rPr>
                    <w:t>28°31′</w:t>
                  </w:r>
                  <w:r>
                    <w:rPr>
                      <w:rFonts w:hint="eastAsia" w:ascii="Times New Roman" w:hAnsi="Times New Roman" w:eastAsia="宋体" w:cs="Times New Roman"/>
                      <w:snapToGrid w:val="0"/>
                      <w:color w:val="auto"/>
                      <w:szCs w:val="21"/>
                      <w:highlight w:val="none"/>
                      <w:u w:val="none"/>
                      <w:lang w:val="en-US" w:eastAsia="zh-CN"/>
                    </w:rPr>
                    <w:t>51.835</w:t>
                  </w:r>
                </w:p>
              </w:tc>
              <w:tc>
                <w:tcPr>
                  <w:tcW w:w="294" w:type="pct"/>
                  <w:noWrap w:val="0"/>
                  <w:vAlign w:val="center"/>
                </w:tcPr>
                <w:p>
                  <w:pPr>
                    <w:jc w:val="center"/>
                    <w:rPr>
                      <w:rFonts w:hint="eastAsia"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办公</w:t>
                  </w:r>
                </w:p>
              </w:tc>
              <w:tc>
                <w:tcPr>
                  <w:tcW w:w="478"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500人</w:t>
                  </w:r>
                </w:p>
              </w:tc>
              <w:tc>
                <w:tcPr>
                  <w:tcW w:w="425" w:type="pct"/>
                  <w:noWrap w:val="0"/>
                  <w:vAlign w:val="center"/>
                </w:tcPr>
                <w:p>
                  <w:pPr>
                    <w:jc w:val="center"/>
                    <w:rPr>
                      <w:rFonts w:hint="eastAsia" w:ascii="Times New Roman" w:hAnsi="Times New Roman" w:eastAsia="宋体" w:cs="Times New Roman"/>
                      <w:color w:val="auto"/>
                      <w:szCs w:val="21"/>
                      <w:highlight w:val="none"/>
                      <w:u w:val="none"/>
                      <w:lang w:eastAsia="zh-CN"/>
                    </w:rPr>
                  </w:pPr>
                  <w:r>
                    <w:rPr>
                      <w:rFonts w:hint="eastAsia" w:ascii="Times New Roman" w:hAnsi="Times New Roman"/>
                      <w:color w:val="auto"/>
                      <w:sz w:val="21"/>
                      <w:szCs w:val="21"/>
                      <w:u w:val="none"/>
                      <w:lang w:val="en-US" w:eastAsia="zh-CN"/>
                    </w:rPr>
                    <w:t>2类</w:t>
                  </w:r>
                </w:p>
              </w:tc>
              <w:tc>
                <w:tcPr>
                  <w:tcW w:w="645"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东南</w:t>
                  </w:r>
                </w:p>
              </w:tc>
              <w:tc>
                <w:tcPr>
                  <w:tcW w:w="750" w:type="pct"/>
                  <w:noWrap w:val="0"/>
                  <w:vAlign w:val="center"/>
                </w:tcPr>
                <w:p>
                  <w:pPr>
                    <w:jc w:val="center"/>
                    <w:rPr>
                      <w:rFonts w:hint="default" w:ascii="Times New Roman" w:hAnsi="Times New Roman" w:eastAsia="宋体" w:cs="Times New Roman"/>
                      <w:snapToGrid w:val="0"/>
                      <w:color w:val="auto"/>
                      <w:szCs w:val="21"/>
                      <w:highlight w:val="none"/>
                      <w:u w:val="none"/>
                      <w:lang w:val="en-US" w:eastAsia="zh-CN"/>
                    </w:rPr>
                  </w:pPr>
                  <w:r>
                    <w:rPr>
                      <w:rFonts w:hint="eastAsia" w:cs="Times New Roman"/>
                      <w:snapToGrid w:val="0"/>
                      <w:color w:val="auto"/>
                      <w:szCs w:val="21"/>
                      <w:highlight w:val="none"/>
                      <w:u w:val="none"/>
                      <w:lang w:val="en-US" w:eastAsia="zh-CN"/>
                    </w:rPr>
                    <w:t>40</w:t>
                  </w:r>
                </w:p>
              </w:tc>
            </w:tr>
          </w:tbl>
          <w:p>
            <w:pPr>
              <w:spacing w:line="240" w:lineRule="auto"/>
              <w:jc w:val="center"/>
              <w:rPr>
                <w:rFonts w:hint="default" w:ascii="Times New Roman" w:hAnsi="Times New Roman" w:cs="Times New Roman"/>
                <w:b/>
                <w:color w:val="auto"/>
                <w:sz w:val="24"/>
                <w:szCs w:val="24"/>
                <w:highlight w:val="none"/>
                <w:u w:val="none"/>
              </w:rPr>
            </w:pPr>
            <w:r>
              <w:rPr>
                <w:rFonts w:hint="default" w:ascii="Times New Roman" w:hAnsi="Times New Roman" w:cs="Times New Roman"/>
                <w:b/>
                <w:bCs/>
                <w:color w:val="auto"/>
                <w:sz w:val="24"/>
                <w:szCs w:val="32"/>
                <w:highlight w:val="none"/>
                <w:u w:val="none"/>
              </w:rPr>
              <w:t>表</w:t>
            </w:r>
            <w:r>
              <w:rPr>
                <w:rFonts w:hint="eastAsia" w:cs="Times New Roman"/>
                <w:b/>
                <w:bCs/>
                <w:color w:val="auto"/>
                <w:sz w:val="24"/>
                <w:szCs w:val="32"/>
                <w:highlight w:val="none"/>
                <w:u w:val="none"/>
                <w:lang w:val="en-US" w:eastAsia="zh-CN"/>
              </w:rPr>
              <w:t>3.5-3</w:t>
            </w:r>
            <w:r>
              <w:rPr>
                <w:rFonts w:hint="default" w:ascii="Times New Roman" w:hAnsi="Times New Roman" w:cs="Times New Roman"/>
                <w:b/>
                <w:bCs/>
                <w:color w:val="auto"/>
                <w:sz w:val="24"/>
                <w:szCs w:val="32"/>
                <w:highlight w:val="none"/>
                <w:u w:val="none"/>
              </w:rPr>
              <w:t>地表</w:t>
            </w:r>
            <w:r>
              <w:rPr>
                <w:rFonts w:hint="default" w:ascii="Times New Roman" w:hAnsi="Times New Roman" w:cs="Times New Roman"/>
                <w:b/>
                <w:color w:val="auto"/>
                <w:sz w:val="24"/>
                <w:szCs w:val="24"/>
                <w:highlight w:val="none"/>
                <w:u w:val="none"/>
              </w:rPr>
              <w:t>水环境保护目标一览表</w:t>
            </w:r>
          </w:p>
          <w:tbl>
            <w:tblPr>
              <w:tblStyle w:val="29"/>
              <w:tblW w:w="4991"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90"/>
              <w:gridCol w:w="706"/>
              <w:gridCol w:w="866"/>
              <w:gridCol w:w="48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37" w:type="pct"/>
                  <w:noWrap w:val="0"/>
                  <w:vAlign w:val="center"/>
                </w:tcPr>
                <w:p>
                  <w:pPr>
                    <w:jc w:val="center"/>
                    <w:rPr>
                      <w:rFonts w:hint="default" w:ascii="Times New Roman" w:hAnsi="Times New Roman" w:eastAsia="宋体" w:cs="Times New Roman"/>
                      <w:b/>
                      <w:bCs/>
                      <w:snapToGrid w:val="0"/>
                      <w:color w:val="auto"/>
                      <w:kern w:val="0"/>
                      <w:szCs w:val="21"/>
                      <w:highlight w:val="none"/>
                      <w:u w:val="none"/>
                      <w:lang w:val="en-US" w:eastAsia="zh-CN"/>
                    </w:rPr>
                  </w:pPr>
                  <w:r>
                    <w:rPr>
                      <w:rFonts w:hint="eastAsia" w:cs="Times New Roman"/>
                      <w:b/>
                      <w:bCs/>
                      <w:snapToGrid w:val="0"/>
                      <w:color w:val="auto"/>
                      <w:kern w:val="0"/>
                      <w:szCs w:val="21"/>
                      <w:highlight w:val="none"/>
                      <w:u w:val="none"/>
                      <w:lang w:val="en-US" w:eastAsia="zh-CN"/>
                    </w:rPr>
                    <w:t>环境保护目标</w:t>
                  </w:r>
                </w:p>
              </w:tc>
              <w:tc>
                <w:tcPr>
                  <w:tcW w:w="444" w:type="pct"/>
                  <w:noWrap w:val="0"/>
                  <w:vAlign w:val="center"/>
                </w:tcPr>
                <w:p>
                  <w:pPr>
                    <w:jc w:val="center"/>
                    <w:rPr>
                      <w:rFonts w:hint="default" w:ascii="Times New Roman" w:hAnsi="Times New Roman" w:cs="Times New Roman"/>
                      <w:b/>
                      <w:bCs/>
                      <w:snapToGrid w:val="0"/>
                      <w:color w:val="auto"/>
                      <w:kern w:val="0"/>
                      <w:szCs w:val="21"/>
                      <w:highlight w:val="none"/>
                      <w:u w:val="none"/>
                    </w:rPr>
                  </w:pPr>
                  <w:r>
                    <w:rPr>
                      <w:rFonts w:hint="default" w:ascii="Times New Roman" w:hAnsi="Times New Roman" w:cs="Times New Roman"/>
                      <w:b/>
                      <w:bCs/>
                      <w:snapToGrid w:val="0"/>
                      <w:color w:val="auto"/>
                      <w:kern w:val="0"/>
                      <w:szCs w:val="21"/>
                      <w:highlight w:val="none"/>
                      <w:u w:val="none"/>
                    </w:rPr>
                    <w:t>方位</w:t>
                  </w:r>
                </w:p>
              </w:tc>
              <w:tc>
                <w:tcPr>
                  <w:tcW w:w="544" w:type="pct"/>
                  <w:noWrap w:val="0"/>
                  <w:vAlign w:val="center"/>
                </w:tcPr>
                <w:p>
                  <w:pPr>
                    <w:jc w:val="center"/>
                    <w:rPr>
                      <w:rFonts w:hint="default" w:ascii="Times New Roman" w:hAnsi="Times New Roman" w:cs="Times New Roman"/>
                      <w:b/>
                      <w:bCs/>
                      <w:snapToGrid w:val="0"/>
                      <w:color w:val="auto"/>
                      <w:kern w:val="0"/>
                      <w:szCs w:val="21"/>
                      <w:highlight w:val="none"/>
                      <w:u w:val="none"/>
                    </w:rPr>
                  </w:pPr>
                  <w:r>
                    <w:rPr>
                      <w:rFonts w:hint="default" w:ascii="Times New Roman" w:hAnsi="Times New Roman" w:cs="Times New Roman"/>
                      <w:b/>
                      <w:bCs/>
                      <w:snapToGrid w:val="0"/>
                      <w:color w:val="auto"/>
                      <w:kern w:val="0"/>
                      <w:szCs w:val="21"/>
                      <w:highlight w:val="none"/>
                      <w:u w:val="none"/>
                    </w:rPr>
                    <w:t>距离</w:t>
                  </w:r>
                </w:p>
              </w:tc>
              <w:tc>
                <w:tcPr>
                  <w:tcW w:w="3073" w:type="pct"/>
                  <w:noWrap w:val="0"/>
                  <w:vAlign w:val="center"/>
                </w:tcPr>
                <w:p>
                  <w:pPr>
                    <w:jc w:val="center"/>
                    <w:rPr>
                      <w:rFonts w:hint="default" w:ascii="Times New Roman" w:hAnsi="Times New Roman" w:cs="Times New Roman"/>
                      <w:b/>
                      <w:bCs/>
                      <w:snapToGrid w:val="0"/>
                      <w:color w:val="auto"/>
                      <w:kern w:val="0"/>
                      <w:szCs w:val="21"/>
                      <w:highlight w:val="none"/>
                      <w:u w:val="none"/>
                    </w:rPr>
                  </w:pPr>
                  <w:r>
                    <w:rPr>
                      <w:rFonts w:hint="default" w:ascii="Times New Roman" w:hAnsi="Times New Roman" w:cs="Times New Roman"/>
                      <w:b/>
                      <w:bCs/>
                      <w:snapToGrid w:val="0"/>
                      <w:color w:val="auto"/>
                      <w:kern w:val="0"/>
                      <w:szCs w:val="21"/>
                      <w:highlight w:val="none"/>
                      <w:u w:val="none"/>
                    </w:rPr>
                    <w:t>功能规模</w:t>
                  </w:r>
                  <w:r>
                    <w:rPr>
                      <w:rFonts w:hint="eastAsia" w:cs="Times New Roman"/>
                      <w:b/>
                      <w:bCs/>
                      <w:snapToGrid w:val="0"/>
                      <w:color w:val="auto"/>
                      <w:kern w:val="0"/>
                      <w:szCs w:val="21"/>
                      <w:highlight w:val="none"/>
                      <w:u w:val="none"/>
                      <w:lang w:val="en-US" w:eastAsia="zh-CN"/>
                    </w:rPr>
                    <w:t>和</w:t>
                  </w:r>
                  <w:r>
                    <w:rPr>
                      <w:rFonts w:hint="default" w:ascii="Times New Roman" w:hAnsi="Times New Roman" w:cs="Times New Roman"/>
                      <w:b/>
                      <w:bCs/>
                      <w:snapToGrid w:val="0"/>
                      <w:color w:val="auto"/>
                      <w:kern w:val="0"/>
                      <w:szCs w:val="21"/>
                      <w:highlight w:val="none"/>
                      <w:u w:val="none"/>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37" w:type="pct"/>
                  <w:noWrap w:val="0"/>
                  <w:vAlign w:val="center"/>
                </w:tcPr>
                <w:p>
                  <w:pPr>
                    <w:jc w:val="center"/>
                    <w:rPr>
                      <w:rFonts w:hint="default" w:cs="Times New Roman"/>
                      <w:snapToGrid w:val="0"/>
                      <w:color w:val="auto"/>
                      <w:kern w:val="0"/>
                      <w:szCs w:val="21"/>
                      <w:highlight w:val="none"/>
                      <w:u w:val="single"/>
                      <w:lang w:val="en-US" w:eastAsia="zh-CN"/>
                    </w:rPr>
                  </w:pPr>
                  <w:r>
                    <w:rPr>
                      <w:rFonts w:hint="eastAsia" w:cs="Times New Roman"/>
                      <w:snapToGrid w:val="0"/>
                      <w:color w:val="auto"/>
                      <w:kern w:val="0"/>
                      <w:szCs w:val="21"/>
                      <w:highlight w:val="none"/>
                      <w:u w:val="single"/>
                      <w:lang w:val="en-US" w:eastAsia="zh-CN"/>
                    </w:rPr>
                    <w:t>洋沙湖</w:t>
                  </w:r>
                </w:p>
              </w:tc>
              <w:tc>
                <w:tcPr>
                  <w:tcW w:w="444" w:type="pct"/>
                  <w:noWrap w:val="0"/>
                  <w:vAlign w:val="center"/>
                </w:tcPr>
                <w:p>
                  <w:pPr>
                    <w:jc w:val="center"/>
                    <w:rPr>
                      <w:rFonts w:hint="eastAsia" w:ascii="Times New Roman" w:hAnsi="Times New Roman" w:eastAsia="宋体" w:cs="Times New Roman"/>
                      <w:snapToGrid w:val="0"/>
                      <w:color w:val="auto"/>
                      <w:kern w:val="0"/>
                      <w:szCs w:val="21"/>
                      <w:highlight w:val="none"/>
                      <w:u w:val="single"/>
                      <w:lang w:val="en-US" w:eastAsia="zh-CN"/>
                    </w:rPr>
                  </w:pPr>
                  <w:r>
                    <w:rPr>
                      <w:rFonts w:hint="eastAsia" w:cs="Times New Roman"/>
                      <w:snapToGrid w:val="0"/>
                      <w:color w:val="auto"/>
                      <w:kern w:val="0"/>
                      <w:szCs w:val="21"/>
                      <w:highlight w:val="none"/>
                      <w:u w:val="single"/>
                      <w:lang w:val="en-US" w:eastAsia="zh-CN"/>
                    </w:rPr>
                    <w:t>西北</w:t>
                  </w:r>
                </w:p>
              </w:tc>
              <w:tc>
                <w:tcPr>
                  <w:tcW w:w="544" w:type="pct"/>
                  <w:noWrap w:val="0"/>
                  <w:vAlign w:val="center"/>
                </w:tcPr>
                <w:p>
                  <w:pPr>
                    <w:jc w:val="center"/>
                    <w:rPr>
                      <w:rFonts w:hint="default" w:ascii="Times New Roman" w:hAnsi="Times New Roman" w:eastAsia="宋体" w:cs="Times New Roman"/>
                      <w:snapToGrid w:val="0"/>
                      <w:color w:val="auto"/>
                      <w:kern w:val="0"/>
                      <w:szCs w:val="21"/>
                      <w:highlight w:val="none"/>
                      <w:u w:val="single"/>
                      <w:lang w:val="en-US" w:eastAsia="zh-CN"/>
                    </w:rPr>
                  </w:pPr>
                  <w:r>
                    <w:rPr>
                      <w:rFonts w:hint="eastAsia" w:cs="Times New Roman"/>
                      <w:snapToGrid w:val="0"/>
                      <w:color w:val="auto"/>
                      <w:kern w:val="0"/>
                      <w:szCs w:val="21"/>
                      <w:highlight w:val="none"/>
                      <w:u w:val="single"/>
                      <w:lang w:val="en-US" w:eastAsia="zh-CN"/>
                    </w:rPr>
                    <w:t>10km</w:t>
                  </w:r>
                </w:p>
              </w:tc>
              <w:tc>
                <w:tcPr>
                  <w:tcW w:w="3073" w:type="pct"/>
                  <w:tcBorders>
                    <w:top w:val="single" w:color="auto" w:sz="4" w:space="0"/>
                    <w:bottom w:val="single" w:color="auto" w:sz="4" w:space="0"/>
                  </w:tcBorders>
                  <w:noWrap w:val="0"/>
                  <w:vAlign w:val="center"/>
                </w:tcPr>
                <w:p>
                  <w:pPr>
                    <w:jc w:val="center"/>
                    <w:rPr>
                      <w:rFonts w:hint="default" w:ascii="Times New Roman" w:hAnsi="Times New Roman" w:cs="Times New Roman"/>
                      <w:snapToGrid w:val="0"/>
                      <w:color w:val="auto"/>
                      <w:kern w:val="0"/>
                      <w:szCs w:val="21"/>
                      <w:highlight w:val="none"/>
                      <w:u w:val="single"/>
                    </w:rPr>
                  </w:pPr>
                  <w:r>
                    <w:rPr>
                      <w:rFonts w:hint="eastAsia" w:ascii="Times New Roman" w:hAnsi="Times New Roman" w:eastAsia="宋体" w:cs="Times New Roman"/>
                      <w:b w:val="0"/>
                      <w:bCs w:val="0"/>
                      <w:color w:val="auto"/>
                      <w:sz w:val="21"/>
                      <w:szCs w:val="21"/>
                      <w:u w:val="single" w:color="auto"/>
                      <w:lang w:val="en-US" w:eastAsia="zh-CN"/>
                    </w:rPr>
                    <w:t>湿地保护公园，</w:t>
                  </w:r>
                  <w:r>
                    <w:rPr>
                      <w:rFonts w:hint="default" w:ascii="Times New Roman" w:hAnsi="Times New Roman" w:cs="Times New Roman"/>
                      <w:snapToGrid w:val="0"/>
                      <w:color w:val="auto"/>
                      <w:kern w:val="0"/>
                      <w:szCs w:val="21"/>
                      <w:highlight w:val="none"/>
                      <w:u w:val="single"/>
                    </w:rPr>
                    <w:t>渔业用水区，执行《地表水环境质量标准》（GB3838-2002）Ⅲ类水质标准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37" w:type="pct"/>
                  <w:noWrap w:val="0"/>
                  <w:vAlign w:val="center"/>
                </w:tcPr>
                <w:p>
                  <w:pPr>
                    <w:jc w:val="center"/>
                    <w:rPr>
                      <w:rFonts w:hint="eastAsia" w:cs="Times New Roman"/>
                      <w:snapToGrid w:val="0"/>
                      <w:color w:val="auto"/>
                      <w:kern w:val="0"/>
                      <w:szCs w:val="21"/>
                      <w:highlight w:val="none"/>
                      <w:u w:val="single"/>
                      <w:lang w:val="en-US" w:eastAsia="zh-CN"/>
                    </w:rPr>
                  </w:pPr>
                  <w:r>
                    <w:rPr>
                      <w:rFonts w:hint="eastAsia" w:ascii="Times New Roman" w:hAnsi="Times New Roman" w:eastAsia="宋体" w:cs="Times New Roman"/>
                      <w:b w:val="0"/>
                      <w:bCs w:val="0"/>
                      <w:color w:val="auto"/>
                      <w:sz w:val="21"/>
                      <w:szCs w:val="21"/>
                      <w:u w:val="single" w:color="auto"/>
                      <w:lang w:val="en-US" w:eastAsia="zh-CN"/>
                    </w:rPr>
                    <w:t>湘江</w:t>
                  </w:r>
                </w:p>
              </w:tc>
              <w:tc>
                <w:tcPr>
                  <w:tcW w:w="444" w:type="pct"/>
                  <w:noWrap w:val="0"/>
                  <w:vAlign w:val="center"/>
                </w:tcPr>
                <w:p>
                  <w:pPr>
                    <w:jc w:val="center"/>
                    <w:rPr>
                      <w:rFonts w:hint="eastAsia" w:cs="Times New Roman"/>
                      <w:snapToGrid w:val="0"/>
                      <w:color w:val="auto"/>
                      <w:kern w:val="0"/>
                      <w:szCs w:val="21"/>
                      <w:highlight w:val="none"/>
                      <w:u w:val="single"/>
                      <w:lang w:val="en-US" w:eastAsia="zh-CN"/>
                    </w:rPr>
                  </w:pPr>
                  <w:r>
                    <w:rPr>
                      <w:rFonts w:hint="eastAsia" w:cs="Times New Roman"/>
                      <w:snapToGrid w:val="0"/>
                      <w:color w:val="auto"/>
                      <w:kern w:val="0"/>
                      <w:szCs w:val="21"/>
                      <w:highlight w:val="none"/>
                      <w:u w:val="single"/>
                      <w:lang w:val="en-US" w:eastAsia="zh-CN"/>
                    </w:rPr>
                    <w:t>西北</w:t>
                  </w:r>
                </w:p>
              </w:tc>
              <w:tc>
                <w:tcPr>
                  <w:tcW w:w="544" w:type="pct"/>
                  <w:noWrap w:val="0"/>
                  <w:vAlign w:val="center"/>
                </w:tcPr>
                <w:p>
                  <w:pPr>
                    <w:jc w:val="center"/>
                    <w:rPr>
                      <w:rFonts w:hint="default" w:cs="Times New Roman"/>
                      <w:snapToGrid w:val="0"/>
                      <w:color w:val="auto"/>
                      <w:kern w:val="0"/>
                      <w:szCs w:val="21"/>
                      <w:highlight w:val="none"/>
                      <w:u w:val="single"/>
                      <w:lang w:val="en-US" w:eastAsia="zh-CN"/>
                    </w:rPr>
                  </w:pPr>
                  <w:r>
                    <w:rPr>
                      <w:rFonts w:hint="eastAsia" w:cs="Times New Roman"/>
                      <w:snapToGrid w:val="0"/>
                      <w:color w:val="auto"/>
                      <w:kern w:val="0"/>
                      <w:szCs w:val="21"/>
                      <w:highlight w:val="none"/>
                      <w:u w:val="single"/>
                      <w:lang w:val="en-US" w:eastAsia="zh-CN"/>
                    </w:rPr>
                    <w:t>14km</w:t>
                  </w:r>
                </w:p>
              </w:tc>
              <w:tc>
                <w:tcPr>
                  <w:tcW w:w="3073" w:type="pct"/>
                  <w:tcBorders>
                    <w:top w:val="single" w:color="auto" w:sz="4" w:space="0"/>
                  </w:tcBorders>
                  <w:noWrap w:val="0"/>
                  <w:vAlign w:val="center"/>
                </w:tcPr>
                <w:p>
                  <w:pPr>
                    <w:jc w:val="center"/>
                    <w:rPr>
                      <w:rFonts w:hint="default" w:ascii="Times New Roman" w:hAnsi="Times New Roman" w:cs="Times New Roman"/>
                      <w:snapToGrid w:val="0"/>
                      <w:color w:val="auto"/>
                      <w:kern w:val="0"/>
                      <w:szCs w:val="21"/>
                      <w:highlight w:val="none"/>
                      <w:u w:val="single"/>
                    </w:rPr>
                  </w:pPr>
                  <w:r>
                    <w:rPr>
                      <w:rFonts w:hint="eastAsia" w:ascii="Times New Roman" w:hAnsi="Times New Roman" w:eastAsia="宋体" w:cs="Times New Roman"/>
                      <w:b w:val="0"/>
                      <w:bCs w:val="0"/>
                      <w:color w:val="auto"/>
                      <w:sz w:val="21"/>
                      <w:szCs w:val="21"/>
                      <w:u w:val="single" w:color="auto"/>
                      <w:lang w:val="en-US" w:eastAsia="zh-CN"/>
                    </w:rPr>
                    <w:t>大河，</w:t>
                  </w:r>
                  <w:r>
                    <w:rPr>
                      <w:rFonts w:hint="default" w:ascii="Times New Roman" w:hAnsi="Times New Roman" w:cs="Times New Roman"/>
                      <w:snapToGrid w:val="0"/>
                      <w:color w:val="auto"/>
                      <w:kern w:val="0"/>
                      <w:szCs w:val="21"/>
                      <w:highlight w:val="none"/>
                      <w:u w:val="single"/>
                    </w:rPr>
                    <w:t>渔业用水区，执行《地表水环境质量标准》（GB3838-2002）Ⅲ类水质标准</w:t>
                  </w:r>
                </w:p>
              </w:tc>
            </w:tr>
          </w:tbl>
          <w:p>
            <w:pPr>
              <w:adjustRightInd w:val="0"/>
              <w:snapToGrid w:val="0"/>
              <w:jc w:val="both"/>
              <w:rPr>
                <w:rFonts w:hint="default" w:ascii="Times New Roman" w:hAnsi="Times New Roman" w:cs="Times New Roman"/>
                <w:color w:val="auto"/>
                <w:kern w:val="0"/>
                <w:szCs w:val="21"/>
                <w:highlight w:val="none"/>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污染</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物排</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放控</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制标</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准</w:t>
            </w:r>
          </w:p>
        </w:tc>
        <w:tc>
          <w:tcPr>
            <w:tcW w:w="8190" w:type="dxa"/>
            <w:noWrap w:val="0"/>
            <w:vAlign w:val="center"/>
          </w:tcPr>
          <w:p>
            <w:pPr>
              <w:pStyle w:val="56"/>
              <w:bidi w:val="0"/>
              <w:rPr>
                <w:rFonts w:hint="default"/>
                <w:color w:val="auto"/>
                <w:sz w:val="24"/>
                <w:szCs w:val="24"/>
                <w:highlight w:val="none"/>
                <w:u w:val="none"/>
              </w:rPr>
            </w:pPr>
            <w:r>
              <w:rPr>
                <w:rFonts w:hint="default"/>
                <w:color w:val="auto"/>
                <w:sz w:val="24"/>
                <w:szCs w:val="24"/>
                <w:highlight w:val="none"/>
                <w:u w:val="none"/>
              </w:rPr>
              <w:t>1、大气污染物</w:t>
            </w:r>
          </w:p>
          <w:p>
            <w:pPr>
              <w:pStyle w:val="62"/>
              <w:bidi w:val="0"/>
              <w:rPr>
                <w:rFonts w:hint="eastAsia" w:ascii="Times New Roman" w:hAnsi="Times New Roman" w:eastAsia="宋体"/>
                <w:bCs/>
                <w:color w:val="auto"/>
                <w:sz w:val="24"/>
                <w:szCs w:val="24"/>
                <w:highlight w:val="none"/>
                <w:lang w:eastAsia="zh-CN"/>
              </w:rPr>
            </w:pPr>
            <w:r>
              <w:rPr>
                <w:rFonts w:hint="eastAsia"/>
                <w:color w:val="auto"/>
                <w:sz w:val="24"/>
                <w:szCs w:val="24"/>
                <w:highlight w:val="none"/>
                <w:u w:val="none"/>
                <w:lang w:val="en-US" w:eastAsia="zh-CN"/>
              </w:rPr>
              <w:t>本次改扩建项目不锈钢焊丝生产线仅涉及酸电解金属表面处理，硫酸雾废气单独收集处理，因此有组织排放的硫酸雾</w:t>
            </w:r>
            <w:r>
              <w:rPr>
                <w:rFonts w:hint="eastAsia"/>
                <w:bCs/>
                <w:color w:val="auto"/>
                <w:sz w:val="24"/>
                <w:szCs w:val="24"/>
                <w:highlight w:val="none"/>
                <w:lang w:eastAsia="zh-CN"/>
              </w:rPr>
              <w:t>执行</w:t>
            </w:r>
            <w:r>
              <w:rPr>
                <w:rFonts w:ascii="Times New Roman" w:hAnsi="Times New Roman"/>
                <w:bCs/>
                <w:color w:val="auto"/>
                <w:sz w:val="24"/>
                <w:szCs w:val="24"/>
                <w:highlight w:val="none"/>
              </w:rPr>
              <w:t>《大气污染物</w:t>
            </w:r>
            <w:r>
              <w:rPr>
                <w:rFonts w:hint="eastAsia" w:ascii="Times New Roman" w:hAnsi="Times New Roman"/>
                <w:bCs/>
                <w:color w:val="auto"/>
                <w:sz w:val="24"/>
                <w:szCs w:val="24"/>
                <w:highlight w:val="none"/>
                <w:lang w:val="en-US" w:eastAsia="zh-CN"/>
              </w:rPr>
              <w:t>综合</w:t>
            </w:r>
            <w:r>
              <w:rPr>
                <w:rFonts w:ascii="Times New Roman" w:hAnsi="Times New Roman"/>
                <w:bCs/>
                <w:color w:val="auto"/>
                <w:sz w:val="24"/>
                <w:szCs w:val="24"/>
                <w:highlight w:val="none"/>
              </w:rPr>
              <w:t>排放标准》（GB</w:t>
            </w:r>
            <w:r>
              <w:rPr>
                <w:rFonts w:hint="eastAsia" w:ascii="Times New Roman" w:hAnsi="Times New Roman"/>
                <w:bCs/>
                <w:color w:val="auto"/>
                <w:sz w:val="24"/>
                <w:szCs w:val="24"/>
                <w:highlight w:val="none"/>
                <w:lang w:val="en-US" w:eastAsia="zh-CN"/>
              </w:rPr>
              <w:t>16297-1996</w:t>
            </w:r>
            <w:r>
              <w:rPr>
                <w:rFonts w:ascii="Times New Roman" w:hAnsi="Times New Roman"/>
                <w:bCs/>
                <w:color w:val="auto"/>
                <w:sz w:val="24"/>
                <w:szCs w:val="24"/>
                <w:highlight w:val="none"/>
              </w:rPr>
              <w:t>）表</w:t>
            </w:r>
            <w:r>
              <w:rPr>
                <w:rFonts w:hint="eastAsia" w:ascii="Times New Roman" w:hAnsi="Times New Roman"/>
                <w:bCs/>
                <w:color w:val="auto"/>
                <w:sz w:val="24"/>
                <w:szCs w:val="24"/>
                <w:highlight w:val="none"/>
                <w:lang w:val="en-US" w:eastAsia="zh-CN"/>
              </w:rPr>
              <w:t>2中二级排放标准限值；</w:t>
            </w:r>
            <w:r>
              <w:rPr>
                <w:rFonts w:hint="eastAsia"/>
                <w:color w:val="auto"/>
                <w:sz w:val="24"/>
                <w:szCs w:val="24"/>
                <w:highlight w:val="none"/>
                <w:u w:val="none"/>
                <w:vertAlign w:val="baseline"/>
                <w:lang w:val="en-US" w:eastAsia="zh-CN"/>
              </w:rPr>
              <w:t>配粉产生的</w:t>
            </w:r>
            <w:r>
              <w:rPr>
                <w:rFonts w:hint="eastAsia"/>
                <w:bCs/>
                <w:color w:val="auto"/>
                <w:sz w:val="24"/>
                <w:szCs w:val="24"/>
                <w:highlight w:val="none"/>
                <w:lang w:eastAsia="zh-CN"/>
              </w:rPr>
              <w:t>颗粒物执行</w:t>
            </w:r>
            <w:r>
              <w:rPr>
                <w:rFonts w:ascii="Times New Roman" w:hAnsi="Times New Roman"/>
                <w:bCs/>
                <w:color w:val="auto"/>
                <w:sz w:val="24"/>
                <w:szCs w:val="24"/>
                <w:highlight w:val="none"/>
              </w:rPr>
              <w:t>《大气污染物</w:t>
            </w:r>
            <w:r>
              <w:rPr>
                <w:rFonts w:hint="eastAsia" w:ascii="Times New Roman" w:hAnsi="Times New Roman"/>
                <w:bCs/>
                <w:color w:val="auto"/>
                <w:sz w:val="24"/>
                <w:szCs w:val="24"/>
                <w:highlight w:val="none"/>
                <w:lang w:val="en-US" w:eastAsia="zh-CN"/>
              </w:rPr>
              <w:t>综合</w:t>
            </w:r>
            <w:r>
              <w:rPr>
                <w:rFonts w:ascii="Times New Roman" w:hAnsi="Times New Roman"/>
                <w:bCs/>
                <w:color w:val="auto"/>
                <w:sz w:val="24"/>
                <w:szCs w:val="24"/>
                <w:highlight w:val="none"/>
              </w:rPr>
              <w:t>排放标准》（GB</w:t>
            </w:r>
            <w:r>
              <w:rPr>
                <w:rFonts w:hint="eastAsia" w:ascii="Times New Roman" w:hAnsi="Times New Roman"/>
                <w:bCs/>
                <w:color w:val="auto"/>
                <w:sz w:val="24"/>
                <w:szCs w:val="24"/>
                <w:highlight w:val="none"/>
                <w:lang w:val="en-US" w:eastAsia="zh-CN"/>
              </w:rPr>
              <w:t>16297-1996</w:t>
            </w:r>
            <w:r>
              <w:rPr>
                <w:rFonts w:ascii="Times New Roman" w:hAnsi="Times New Roman"/>
                <w:bCs/>
                <w:color w:val="auto"/>
                <w:sz w:val="24"/>
                <w:szCs w:val="24"/>
                <w:highlight w:val="none"/>
              </w:rPr>
              <w:t>）表</w:t>
            </w:r>
            <w:r>
              <w:rPr>
                <w:rFonts w:hint="eastAsia" w:ascii="Times New Roman" w:hAnsi="Times New Roman"/>
                <w:bCs/>
                <w:color w:val="auto"/>
                <w:sz w:val="24"/>
                <w:szCs w:val="24"/>
                <w:highlight w:val="none"/>
                <w:lang w:val="en-US" w:eastAsia="zh-CN"/>
              </w:rPr>
              <w:t>2中二级排放标准限值</w:t>
            </w:r>
            <w:r>
              <w:rPr>
                <w:rFonts w:hint="eastAsia"/>
                <w:bCs/>
                <w:color w:val="auto"/>
                <w:sz w:val="24"/>
                <w:szCs w:val="24"/>
                <w:highlight w:val="none"/>
                <w:lang w:val="en-US" w:eastAsia="zh-CN"/>
              </w:rPr>
              <w:t>。</w:t>
            </w:r>
          </w:p>
          <w:p>
            <w:pPr>
              <w:pStyle w:val="62"/>
              <w:bidi w:val="0"/>
              <w:rPr>
                <w:rFonts w:hint="default" w:ascii="Times New Roman" w:hAnsi="Times New Roman" w:eastAsia="宋体"/>
                <w:bCs/>
                <w:color w:val="auto"/>
                <w:sz w:val="24"/>
                <w:szCs w:val="24"/>
                <w:highlight w:val="none"/>
                <w:lang w:val="en-US" w:eastAsia="zh-CN"/>
              </w:rPr>
            </w:pPr>
            <w:r>
              <w:rPr>
                <w:rFonts w:hint="eastAsia" w:ascii="Times New Roman" w:hAnsi="Times New Roman"/>
                <w:bCs/>
                <w:color w:val="auto"/>
                <w:sz w:val="24"/>
                <w:szCs w:val="24"/>
                <w:highlight w:val="none"/>
                <w:u w:val="none"/>
              </w:rPr>
              <w:t>注塑工序排放的非甲烷总烃</w:t>
            </w:r>
            <w:r>
              <w:rPr>
                <w:rFonts w:hint="eastAsia"/>
                <w:bCs/>
                <w:color w:val="auto"/>
                <w:sz w:val="24"/>
                <w:szCs w:val="24"/>
                <w:highlight w:val="none"/>
                <w:u w:val="none"/>
                <w:lang w:eastAsia="zh-CN"/>
              </w:rPr>
              <w:t>、苯、甲苯、乙苯、苯乙烯等</w:t>
            </w:r>
            <w:r>
              <w:rPr>
                <w:rFonts w:hint="eastAsia" w:ascii="Times New Roman" w:hAnsi="Times New Roman"/>
                <w:bCs/>
                <w:color w:val="auto"/>
                <w:sz w:val="24"/>
                <w:szCs w:val="24"/>
                <w:highlight w:val="none"/>
                <w:u w:val="none"/>
              </w:rPr>
              <w:t>执行《合成树脂工业污染物排放标准》(GB31572-2015)</w:t>
            </w:r>
            <w:r>
              <w:rPr>
                <w:rFonts w:hint="eastAsia"/>
                <w:bCs/>
                <w:color w:val="auto"/>
                <w:sz w:val="24"/>
                <w:szCs w:val="24"/>
                <w:highlight w:val="none"/>
                <w:u w:val="none"/>
                <w:lang w:val="en-US" w:eastAsia="zh-CN"/>
              </w:rPr>
              <w:t>及2024修改单</w:t>
            </w:r>
            <w:r>
              <w:rPr>
                <w:rFonts w:hint="eastAsia" w:ascii="Times New Roman" w:hAnsi="Times New Roman"/>
                <w:bCs/>
                <w:color w:val="auto"/>
                <w:sz w:val="24"/>
                <w:szCs w:val="24"/>
                <w:highlight w:val="none"/>
                <w:u w:val="none"/>
              </w:rPr>
              <w:t>表5中大气污染物特别排放限值。</w:t>
            </w:r>
            <w:r>
              <w:rPr>
                <w:rFonts w:hint="eastAsia"/>
                <w:bCs/>
                <w:color w:val="auto"/>
                <w:sz w:val="24"/>
                <w:szCs w:val="24"/>
                <w:highlight w:val="none"/>
                <w:u w:val="none"/>
                <w:lang w:eastAsia="zh-CN"/>
              </w:rPr>
              <w:t>二甲苯参照</w:t>
            </w:r>
            <w:r>
              <w:rPr>
                <w:rFonts w:hint="eastAsia"/>
                <w:bCs/>
                <w:color w:val="auto"/>
                <w:sz w:val="24"/>
                <w:szCs w:val="24"/>
                <w:highlight w:val="none"/>
                <w:lang w:eastAsia="zh-CN"/>
              </w:rPr>
              <w:t>执行</w:t>
            </w:r>
            <w:r>
              <w:rPr>
                <w:rFonts w:ascii="Times New Roman" w:hAnsi="Times New Roman"/>
                <w:bCs/>
                <w:color w:val="auto"/>
                <w:sz w:val="24"/>
                <w:szCs w:val="24"/>
                <w:highlight w:val="none"/>
              </w:rPr>
              <w:t>《大气污染物</w:t>
            </w:r>
            <w:r>
              <w:rPr>
                <w:rFonts w:hint="eastAsia" w:ascii="Times New Roman" w:hAnsi="Times New Roman"/>
                <w:bCs/>
                <w:color w:val="auto"/>
                <w:sz w:val="24"/>
                <w:szCs w:val="24"/>
                <w:highlight w:val="none"/>
                <w:lang w:val="en-US" w:eastAsia="zh-CN"/>
              </w:rPr>
              <w:t>综合</w:t>
            </w:r>
            <w:r>
              <w:rPr>
                <w:rFonts w:ascii="Times New Roman" w:hAnsi="Times New Roman"/>
                <w:bCs/>
                <w:color w:val="auto"/>
                <w:sz w:val="24"/>
                <w:szCs w:val="24"/>
                <w:highlight w:val="none"/>
              </w:rPr>
              <w:t>排放标准》（GB</w:t>
            </w:r>
            <w:r>
              <w:rPr>
                <w:rFonts w:hint="eastAsia" w:ascii="Times New Roman" w:hAnsi="Times New Roman"/>
                <w:bCs/>
                <w:color w:val="auto"/>
                <w:sz w:val="24"/>
                <w:szCs w:val="24"/>
                <w:highlight w:val="none"/>
                <w:lang w:val="en-US" w:eastAsia="zh-CN"/>
              </w:rPr>
              <w:t>16297-1996</w:t>
            </w:r>
            <w:r>
              <w:rPr>
                <w:rFonts w:ascii="Times New Roman" w:hAnsi="Times New Roman"/>
                <w:bCs/>
                <w:color w:val="auto"/>
                <w:sz w:val="24"/>
                <w:szCs w:val="24"/>
                <w:highlight w:val="none"/>
              </w:rPr>
              <w:t>）表</w:t>
            </w:r>
            <w:r>
              <w:rPr>
                <w:rFonts w:hint="eastAsia" w:ascii="Times New Roman" w:hAnsi="Times New Roman"/>
                <w:bCs/>
                <w:color w:val="auto"/>
                <w:sz w:val="24"/>
                <w:szCs w:val="24"/>
                <w:highlight w:val="none"/>
                <w:lang w:val="en-US" w:eastAsia="zh-CN"/>
              </w:rPr>
              <w:t>2中二级排放标准限值</w:t>
            </w:r>
            <w:r>
              <w:rPr>
                <w:rFonts w:hint="eastAsia"/>
                <w:bCs/>
                <w:color w:val="auto"/>
                <w:sz w:val="24"/>
                <w:szCs w:val="24"/>
                <w:highlight w:val="none"/>
                <w:lang w:val="en-US" w:eastAsia="zh-CN"/>
              </w:rPr>
              <w:t>。</w:t>
            </w:r>
            <w:r>
              <w:rPr>
                <w:rFonts w:hint="eastAsia"/>
                <w:bCs/>
                <w:color w:val="auto"/>
                <w:sz w:val="24"/>
                <w:szCs w:val="24"/>
                <w:highlight w:val="none"/>
                <w:u w:val="none"/>
                <w:lang w:val="en-US" w:eastAsia="zh-CN"/>
              </w:rPr>
              <w:t>臭气浓度执行</w:t>
            </w:r>
            <w:r>
              <w:rPr>
                <w:rFonts w:hint="eastAsia" w:ascii="Times New Roman" w:hAnsi="Times New Roman"/>
                <w:bCs/>
                <w:color w:val="auto"/>
                <w:sz w:val="24"/>
                <w:szCs w:val="24"/>
                <w:highlight w:val="none"/>
                <w:lang w:val="en-US" w:eastAsia="zh-CN"/>
              </w:rPr>
              <w:t>《恶臭污染物排放标准》（GB14554-93）</w:t>
            </w:r>
            <w:r>
              <w:rPr>
                <w:rFonts w:hint="eastAsia"/>
                <w:bCs/>
                <w:color w:val="auto"/>
                <w:sz w:val="24"/>
                <w:szCs w:val="24"/>
                <w:highlight w:val="none"/>
                <w:lang w:val="en-US" w:eastAsia="zh-CN"/>
              </w:rPr>
              <w:t>中表2排放标准值。</w:t>
            </w:r>
          </w:p>
          <w:p>
            <w:pPr>
              <w:pStyle w:val="62"/>
              <w:bidi w:val="0"/>
              <w:rPr>
                <w:color w:val="auto"/>
                <w:sz w:val="24"/>
                <w:szCs w:val="24"/>
                <w:highlight w:val="none"/>
                <w:u w:val="none"/>
              </w:rPr>
            </w:pPr>
            <w:r>
              <w:rPr>
                <w:rFonts w:ascii="Times New Roman" w:hAnsi="Times New Roman"/>
                <w:bCs/>
                <w:color w:val="auto"/>
                <w:sz w:val="24"/>
                <w:szCs w:val="24"/>
                <w:highlight w:val="none"/>
              </w:rPr>
              <w:t>颗粒物、</w:t>
            </w:r>
            <w:r>
              <w:rPr>
                <w:rFonts w:hint="eastAsia"/>
                <w:bCs/>
                <w:color w:val="auto"/>
                <w:sz w:val="24"/>
                <w:szCs w:val="24"/>
                <w:highlight w:val="none"/>
                <w:lang w:val="en-US" w:eastAsia="zh-CN"/>
              </w:rPr>
              <w:t>硫酸雾</w:t>
            </w:r>
            <w:r>
              <w:rPr>
                <w:rFonts w:ascii="Times New Roman" w:hAnsi="Times New Roman"/>
                <w:bCs/>
                <w:color w:val="auto"/>
                <w:sz w:val="24"/>
                <w:szCs w:val="24"/>
                <w:highlight w:val="none"/>
              </w:rPr>
              <w:t>厂界无组织排放执行《大气污染物</w:t>
            </w:r>
            <w:r>
              <w:rPr>
                <w:rFonts w:hint="eastAsia" w:ascii="Times New Roman" w:hAnsi="Times New Roman"/>
                <w:bCs/>
                <w:color w:val="auto"/>
                <w:sz w:val="24"/>
                <w:szCs w:val="24"/>
                <w:highlight w:val="none"/>
                <w:lang w:val="en-US" w:eastAsia="zh-CN"/>
              </w:rPr>
              <w:t>综合</w:t>
            </w:r>
            <w:r>
              <w:rPr>
                <w:rFonts w:ascii="Times New Roman" w:hAnsi="Times New Roman"/>
                <w:bCs/>
                <w:color w:val="auto"/>
                <w:sz w:val="24"/>
                <w:szCs w:val="24"/>
                <w:highlight w:val="none"/>
              </w:rPr>
              <w:t>排放标准》（GB</w:t>
            </w:r>
            <w:r>
              <w:rPr>
                <w:rFonts w:hint="eastAsia" w:ascii="Times New Roman" w:hAnsi="Times New Roman"/>
                <w:bCs/>
                <w:color w:val="auto"/>
                <w:sz w:val="24"/>
                <w:szCs w:val="24"/>
                <w:highlight w:val="none"/>
                <w:lang w:val="en-US" w:eastAsia="zh-CN"/>
              </w:rPr>
              <w:t>16297-1996</w:t>
            </w:r>
            <w:r>
              <w:rPr>
                <w:rFonts w:ascii="Times New Roman" w:hAnsi="Times New Roman"/>
                <w:bCs/>
                <w:color w:val="auto"/>
                <w:sz w:val="24"/>
                <w:szCs w:val="24"/>
                <w:highlight w:val="none"/>
              </w:rPr>
              <w:t>）表</w:t>
            </w:r>
            <w:r>
              <w:rPr>
                <w:rFonts w:hint="eastAsia" w:ascii="Times New Roman" w:hAnsi="Times New Roman"/>
                <w:bCs/>
                <w:color w:val="auto"/>
                <w:sz w:val="24"/>
                <w:szCs w:val="24"/>
                <w:highlight w:val="none"/>
                <w:lang w:val="en-US" w:eastAsia="zh-CN"/>
              </w:rPr>
              <w:t>2中</w:t>
            </w:r>
            <w:r>
              <w:rPr>
                <w:rFonts w:ascii="Times New Roman" w:hAnsi="Times New Roman"/>
                <w:bCs/>
                <w:color w:val="auto"/>
                <w:sz w:val="24"/>
                <w:szCs w:val="24"/>
                <w:highlight w:val="none"/>
              </w:rPr>
              <w:t>无组织排放限值要求</w:t>
            </w:r>
            <w:r>
              <w:rPr>
                <w:rFonts w:hint="eastAsia"/>
                <w:bCs/>
                <w:color w:val="auto"/>
                <w:sz w:val="24"/>
                <w:szCs w:val="24"/>
                <w:highlight w:val="none"/>
                <w:lang w:eastAsia="zh-CN"/>
              </w:rPr>
              <w:t>；</w:t>
            </w:r>
            <w:r>
              <w:rPr>
                <w:rFonts w:hint="eastAsia" w:ascii="Times New Roman" w:hAnsi="Times New Roman"/>
                <w:bCs/>
                <w:color w:val="auto"/>
                <w:sz w:val="24"/>
                <w:szCs w:val="24"/>
                <w:highlight w:val="none"/>
                <w:u w:val="none"/>
              </w:rPr>
              <w:t>非甲烷总烃</w:t>
            </w:r>
            <w:r>
              <w:rPr>
                <w:rFonts w:hint="eastAsia"/>
                <w:bCs/>
                <w:color w:val="auto"/>
                <w:sz w:val="24"/>
                <w:szCs w:val="24"/>
                <w:highlight w:val="none"/>
                <w:u w:val="none"/>
                <w:lang w:eastAsia="zh-CN"/>
              </w:rPr>
              <w:t>、苯、甲苯</w:t>
            </w:r>
            <w:r>
              <w:rPr>
                <w:rFonts w:hint="eastAsia"/>
                <w:bCs/>
                <w:color w:val="auto"/>
                <w:sz w:val="24"/>
                <w:szCs w:val="24"/>
                <w:highlight w:val="none"/>
                <w:u w:val="none"/>
                <w:lang w:val="en-US" w:eastAsia="zh-CN"/>
              </w:rPr>
              <w:t>厂界</w:t>
            </w:r>
            <w:r>
              <w:rPr>
                <w:rFonts w:hint="eastAsia" w:ascii="Times New Roman" w:hAnsi="Times New Roman"/>
                <w:bCs/>
                <w:color w:val="auto"/>
                <w:sz w:val="24"/>
                <w:szCs w:val="24"/>
                <w:highlight w:val="none"/>
                <w:u w:val="none"/>
              </w:rPr>
              <w:t>执行《合成树脂工业污染物排放标准》(GB31572-2015)</w:t>
            </w:r>
            <w:r>
              <w:rPr>
                <w:rFonts w:hint="eastAsia"/>
                <w:bCs/>
                <w:color w:val="auto"/>
                <w:sz w:val="24"/>
                <w:szCs w:val="24"/>
                <w:highlight w:val="none"/>
                <w:u w:val="none"/>
                <w:lang w:val="en-US" w:eastAsia="zh-CN"/>
              </w:rPr>
              <w:t>及2024修改单</w:t>
            </w:r>
            <w:r>
              <w:rPr>
                <w:rFonts w:hint="eastAsia" w:ascii="Times New Roman" w:hAnsi="Times New Roman"/>
                <w:bCs/>
                <w:color w:val="auto"/>
                <w:sz w:val="24"/>
                <w:szCs w:val="24"/>
                <w:highlight w:val="none"/>
                <w:u w:val="none"/>
              </w:rPr>
              <w:t>表</w:t>
            </w:r>
            <w:r>
              <w:rPr>
                <w:rFonts w:hint="eastAsia"/>
                <w:bCs/>
                <w:color w:val="auto"/>
                <w:sz w:val="24"/>
                <w:szCs w:val="24"/>
                <w:highlight w:val="none"/>
                <w:u w:val="none"/>
                <w:lang w:val="en-US" w:eastAsia="zh-CN"/>
              </w:rPr>
              <w:t>9</w:t>
            </w:r>
            <w:r>
              <w:rPr>
                <w:rFonts w:hint="eastAsia" w:ascii="Times New Roman" w:hAnsi="Times New Roman"/>
                <w:bCs/>
                <w:color w:val="auto"/>
                <w:sz w:val="24"/>
                <w:szCs w:val="24"/>
                <w:highlight w:val="none"/>
                <w:u w:val="none"/>
              </w:rPr>
              <w:t>中</w:t>
            </w:r>
            <w:r>
              <w:rPr>
                <w:rFonts w:hint="eastAsia"/>
                <w:color w:val="auto"/>
                <w:kern w:val="2"/>
                <w:sz w:val="24"/>
                <w:szCs w:val="24"/>
                <w:u w:val="none" w:color="auto"/>
                <w:lang w:val="en-US" w:eastAsia="zh-CN" w:bidi="ar"/>
              </w:rPr>
              <w:t>排放限值</w:t>
            </w:r>
            <w:r>
              <w:rPr>
                <w:rFonts w:hint="eastAsia"/>
                <w:bCs/>
                <w:color w:val="auto"/>
                <w:sz w:val="24"/>
                <w:szCs w:val="24"/>
                <w:highlight w:val="none"/>
                <w:u w:val="none"/>
                <w:lang w:eastAsia="zh-CN"/>
              </w:rPr>
              <w:t>；</w:t>
            </w:r>
            <w:r>
              <w:rPr>
                <w:rFonts w:hint="eastAsia"/>
                <w:bCs/>
                <w:color w:val="auto"/>
                <w:sz w:val="24"/>
                <w:szCs w:val="24"/>
                <w:highlight w:val="none"/>
                <w:u w:val="none"/>
                <w:lang w:val="en-US" w:eastAsia="zh-CN"/>
              </w:rPr>
              <w:t>臭气浓度、</w:t>
            </w:r>
            <w:r>
              <w:rPr>
                <w:rFonts w:hint="eastAsia" w:ascii="Times New Roman" w:hAnsi="Times New Roman"/>
                <w:bCs/>
                <w:color w:val="auto"/>
                <w:sz w:val="24"/>
                <w:szCs w:val="24"/>
                <w:highlight w:val="none"/>
                <w:lang w:val="en-US" w:eastAsia="zh-CN"/>
              </w:rPr>
              <w:t>氨厂界无组织排放执行《恶臭污染物排放标准》（GB14554-93）中表1中二级标准</w:t>
            </w:r>
            <w:r>
              <w:rPr>
                <w:rFonts w:hint="eastAsia"/>
                <w:bCs/>
                <w:color w:val="auto"/>
                <w:sz w:val="24"/>
                <w:szCs w:val="24"/>
                <w:highlight w:val="none"/>
                <w:lang w:val="en-US" w:eastAsia="zh-CN"/>
              </w:rPr>
              <w:t>；</w:t>
            </w:r>
            <w:r>
              <w:rPr>
                <w:rFonts w:ascii="Times New Roman" w:hAnsi="Times New Roman"/>
                <w:color w:val="auto"/>
                <w:kern w:val="2"/>
                <w:sz w:val="24"/>
                <w:szCs w:val="24"/>
                <w:u w:val="none" w:color="auto"/>
                <w:lang w:val="en-US" w:eastAsia="zh-CN" w:bidi="ar"/>
              </w:rPr>
              <w:t>厂</w:t>
            </w:r>
            <w:r>
              <w:rPr>
                <w:rFonts w:hint="eastAsia" w:ascii="Times New Roman" w:hAnsi="Times New Roman"/>
                <w:color w:val="auto"/>
                <w:kern w:val="2"/>
                <w:sz w:val="24"/>
                <w:szCs w:val="24"/>
                <w:u w:val="none" w:color="auto"/>
                <w:lang w:val="en-US" w:eastAsia="zh-CN" w:bidi="ar"/>
              </w:rPr>
              <w:t>区</w:t>
            </w:r>
            <w:r>
              <w:rPr>
                <w:rFonts w:ascii="Times New Roman" w:hAnsi="Times New Roman"/>
                <w:color w:val="auto"/>
                <w:kern w:val="2"/>
                <w:sz w:val="24"/>
                <w:szCs w:val="24"/>
                <w:u w:val="none" w:color="auto"/>
                <w:lang w:val="en-US" w:eastAsia="zh-CN" w:bidi="ar"/>
              </w:rPr>
              <w:t>内</w:t>
            </w:r>
            <w:r>
              <w:rPr>
                <w:rFonts w:ascii="Times New Roman" w:hAnsi="Times New Roman"/>
                <w:bCs/>
                <w:color w:val="auto"/>
                <w:sz w:val="24"/>
                <w:szCs w:val="24"/>
                <w:u w:val="none" w:color="auto"/>
                <w:lang w:val="en-US" w:eastAsia="zh-CN"/>
              </w:rPr>
              <w:t>VOC</w:t>
            </w:r>
            <w:r>
              <w:rPr>
                <w:rFonts w:ascii="Times New Roman" w:hAnsi="Times New Roman"/>
                <w:bCs/>
                <w:color w:val="auto"/>
                <w:sz w:val="24"/>
                <w:szCs w:val="24"/>
                <w:u w:val="none" w:color="auto"/>
                <w:vertAlign w:val="subscript"/>
                <w:lang w:val="en-US" w:eastAsia="zh-CN"/>
              </w:rPr>
              <w:t>S</w:t>
            </w:r>
            <w:r>
              <w:rPr>
                <w:rFonts w:ascii="Times New Roman" w:hAnsi="Times New Roman"/>
                <w:color w:val="auto"/>
                <w:kern w:val="2"/>
                <w:sz w:val="24"/>
                <w:szCs w:val="24"/>
                <w:u w:val="none" w:color="auto"/>
                <w:lang w:val="en-US" w:eastAsia="zh-CN" w:bidi="ar"/>
              </w:rPr>
              <w:t>无组织监控点浓度执行《挥发性有机物无组织排放控制标准》（GB37822-2019）表A1标准限值</w:t>
            </w:r>
            <w:r>
              <w:rPr>
                <w:rFonts w:hint="eastAsia"/>
                <w:color w:val="auto"/>
                <w:kern w:val="2"/>
                <w:sz w:val="24"/>
                <w:szCs w:val="24"/>
                <w:u w:val="none" w:color="auto"/>
                <w:lang w:val="en-US" w:eastAsia="zh-CN" w:bidi="ar"/>
              </w:rPr>
              <w:t>中排放限值</w:t>
            </w:r>
            <w:r>
              <w:rPr>
                <w:rFonts w:ascii="Times New Roman" w:hAnsi="Times New Roman"/>
                <w:color w:val="auto"/>
                <w:kern w:val="2"/>
                <w:sz w:val="24"/>
                <w:szCs w:val="24"/>
                <w:u w:val="none" w:color="auto"/>
                <w:lang w:val="en-US" w:eastAsia="zh-CN" w:bidi="ar"/>
              </w:rPr>
              <w:t>。</w:t>
            </w:r>
            <w:r>
              <w:rPr>
                <w:rFonts w:ascii="Times New Roman" w:hAnsi="Times New Roman"/>
                <w:bCs/>
                <w:color w:val="auto"/>
                <w:sz w:val="24"/>
                <w:szCs w:val="24"/>
                <w:highlight w:val="none"/>
              </w:rPr>
              <w:t>具体标准见下表。</w:t>
            </w:r>
          </w:p>
          <w:p>
            <w:pPr>
              <w:pStyle w:val="60"/>
              <w:spacing w:line="240" w:lineRule="auto"/>
              <w:rPr>
                <w:rFonts w:hint="eastAsia"/>
                <w:color w:val="auto"/>
                <w:sz w:val="24"/>
                <w:szCs w:val="24"/>
                <w:highlight w:val="none"/>
                <w:u w:val="none"/>
                <w:lang w:val="en-US" w:eastAsia="zh-CN"/>
              </w:rPr>
            </w:pPr>
            <w:r>
              <w:rPr>
                <w:rFonts w:hint="eastAsia"/>
                <w:color w:val="auto"/>
                <w:sz w:val="24"/>
                <w:szCs w:val="24"/>
                <w:highlight w:val="none"/>
                <w:u w:val="none"/>
                <w:lang w:val="en-US" w:eastAsia="zh-CN"/>
              </w:rPr>
              <w:t>表3.6-1大气污染物排放标准</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084"/>
              <w:gridCol w:w="1497"/>
              <w:gridCol w:w="600"/>
              <w:gridCol w:w="1108"/>
              <w:gridCol w:w="1425"/>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trPr>
              <w:tc>
                <w:tcPr>
                  <w:tcW w:w="680" w:type="pct"/>
                  <w:noWrap w:val="0"/>
                  <w:vAlign w:val="center"/>
                </w:tcPr>
                <w:p>
                  <w:pPr>
                    <w:widowControl/>
                    <w:adjustRightInd w:val="0"/>
                    <w:snapToGrid w:val="0"/>
                    <w:spacing w:line="240" w:lineRule="auto"/>
                    <w:ind w:firstLine="0" w:firstLineChars="0"/>
                    <w:jc w:val="center"/>
                    <w:rPr>
                      <w:rFonts w:ascii="Times New Roman" w:hAnsi="Times New Roman"/>
                      <w:b/>
                      <w:bCs/>
                      <w:color w:val="auto"/>
                      <w:kern w:val="0"/>
                      <w:sz w:val="21"/>
                      <w:szCs w:val="21"/>
                    </w:rPr>
                  </w:pPr>
                  <w:r>
                    <w:rPr>
                      <w:rFonts w:ascii="Times New Roman" w:hAnsi="Times New Roman"/>
                      <w:b/>
                      <w:bCs/>
                      <w:color w:val="auto"/>
                      <w:kern w:val="0"/>
                      <w:sz w:val="21"/>
                      <w:szCs w:val="21"/>
                    </w:rPr>
                    <w:t>污染物项目</w:t>
                  </w:r>
                </w:p>
              </w:tc>
              <w:tc>
                <w:tcPr>
                  <w:tcW w:w="939" w:type="pct"/>
                  <w:noWrap w:val="0"/>
                  <w:vAlign w:val="center"/>
                </w:tcPr>
                <w:p>
                  <w:pPr>
                    <w:widowControl/>
                    <w:adjustRightInd w:val="0"/>
                    <w:snapToGrid w:val="0"/>
                    <w:spacing w:line="240" w:lineRule="auto"/>
                    <w:ind w:firstLine="0" w:firstLineChars="0"/>
                    <w:jc w:val="center"/>
                    <w:rPr>
                      <w:rFonts w:hint="eastAsia" w:ascii="Times New Roman" w:hAnsi="Times New Roman" w:eastAsia="宋体"/>
                      <w:b/>
                      <w:bCs/>
                      <w:color w:val="auto"/>
                      <w:kern w:val="0"/>
                      <w:sz w:val="21"/>
                      <w:szCs w:val="21"/>
                      <w:lang w:eastAsia="zh-CN"/>
                    </w:rPr>
                  </w:pPr>
                  <w:r>
                    <w:rPr>
                      <w:rFonts w:hint="eastAsia"/>
                      <w:b/>
                      <w:bCs/>
                      <w:color w:val="auto"/>
                      <w:kern w:val="0"/>
                      <w:sz w:val="21"/>
                      <w:szCs w:val="21"/>
                      <w:lang w:eastAsia="zh-CN"/>
                    </w:rPr>
                    <w:t>最高允许排放浓度（</w:t>
                  </w:r>
                  <w:r>
                    <w:rPr>
                      <w:rFonts w:ascii="Times New Roman" w:hAnsi="Times New Roman"/>
                      <w:b/>
                      <w:bCs/>
                      <w:color w:val="auto"/>
                      <w:kern w:val="0"/>
                      <w:sz w:val="21"/>
                      <w:szCs w:val="21"/>
                    </w:rPr>
                    <w:t>mg/m</w:t>
                  </w:r>
                  <w:r>
                    <w:rPr>
                      <w:rFonts w:ascii="Times New Roman" w:hAnsi="Times New Roman"/>
                      <w:b/>
                      <w:bCs/>
                      <w:color w:val="auto"/>
                      <w:kern w:val="0"/>
                      <w:sz w:val="21"/>
                      <w:szCs w:val="21"/>
                      <w:vertAlign w:val="superscript"/>
                    </w:rPr>
                    <w:t>3</w:t>
                  </w:r>
                  <w:r>
                    <w:rPr>
                      <w:rFonts w:hint="eastAsia"/>
                      <w:b/>
                      <w:bCs/>
                      <w:color w:val="auto"/>
                      <w:kern w:val="0"/>
                      <w:sz w:val="21"/>
                      <w:szCs w:val="21"/>
                      <w:lang w:eastAsia="zh-CN"/>
                    </w:rPr>
                    <w:t>）</w:t>
                  </w:r>
                </w:p>
              </w:tc>
              <w:tc>
                <w:tcPr>
                  <w:tcW w:w="376" w:type="pct"/>
                  <w:noWrap w:val="0"/>
                  <w:vAlign w:val="center"/>
                </w:tcPr>
                <w:p>
                  <w:pPr>
                    <w:widowControl/>
                    <w:adjustRightInd w:val="0"/>
                    <w:snapToGrid w:val="0"/>
                    <w:spacing w:line="240" w:lineRule="auto"/>
                    <w:ind w:firstLine="0" w:firstLineChars="0"/>
                    <w:jc w:val="center"/>
                    <w:rPr>
                      <w:rFonts w:ascii="Times New Roman" w:hAnsi="Times New Roman"/>
                      <w:b/>
                      <w:bCs/>
                      <w:color w:val="auto"/>
                      <w:kern w:val="0"/>
                      <w:sz w:val="21"/>
                      <w:szCs w:val="21"/>
                    </w:rPr>
                  </w:pPr>
                  <w:r>
                    <w:rPr>
                      <w:rFonts w:ascii="Times New Roman" w:hAnsi="Times New Roman" w:eastAsia="宋体" w:cs="Times New Roman"/>
                      <w:b/>
                      <w:bCs/>
                      <w:color w:val="auto"/>
                      <w:szCs w:val="21"/>
                      <w:u w:val="none"/>
                    </w:rPr>
                    <w:t>高度(m)</w:t>
                  </w:r>
                </w:p>
              </w:tc>
              <w:tc>
                <w:tcPr>
                  <w:tcW w:w="695" w:type="pct"/>
                  <w:noWrap w:val="0"/>
                  <w:vAlign w:val="center"/>
                </w:tcPr>
                <w:p>
                  <w:pPr>
                    <w:widowControl/>
                    <w:adjustRightInd w:val="0"/>
                    <w:snapToGrid w:val="0"/>
                    <w:spacing w:line="240" w:lineRule="auto"/>
                    <w:ind w:firstLine="0" w:firstLineChars="0"/>
                    <w:jc w:val="center"/>
                    <w:rPr>
                      <w:rFonts w:ascii="Times New Roman" w:hAnsi="Times New Roman"/>
                      <w:b/>
                      <w:bCs/>
                      <w:color w:val="auto"/>
                      <w:kern w:val="0"/>
                      <w:sz w:val="21"/>
                      <w:szCs w:val="21"/>
                    </w:rPr>
                  </w:pPr>
                  <w:r>
                    <w:rPr>
                      <w:rFonts w:hint="eastAsia" w:ascii="Times New Roman" w:hAnsi="Times New Roman" w:eastAsia="宋体" w:cs="Times New Roman"/>
                      <w:b/>
                      <w:bCs/>
                      <w:color w:val="auto"/>
                      <w:szCs w:val="21"/>
                      <w:u w:val="none"/>
                      <w:lang w:val="en-US" w:eastAsia="zh-CN"/>
                    </w:rPr>
                    <w:t>排放速率（kg/h）</w:t>
                  </w:r>
                </w:p>
              </w:tc>
              <w:tc>
                <w:tcPr>
                  <w:tcW w:w="894" w:type="pct"/>
                  <w:noWrap w:val="0"/>
                  <w:vAlign w:val="center"/>
                </w:tcPr>
                <w:p>
                  <w:pPr>
                    <w:widowControl/>
                    <w:adjustRightInd w:val="0"/>
                    <w:snapToGrid w:val="0"/>
                    <w:spacing w:line="240" w:lineRule="auto"/>
                    <w:ind w:firstLine="0" w:firstLineChars="0"/>
                    <w:jc w:val="center"/>
                    <w:rPr>
                      <w:rFonts w:ascii="Times New Roman" w:hAnsi="Times New Roman"/>
                      <w:b/>
                      <w:bCs/>
                      <w:color w:val="auto"/>
                      <w:kern w:val="0"/>
                      <w:sz w:val="21"/>
                      <w:szCs w:val="21"/>
                    </w:rPr>
                  </w:pPr>
                  <w:r>
                    <w:rPr>
                      <w:rFonts w:ascii="Times New Roman" w:hAnsi="Times New Roman"/>
                      <w:b/>
                      <w:bCs/>
                      <w:color w:val="auto"/>
                      <w:kern w:val="0"/>
                      <w:sz w:val="21"/>
                      <w:szCs w:val="21"/>
                    </w:rPr>
                    <w:t>厂界无组织排放监控浓度限值mg/m</w:t>
                  </w:r>
                  <w:r>
                    <w:rPr>
                      <w:rFonts w:ascii="Times New Roman" w:hAnsi="Times New Roman"/>
                      <w:b/>
                      <w:bCs/>
                      <w:color w:val="auto"/>
                      <w:kern w:val="0"/>
                      <w:sz w:val="21"/>
                      <w:szCs w:val="21"/>
                      <w:vertAlign w:val="superscript"/>
                    </w:rPr>
                    <w:t>3</w:t>
                  </w:r>
                </w:p>
              </w:tc>
              <w:tc>
                <w:tcPr>
                  <w:tcW w:w="1412" w:type="pct"/>
                  <w:noWrap w:val="0"/>
                  <w:vAlign w:val="center"/>
                </w:tcPr>
                <w:p>
                  <w:pPr>
                    <w:widowControl/>
                    <w:adjustRightInd w:val="0"/>
                    <w:snapToGrid w:val="0"/>
                    <w:spacing w:line="240" w:lineRule="auto"/>
                    <w:ind w:firstLine="0" w:firstLineChars="0"/>
                    <w:jc w:val="center"/>
                    <w:rPr>
                      <w:rFonts w:ascii="Times New Roman" w:hAnsi="Times New Roman"/>
                      <w:b/>
                      <w:bCs/>
                      <w:color w:val="auto"/>
                      <w:kern w:val="0"/>
                      <w:sz w:val="21"/>
                      <w:szCs w:val="21"/>
                    </w:rPr>
                  </w:pPr>
                  <w:r>
                    <w:rPr>
                      <w:rFonts w:ascii="Times New Roman" w:hAnsi="Times New Roman"/>
                      <w:b/>
                      <w:bCs/>
                      <w:color w:val="auto"/>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680" w:type="pct"/>
                  <w:noWrap w:val="0"/>
                  <w:vAlign w:val="center"/>
                </w:tcPr>
                <w:p>
                  <w:pPr>
                    <w:widowControl/>
                    <w:adjustRightInd w:val="0"/>
                    <w:snapToGrid w:val="0"/>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颗粒物</w:t>
                  </w:r>
                </w:p>
              </w:tc>
              <w:tc>
                <w:tcPr>
                  <w:tcW w:w="939" w:type="pct"/>
                  <w:noWrap w:val="0"/>
                  <w:vAlign w:val="center"/>
                </w:tcPr>
                <w:p>
                  <w:pPr>
                    <w:widowControl/>
                    <w:adjustRightInd w:val="0"/>
                    <w:snapToGrid w:val="0"/>
                    <w:spacing w:line="240" w:lineRule="auto"/>
                    <w:ind w:firstLine="0" w:firstLineChars="0"/>
                    <w:jc w:val="center"/>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120</w:t>
                  </w:r>
                </w:p>
              </w:tc>
              <w:tc>
                <w:tcPr>
                  <w:tcW w:w="376" w:type="pct"/>
                  <w:noWrap w:val="0"/>
                  <w:vAlign w:val="center"/>
                </w:tcPr>
                <w:p>
                  <w:pPr>
                    <w:widowControl/>
                    <w:adjustRightInd w:val="0"/>
                    <w:snapToGrid w:val="0"/>
                    <w:spacing w:line="240" w:lineRule="auto"/>
                    <w:ind w:firstLine="0" w:firstLineChars="0"/>
                    <w:jc w:val="center"/>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15</w:t>
                  </w:r>
                </w:p>
              </w:tc>
              <w:tc>
                <w:tcPr>
                  <w:tcW w:w="695" w:type="pct"/>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3.5（1.75</w:t>
                  </w:r>
                  <w:r>
                    <w:rPr>
                      <w:rFonts w:hint="default" w:ascii="Times New Roman" w:hAnsi="Times New Roman" w:eastAsia="宋体" w:cs="Times New Roman"/>
                      <w:color w:val="auto"/>
                      <w:kern w:val="0"/>
                      <w:sz w:val="21"/>
                      <w:szCs w:val="21"/>
                      <w:vertAlign w:val="superscript"/>
                      <w:lang w:val="en-US" w:eastAsia="zh-CN"/>
                    </w:rPr>
                    <w:t>＊</w:t>
                  </w:r>
                  <w:r>
                    <w:rPr>
                      <w:rFonts w:hint="default" w:ascii="Times New Roman" w:hAnsi="Times New Roman" w:cs="Times New Roman"/>
                      <w:color w:val="auto"/>
                      <w:kern w:val="0"/>
                      <w:sz w:val="21"/>
                      <w:szCs w:val="21"/>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1.0</w:t>
                  </w:r>
                </w:p>
              </w:tc>
              <w:tc>
                <w:tcPr>
                  <w:tcW w:w="1412"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eastAsia="宋体"/>
                      <w:color w:val="auto"/>
                      <w:kern w:val="0"/>
                      <w:sz w:val="21"/>
                      <w:szCs w:val="21"/>
                      <w:lang w:val="en-US" w:eastAsia="zh-CN"/>
                    </w:rPr>
                  </w:pPr>
                  <w:r>
                    <w:rPr>
                      <w:rFonts w:ascii="Times New Roman" w:hAnsi="Times New Roman"/>
                      <w:color w:val="auto"/>
                      <w:kern w:val="0"/>
                      <w:sz w:val="21"/>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680" w:type="pct"/>
                  <w:shd w:val="clear" w:color="auto" w:fill="auto"/>
                  <w:noWrap w:val="0"/>
                  <w:vAlign w:val="center"/>
                </w:tcPr>
                <w:p>
                  <w:pPr>
                    <w:widowControl/>
                    <w:adjustRightInd w:val="0"/>
                    <w:snapToGrid w:val="0"/>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eastAsia"/>
                      <w:color w:val="auto"/>
                      <w:kern w:val="0"/>
                      <w:sz w:val="21"/>
                      <w:szCs w:val="21"/>
                      <w:highlight w:val="none"/>
                      <w:lang w:eastAsia="zh-CN"/>
                    </w:rPr>
                    <w:t>硫酸雾</w:t>
                  </w:r>
                </w:p>
              </w:tc>
              <w:tc>
                <w:tcPr>
                  <w:tcW w:w="939" w:type="pct"/>
                  <w:shd w:val="clear" w:color="auto" w:fill="auto"/>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45</w:t>
                  </w:r>
                </w:p>
              </w:tc>
              <w:tc>
                <w:tcPr>
                  <w:tcW w:w="376" w:type="pct"/>
                  <w:shd w:val="clear" w:color="auto" w:fill="auto"/>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eastAsia="等线"/>
                      <w:color w:val="auto"/>
                      <w:kern w:val="0"/>
                      <w:sz w:val="21"/>
                      <w:szCs w:val="21"/>
                      <w:highlight w:val="none"/>
                      <w:lang w:val="en-US" w:eastAsia="zh-CN"/>
                    </w:rPr>
                    <w:t>15</w:t>
                  </w:r>
                </w:p>
              </w:tc>
              <w:tc>
                <w:tcPr>
                  <w:tcW w:w="695" w:type="pc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等线" w:cs="Times New Roman"/>
                      <w:color w:val="auto"/>
                      <w:kern w:val="0"/>
                      <w:sz w:val="21"/>
                      <w:szCs w:val="21"/>
                      <w:highlight w:val="none"/>
                      <w:lang w:val="en-US" w:eastAsia="zh-CN"/>
                    </w:rPr>
                    <w:t>1.5（0.75</w:t>
                  </w:r>
                  <w:r>
                    <w:rPr>
                      <w:rFonts w:hint="default" w:ascii="Times New Roman" w:hAnsi="Times New Roman" w:eastAsia="宋体" w:cs="Times New Roman"/>
                      <w:color w:val="auto"/>
                      <w:kern w:val="0"/>
                      <w:sz w:val="21"/>
                      <w:szCs w:val="21"/>
                      <w:highlight w:val="none"/>
                      <w:vertAlign w:val="superscript"/>
                      <w:lang w:val="en-US" w:eastAsia="zh-CN"/>
                    </w:rPr>
                    <w:t>＊</w:t>
                  </w:r>
                  <w:r>
                    <w:rPr>
                      <w:rFonts w:hint="default" w:ascii="Times New Roman" w:hAnsi="Times New Roman" w:eastAsia="等线" w:cs="Times New Roman"/>
                      <w:color w:val="auto"/>
                      <w:kern w:val="0"/>
                      <w:sz w:val="21"/>
                      <w:szCs w:val="21"/>
                      <w:highlight w:val="none"/>
                      <w:lang w:val="en-US" w:eastAsia="zh-CN"/>
                    </w:rPr>
                    <w:t>）</w:t>
                  </w:r>
                </w:p>
              </w:tc>
              <w:tc>
                <w:tcPr>
                  <w:tcW w:w="894" w:type="pc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color w:val="auto"/>
                      <w:kern w:val="0"/>
                      <w:sz w:val="21"/>
                      <w:szCs w:val="21"/>
                      <w:highlight w:val="none"/>
                      <w:lang w:val="en-US" w:eastAsia="zh-CN"/>
                    </w:rPr>
                  </w:pPr>
                  <w:r>
                    <w:rPr>
                      <w:rFonts w:hint="eastAsia" w:eastAsia="等线"/>
                      <w:color w:val="auto"/>
                      <w:kern w:val="0"/>
                      <w:sz w:val="21"/>
                      <w:szCs w:val="21"/>
                      <w:highlight w:val="none"/>
                      <w:lang w:val="en-US" w:eastAsia="zh-CN"/>
                    </w:rPr>
                    <w:t>1.2</w:t>
                  </w:r>
                </w:p>
              </w:tc>
              <w:tc>
                <w:tcPr>
                  <w:tcW w:w="1412" w:type="pct"/>
                  <w:vMerge w:val="continue"/>
                  <w:noWrap w:val="0"/>
                  <w:vAlign w:val="center"/>
                </w:tcPr>
                <w:p>
                  <w:pPr>
                    <w:widowControl/>
                    <w:adjustRightInd w:val="0"/>
                    <w:snapToGrid w:val="0"/>
                    <w:spacing w:line="240" w:lineRule="auto"/>
                    <w:ind w:firstLine="0" w:firstLineChars="0"/>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680" w:type="pct"/>
                  <w:shd w:val="clear" w:color="auto" w:fill="auto"/>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二甲苯</w:t>
                  </w:r>
                </w:p>
              </w:tc>
              <w:tc>
                <w:tcPr>
                  <w:tcW w:w="939" w:type="pc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70</w:t>
                  </w:r>
                </w:p>
              </w:tc>
              <w:tc>
                <w:tcPr>
                  <w:tcW w:w="376" w:type="pc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等线"/>
                      <w:color w:val="auto"/>
                      <w:kern w:val="0"/>
                      <w:sz w:val="21"/>
                      <w:szCs w:val="21"/>
                      <w:lang w:val="en-US" w:eastAsia="zh-CN"/>
                    </w:rPr>
                    <w:t>15</w:t>
                  </w:r>
                </w:p>
              </w:tc>
              <w:tc>
                <w:tcPr>
                  <w:tcW w:w="695" w:type="pc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等线" w:cs="Times New Roman"/>
                      <w:color w:val="auto"/>
                      <w:kern w:val="0"/>
                      <w:sz w:val="21"/>
                      <w:szCs w:val="21"/>
                      <w:lang w:val="en-US" w:eastAsia="zh-CN"/>
                    </w:rPr>
                    <w:t>1.0（0.5</w:t>
                  </w:r>
                  <w:r>
                    <w:rPr>
                      <w:rFonts w:hint="default" w:ascii="Times New Roman" w:hAnsi="Times New Roman" w:eastAsia="宋体" w:cs="Times New Roman"/>
                      <w:color w:val="auto"/>
                      <w:kern w:val="0"/>
                      <w:sz w:val="21"/>
                      <w:szCs w:val="21"/>
                      <w:highlight w:val="none"/>
                      <w:vertAlign w:val="superscript"/>
                      <w:lang w:val="en-US" w:eastAsia="zh-CN"/>
                    </w:rPr>
                    <w:t>＊</w:t>
                  </w:r>
                  <w:r>
                    <w:rPr>
                      <w:rFonts w:hint="default" w:ascii="Times New Roman" w:hAnsi="Times New Roman" w:eastAsia="等线" w:cs="Times New Roman"/>
                      <w:color w:val="auto"/>
                      <w:kern w:val="0"/>
                      <w:sz w:val="21"/>
                      <w:szCs w:val="21"/>
                      <w:lang w:val="en-US" w:eastAsia="zh-CN"/>
                    </w:rPr>
                    <w:t>）</w:t>
                  </w:r>
                </w:p>
              </w:tc>
              <w:tc>
                <w:tcPr>
                  <w:tcW w:w="894" w:type="pct"/>
                  <w:shd w:val="clear" w:color="auto" w:fill="auto"/>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1.2</w:t>
                  </w:r>
                </w:p>
              </w:tc>
              <w:tc>
                <w:tcPr>
                  <w:tcW w:w="1412" w:type="pct"/>
                  <w:vMerge w:val="continue"/>
                  <w:noWrap w:val="0"/>
                  <w:vAlign w:val="center"/>
                </w:tcPr>
                <w:p>
                  <w:pPr>
                    <w:widowControl/>
                    <w:adjustRightInd w:val="0"/>
                    <w:snapToGrid w:val="0"/>
                    <w:spacing w:line="240" w:lineRule="auto"/>
                    <w:ind w:firstLine="0" w:firstLineChars="0"/>
                    <w:jc w:val="center"/>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9" w:hRule="atLeast"/>
              </w:trPr>
              <w:tc>
                <w:tcPr>
                  <w:tcW w:w="680" w:type="pct"/>
                  <w:noWrap w:val="0"/>
                  <w:vAlign w:val="center"/>
                </w:tcPr>
                <w:p>
                  <w:pPr>
                    <w:widowControl/>
                    <w:adjustRightInd w:val="0"/>
                    <w:snapToGrid w:val="0"/>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非甲烷总烃</w:t>
                  </w:r>
                </w:p>
              </w:tc>
              <w:tc>
                <w:tcPr>
                  <w:tcW w:w="939" w:type="pct"/>
                  <w:noWrap w:val="0"/>
                  <w:vAlign w:val="center"/>
                </w:tcPr>
                <w:p>
                  <w:pPr>
                    <w:widowControl/>
                    <w:adjustRightInd w:val="0"/>
                    <w:snapToGrid w:val="0"/>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60</w:t>
                  </w:r>
                </w:p>
              </w:tc>
              <w:tc>
                <w:tcPr>
                  <w:tcW w:w="376" w:type="pct"/>
                  <w:noWrap w:val="0"/>
                  <w:vAlign w:val="center"/>
                </w:tcPr>
                <w:p>
                  <w:pPr>
                    <w:widowControl/>
                    <w:adjustRightInd w:val="0"/>
                    <w:snapToGrid w:val="0"/>
                    <w:spacing w:line="240" w:lineRule="auto"/>
                    <w:ind w:firstLine="0" w:firstLineChars="0"/>
                    <w:jc w:val="center"/>
                    <w:rPr>
                      <w:rFonts w:hint="eastAsia" w:eastAsia="等线"/>
                      <w:color w:val="auto"/>
                      <w:kern w:val="0"/>
                      <w:sz w:val="21"/>
                      <w:szCs w:val="21"/>
                      <w:lang w:val="en-US" w:eastAsia="zh-CN"/>
                    </w:rPr>
                  </w:pPr>
                  <w:r>
                    <w:rPr>
                      <w:rFonts w:hint="eastAsia" w:eastAsia="等线"/>
                      <w:color w:val="auto"/>
                      <w:kern w:val="0"/>
                      <w:sz w:val="21"/>
                      <w:szCs w:val="21"/>
                      <w:lang w:val="en-US" w:eastAsia="zh-CN"/>
                    </w:rPr>
                    <w:t>/</w:t>
                  </w:r>
                </w:p>
              </w:tc>
              <w:tc>
                <w:tcPr>
                  <w:tcW w:w="695" w:type="pct"/>
                  <w:noWrap w:val="0"/>
                  <w:vAlign w:val="center"/>
                </w:tcPr>
                <w:p>
                  <w:pPr>
                    <w:widowControl/>
                    <w:adjustRightInd w:val="0"/>
                    <w:snapToGrid w:val="0"/>
                    <w:spacing w:line="240" w:lineRule="auto"/>
                    <w:ind w:firstLine="0" w:firstLineChars="0"/>
                    <w:jc w:val="center"/>
                    <w:rPr>
                      <w:rFonts w:hint="eastAsia" w:eastAsia="等线"/>
                      <w:color w:val="auto"/>
                      <w:kern w:val="0"/>
                      <w:sz w:val="21"/>
                      <w:szCs w:val="21"/>
                      <w:lang w:val="en-US" w:eastAsia="zh-CN"/>
                    </w:rPr>
                  </w:pPr>
                  <w:r>
                    <w:rPr>
                      <w:rFonts w:hint="eastAsia" w:eastAsia="等线"/>
                      <w:color w:val="auto"/>
                      <w:kern w:val="0"/>
                      <w:sz w:val="21"/>
                      <w:szCs w:val="21"/>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4.0</w:t>
                  </w:r>
                </w:p>
              </w:tc>
              <w:tc>
                <w:tcPr>
                  <w:tcW w:w="1412" w:type="pct"/>
                  <w:vMerge w:val="restart"/>
                  <w:noWrap w:val="0"/>
                  <w:vAlign w:val="center"/>
                </w:tcPr>
                <w:p>
                  <w:pPr>
                    <w:widowControl/>
                    <w:adjustRightInd w:val="0"/>
                    <w:snapToGrid w:val="0"/>
                    <w:spacing w:line="240" w:lineRule="auto"/>
                    <w:ind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《合成树脂工业污染物排放标准》(GB31572-2015)</w:t>
                  </w:r>
                  <w:r>
                    <w:rPr>
                      <w:rFonts w:hint="eastAsia" w:ascii="Times New Roman" w:hAnsi="Times New Roman"/>
                      <w:color w:val="auto"/>
                      <w:kern w:val="0"/>
                      <w:sz w:val="21"/>
                      <w:szCs w:val="21"/>
                      <w:lang w:val="en-US" w:eastAsia="zh-CN"/>
                    </w:rPr>
                    <w:t>及2024修改单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9" w:hRule="atLeast"/>
              </w:trPr>
              <w:tc>
                <w:tcPr>
                  <w:tcW w:w="680"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苯</w:t>
                  </w:r>
                </w:p>
              </w:tc>
              <w:tc>
                <w:tcPr>
                  <w:tcW w:w="939"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376"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695"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0.4</w:t>
                  </w:r>
                </w:p>
              </w:tc>
              <w:tc>
                <w:tcPr>
                  <w:tcW w:w="1412" w:type="pct"/>
                  <w:vMerge w:val="continue"/>
                  <w:noWrap w:val="0"/>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9" w:hRule="atLeast"/>
              </w:trPr>
              <w:tc>
                <w:tcPr>
                  <w:tcW w:w="680"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甲苯</w:t>
                  </w:r>
                </w:p>
              </w:tc>
              <w:tc>
                <w:tcPr>
                  <w:tcW w:w="939"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8</w:t>
                  </w:r>
                </w:p>
              </w:tc>
              <w:tc>
                <w:tcPr>
                  <w:tcW w:w="376"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695"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0.8</w:t>
                  </w:r>
                </w:p>
              </w:tc>
              <w:tc>
                <w:tcPr>
                  <w:tcW w:w="1412" w:type="pct"/>
                  <w:vMerge w:val="continue"/>
                  <w:noWrap w:val="0"/>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9" w:hRule="atLeast"/>
              </w:trPr>
              <w:tc>
                <w:tcPr>
                  <w:tcW w:w="680"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乙苯</w:t>
                  </w:r>
                </w:p>
              </w:tc>
              <w:tc>
                <w:tcPr>
                  <w:tcW w:w="939"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50</w:t>
                  </w:r>
                </w:p>
              </w:tc>
              <w:tc>
                <w:tcPr>
                  <w:tcW w:w="376"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695"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412" w:type="pct"/>
                  <w:vMerge w:val="continue"/>
                  <w:noWrap w:val="0"/>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9" w:hRule="atLeast"/>
              </w:trPr>
              <w:tc>
                <w:tcPr>
                  <w:tcW w:w="680"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苯乙烯</w:t>
                  </w:r>
                </w:p>
              </w:tc>
              <w:tc>
                <w:tcPr>
                  <w:tcW w:w="939"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376"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695" w:type="pct"/>
                  <w:noWrap w:val="0"/>
                  <w:vAlign w:val="center"/>
                </w:tcPr>
                <w:p>
                  <w:pPr>
                    <w:widowControl/>
                    <w:adjustRightInd w:val="0"/>
                    <w:snapToGrid w:val="0"/>
                    <w:spacing w:line="240" w:lineRule="auto"/>
                    <w:ind w:firstLine="0" w:firstLineChars="0"/>
                    <w:jc w:val="center"/>
                    <w:rPr>
                      <w:rFonts w:hint="eastAsia"/>
                      <w:color w:val="auto"/>
                      <w:kern w:val="0"/>
                      <w:sz w:val="21"/>
                      <w:szCs w:val="21"/>
                      <w:highlight w:val="none"/>
                      <w:lang w:val="en-US" w:eastAsia="zh-CN"/>
                    </w:rPr>
                  </w:pPr>
                  <w:r>
                    <w:rPr>
                      <w:rFonts w:hint="eastAsia" w:eastAsia="等线"/>
                      <w:color w:val="auto"/>
                      <w:kern w:val="0"/>
                      <w:sz w:val="21"/>
                      <w:szCs w:val="21"/>
                      <w:highlight w:val="none"/>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412" w:type="pct"/>
                  <w:vMerge w:val="continue"/>
                  <w:noWrap w:val="0"/>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93" w:hRule="atLeast"/>
              </w:trPr>
              <w:tc>
                <w:tcPr>
                  <w:tcW w:w="680" w:type="pct"/>
                  <w:noWrap w:val="0"/>
                  <w:vAlign w:val="center"/>
                </w:tcPr>
                <w:p>
                  <w:pPr>
                    <w:widowControl/>
                    <w:adjustRightInd w:val="0"/>
                    <w:snapToGrid w:val="0"/>
                    <w:spacing w:line="240" w:lineRule="auto"/>
                    <w:ind w:firstLine="0" w:firstLineChars="0"/>
                    <w:jc w:val="center"/>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氨</w:t>
                  </w:r>
                </w:p>
              </w:tc>
              <w:tc>
                <w:tcPr>
                  <w:tcW w:w="939" w:type="pct"/>
                  <w:noWrap w:val="0"/>
                  <w:vAlign w:val="center"/>
                </w:tcPr>
                <w:p>
                  <w:pPr>
                    <w:widowControl/>
                    <w:adjustRightInd w:val="0"/>
                    <w:snapToGrid w:val="0"/>
                    <w:spacing w:line="240" w:lineRule="auto"/>
                    <w:ind w:firstLine="0" w:firstLineChars="0"/>
                    <w:jc w:val="center"/>
                    <w:rPr>
                      <w:rFonts w:hint="default" w:ascii="Times New Roman" w:hAnsi="Times New Roman" w:eastAsia="等线"/>
                      <w:color w:val="auto"/>
                      <w:kern w:val="0"/>
                      <w:sz w:val="21"/>
                      <w:szCs w:val="21"/>
                      <w:lang w:val="en-US" w:eastAsia="zh-CN"/>
                    </w:rPr>
                  </w:pPr>
                  <w:r>
                    <w:rPr>
                      <w:rFonts w:hint="eastAsia" w:eastAsia="等线"/>
                      <w:color w:val="auto"/>
                      <w:kern w:val="0"/>
                      <w:sz w:val="21"/>
                      <w:szCs w:val="21"/>
                      <w:lang w:val="en-US" w:eastAsia="zh-CN"/>
                    </w:rPr>
                    <w:t>/</w:t>
                  </w:r>
                </w:p>
              </w:tc>
              <w:tc>
                <w:tcPr>
                  <w:tcW w:w="376" w:type="pct"/>
                  <w:noWrap w:val="0"/>
                  <w:vAlign w:val="center"/>
                </w:tcPr>
                <w:p>
                  <w:pPr>
                    <w:widowControl/>
                    <w:adjustRightInd w:val="0"/>
                    <w:snapToGrid w:val="0"/>
                    <w:spacing w:line="240" w:lineRule="auto"/>
                    <w:ind w:firstLine="0" w:firstLineChars="0"/>
                    <w:jc w:val="center"/>
                    <w:rPr>
                      <w:rFonts w:hint="default" w:ascii="Times New Roman" w:hAnsi="Times New Roman" w:eastAsia="等线"/>
                      <w:color w:val="auto"/>
                      <w:kern w:val="0"/>
                      <w:sz w:val="21"/>
                      <w:szCs w:val="21"/>
                      <w:lang w:val="en-US" w:eastAsia="zh-CN"/>
                    </w:rPr>
                  </w:pPr>
                  <w:r>
                    <w:rPr>
                      <w:rFonts w:hint="eastAsia" w:eastAsia="等线"/>
                      <w:color w:val="auto"/>
                      <w:kern w:val="0"/>
                      <w:sz w:val="21"/>
                      <w:szCs w:val="21"/>
                      <w:lang w:val="en-US" w:eastAsia="zh-CN"/>
                    </w:rPr>
                    <w:t>/</w:t>
                  </w:r>
                </w:p>
              </w:tc>
              <w:tc>
                <w:tcPr>
                  <w:tcW w:w="695" w:type="pct"/>
                  <w:noWrap w:val="0"/>
                  <w:vAlign w:val="center"/>
                </w:tcPr>
                <w:p>
                  <w:pPr>
                    <w:widowControl/>
                    <w:adjustRightInd w:val="0"/>
                    <w:snapToGrid w:val="0"/>
                    <w:spacing w:line="240" w:lineRule="auto"/>
                    <w:ind w:firstLine="0" w:firstLineChars="0"/>
                    <w:jc w:val="center"/>
                    <w:rPr>
                      <w:rFonts w:hint="default" w:ascii="Times New Roman" w:hAnsi="Times New Roman" w:eastAsia="等线"/>
                      <w:color w:val="auto"/>
                      <w:kern w:val="0"/>
                      <w:sz w:val="21"/>
                      <w:szCs w:val="21"/>
                      <w:lang w:val="en-US" w:eastAsia="zh-CN"/>
                    </w:rPr>
                  </w:pPr>
                  <w:r>
                    <w:rPr>
                      <w:rFonts w:hint="eastAsia" w:eastAsia="等线"/>
                      <w:color w:val="auto"/>
                      <w:kern w:val="0"/>
                      <w:sz w:val="21"/>
                      <w:szCs w:val="21"/>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ascii="Times New Roman" w:hAnsi="Times New Roman" w:eastAsia="等线"/>
                      <w:color w:val="auto"/>
                      <w:kern w:val="0"/>
                      <w:sz w:val="21"/>
                      <w:szCs w:val="21"/>
                      <w:lang w:val="en-US" w:eastAsia="zh-CN"/>
                    </w:rPr>
                  </w:pPr>
                  <w:r>
                    <w:rPr>
                      <w:rFonts w:hint="eastAsia" w:ascii="Times New Roman" w:hAnsi="Times New Roman" w:eastAsia="等线"/>
                      <w:color w:val="auto"/>
                      <w:kern w:val="0"/>
                      <w:sz w:val="21"/>
                      <w:szCs w:val="21"/>
                      <w:lang w:val="en-US" w:eastAsia="zh-CN"/>
                    </w:rPr>
                    <w:t>1.5</w:t>
                  </w:r>
                </w:p>
              </w:tc>
              <w:tc>
                <w:tcPr>
                  <w:tcW w:w="1412" w:type="pct"/>
                  <w:vMerge w:val="restart"/>
                  <w:noWrap w:val="0"/>
                  <w:vAlign w:val="center"/>
                </w:tcPr>
                <w:p>
                  <w:pPr>
                    <w:widowControl/>
                    <w:adjustRightInd w:val="0"/>
                    <w:snapToGrid w:val="0"/>
                    <w:spacing w:line="240" w:lineRule="auto"/>
                    <w:ind w:firstLine="0" w:firstLineChars="0"/>
                    <w:jc w:val="center"/>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2" w:hRule="atLeast"/>
              </w:trPr>
              <w:tc>
                <w:tcPr>
                  <w:tcW w:w="680" w:type="pct"/>
                  <w:noWrap w:val="0"/>
                  <w:vAlign w:val="center"/>
                </w:tcPr>
                <w:p>
                  <w:pPr>
                    <w:widowControl/>
                    <w:adjustRightInd w:val="0"/>
                    <w:snapToGrid w:val="0"/>
                    <w:spacing w:line="240" w:lineRule="auto"/>
                    <w:ind w:firstLine="0" w:firstLineChars="0"/>
                    <w:jc w:val="center"/>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臭气浓度</w:t>
                  </w:r>
                </w:p>
              </w:tc>
              <w:tc>
                <w:tcPr>
                  <w:tcW w:w="939" w:type="pct"/>
                  <w:noWrap w:val="0"/>
                  <w:vAlign w:val="center"/>
                </w:tcPr>
                <w:p>
                  <w:pPr>
                    <w:widowControl/>
                    <w:adjustRightInd w:val="0"/>
                    <w:snapToGrid w:val="0"/>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2000</w:t>
                  </w:r>
                </w:p>
              </w:tc>
              <w:tc>
                <w:tcPr>
                  <w:tcW w:w="376" w:type="pct"/>
                  <w:noWrap w:val="0"/>
                  <w:vAlign w:val="center"/>
                </w:tcPr>
                <w:p>
                  <w:pPr>
                    <w:widowControl/>
                    <w:adjustRightInd w:val="0"/>
                    <w:snapToGrid w:val="0"/>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15</w:t>
                  </w:r>
                </w:p>
              </w:tc>
              <w:tc>
                <w:tcPr>
                  <w:tcW w:w="695" w:type="pct"/>
                  <w:noWrap w:val="0"/>
                  <w:vAlign w:val="center"/>
                </w:tcPr>
                <w:p>
                  <w:pPr>
                    <w:widowControl/>
                    <w:adjustRightInd w:val="0"/>
                    <w:snapToGrid w:val="0"/>
                    <w:spacing w:line="240" w:lineRule="auto"/>
                    <w:ind w:firstLine="0" w:firstLineChars="0"/>
                    <w:jc w:val="center"/>
                    <w:rPr>
                      <w:rFonts w:hint="default" w:eastAsia="等线"/>
                      <w:color w:val="auto"/>
                      <w:kern w:val="0"/>
                      <w:sz w:val="21"/>
                      <w:szCs w:val="21"/>
                      <w:lang w:val="en-US" w:eastAsia="zh-CN"/>
                    </w:rPr>
                  </w:pPr>
                  <w:r>
                    <w:rPr>
                      <w:rFonts w:hint="eastAsia" w:eastAsia="等线"/>
                      <w:color w:val="auto"/>
                      <w:kern w:val="0"/>
                      <w:sz w:val="21"/>
                      <w:szCs w:val="21"/>
                      <w:lang w:val="en-US" w:eastAsia="zh-CN"/>
                    </w:rPr>
                    <w:t>/</w:t>
                  </w:r>
                </w:p>
              </w:tc>
              <w:tc>
                <w:tcPr>
                  <w:tcW w:w="894" w:type="pct"/>
                  <w:noWrap w:val="0"/>
                  <w:vAlign w:val="center"/>
                </w:tcPr>
                <w:p>
                  <w:pPr>
                    <w:widowControl/>
                    <w:adjustRightInd w:val="0"/>
                    <w:snapToGrid w:val="0"/>
                    <w:spacing w:line="240" w:lineRule="auto"/>
                    <w:ind w:firstLine="0" w:firstLineChars="0"/>
                    <w:jc w:val="center"/>
                    <w:rPr>
                      <w:rFonts w:hint="default" w:ascii="Times New Roman" w:hAnsi="Times New Roman" w:eastAsia="等线"/>
                      <w:color w:val="auto"/>
                      <w:kern w:val="0"/>
                      <w:sz w:val="21"/>
                      <w:szCs w:val="21"/>
                      <w:lang w:val="en-US" w:eastAsia="zh-CN"/>
                    </w:rPr>
                  </w:pPr>
                  <w:r>
                    <w:rPr>
                      <w:rFonts w:hint="eastAsia" w:eastAsia="等线"/>
                      <w:color w:val="auto"/>
                      <w:kern w:val="0"/>
                      <w:sz w:val="21"/>
                      <w:szCs w:val="21"/>
                      <w:lang w:val="en-US" w:eastAsia="zh-CN"/>
                    </w:rPr>
                    <w:t>20</w:t>
                  </w:r>
                </w:p>
              </w:tc>
              <w:tc>
                <w:tcPr>
                  <w:tcW w:w="1412" w:type="pct"/>
                  <w:vMerge w:val="continue"/>
                  <w:noWrap w:val="0"/>
                  <w:vAlign w:val="center"/>
                </w:tcPr>
                <w:p>
                  <w:pPr>
                    <w:widowControl/>
                    <w:adjustRightInd w:val="0"/>
                    <w:snapToGrid w:val="0"/>
                    <w:spacing w:line="240" w:lineRule="auto"/>
                    <w:ind w:firstLine="0" w:firstLineChars="0"/>
                    <w:jc w:val="center"/>
                    <w:rPr>
                      <w:rFonts w:hint="eastAsia" w:ascii="Times New Roman" w:hAnsi="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93" w:hRule="atLeast"/>
              </w:trPr>
              <w:tc>
                <w:tcPr>
                  <w:tcW w:w="5000" w:type="pct"/>
                  <w:gridSpan w:val="6"/>
                  <w:noWrap w:val="0"/>
                  <w:vAlign w:val="center"/>
                </w:tcPr>
                <w:p>
                  <w:pPr>
                    <w:widowControl/>
                    <w:adjustRightInd w:val="0"/>
                    <w:snapToGrid w:val="0"/>
                    <w:spacing w:line="240" w:lineRule="auto"/>
                    <w:ind w:firstLine="0" w:firstLineChars="0"/>
                    <w:jc w:val="left"/>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注：</w:t>
                  </w:r>
                  <w:r>
                    <w:rPr>
                      <w:rFonts w:hint="default" w:ascii="Times New Roman" w:hAnsi="Times New Roman" w:eastAsia="宋体" w:cs="Times New Roman"/>
                      <w:color w:val="auto"/>
                      <w:kern w:val="0"/>
                      <w:sz w:val="21"/>
                      <w:szCs w:val="21"/>
                      <w:vertAlign w:val="superscript"/>
                      <w:lang w:val="en-US" w:eastAsia="zh-CN"/>
                    </w:rPr>
                    <w:t>＊</w:t>
                  </w:r>
                  <w:r>
                    <w:rPr>
                      <w:rFonts w:hint="eastAsia"/>
                      <w:color w:val="auto"/>
                      <w:kern w:val="0"/>
                      <w:sz w:val="21"/>
                      <w:szCs w:val="21"/>
                      <w:lang w:val="en-US" w:eastAsia="zh-CN"/>
                    </w:rPr>
                    <w:t>按照排放限值严格50%执行</w:t>
                  </w:r>
                </w:p>
              </w:tc>
            </w:tr>
          </w:tbl>
          <w:p>
            <w:pPr>
              <w:pStyle w:val="25"/>
              <w:spacing w:before="0" w:beforeAutospacing="0" w:after="0" w:afterAutospacing="0"/>
              <w:jc w:val="center"/>
              <w:rPr>
                <w:rFonts w:ascii="Times New Roman" w:hAnsi="Times New Roman"/>
                <w:b/>
                <w:color w:val="auto"/>
                <w:kern w:val="2"/>
                <w:sz w:val="21"/>
                <w:szCs w:val="21"/>
                <w:u w:val="none" w:color="auto"/>
                <w:lang w:val="en-US" w:eastAsia="zh-CN"/>
              </w:rPr>
            </w:pPr>
            <w:r>
              <w:rPr>
                <w:rFonts w:hint="eastAsia"/>
                <w:b/>
                <w:color w:val="auto"/>
                <w:kern w:val="2"/>
                <w:sz w:val="24"/>
                <w:szCs w:val="24"/>
                <w:u w:val="none" w:color="auto"/>
                <w:lang w:val="en-US" w:eastAsia="zh-CN" w:bidi="ar"/>
              </w:rPr>
              <w:t>表</w:t>
            </w:r>
            <w:r>
              <w:rPr>
                <w:rFonts w:hint="eastAsia" w:ascii="Times New Roman" w:hAnsi="Times New Roman"/>
                <w:b/>
                <w:color w:val="auto"/>
                <w:kern w:val="2"/>
                <w:sz w:val="24"/>
                <w:szCs w:val="24"/>
                <w:u w:val="none" w:color="auto"/>
                <w:lang w:val="en-US" w:eastAsia="zh-CN" w:bidi="ar"/>
              </w:rPr>
              <w:t>3.6-2</w:t>
            </w:r>
            <w:r>
              <w:rPr>
                <w:rFonts w:hint="eastAsia"/>
                <w:b/>
                <w:color w:val="auto"/>
                <w:kern w:val="2"/>
                <w:sz w:val="24"/>
                <w:szCs w:val="24"/>
                <w:u w:val="none" w:color="auto"/>
                <w:lang w:val="en-US" w:eastAsia="zh-CN" w:bidi="ar"/>
              </w:rPr>
              <w:t>《</w:t>
            </w:r>
            <w:r>
              <w:rPr>
                <w:rFonts w:hint="eastAsia" w:ascii="宋体" w:hAnsi="宋体" w:eastAsia="宋体" w:cs="Times New Roman"/>
                <w:b/>
                <w:color w:val="auto"/>
                <w:kern w:val="2"/>
                <w:sz w:val="24"/>
                <w:szCs w:val="24"/>
                <w:u w:val="none" w:color="auto"/>
                <w:lang w:val="en-US" w:eastAsia="zh-CN" w:bidi="ar"/>
              </w:rPr>
              <w:t>挥发</w:t>
            </w:r>
            <w:r>
              <w:rPr>
                <w:rFonts w:hint="eastAsia"/>
                <w:b/>
                <w:color w:val="auto"/>
                <w:kern w:val="2"/>
                <w:sz w:val="24"/>
                <w:szCs w:val="24"/>
                <w:u w:val="none" w:color="auto"/>
                <w:lang w:val="en-US" w:eastAsia="zh-CN" w:bidi="ar"/>
              </w:rPr>
              <w:t>性有机物无组织排放控制标准》（</w:t>
            </w:r>
            <w:r>
              <w:rPr>
                <w:rFonts w:ascii="Times New Roman" w:hAnsi="Times New Roman"/>
                <w:b/>
                <w:color w:val="auto"/>
                <w:kern w:val="2"/>
                <w:sz w:val="24"/>
                <w:szCs w:val="24"/>
                <w:u w:val="none" w:color="auto"/>
                <w:lang w:val="en-US" w:eastAsia="zh-CN" w:bidi="ar"/>
              </w:rPr>
              <w:t>GB37822-2019</w:t>
            </w:r>
            <w:r>
              <w:rPr>
                <w:rFonts w:hint="eastAsia"/>
                <w:b/>
                <w:color w:val="auto"/>
                <w:kern w:val="2"/>
                <w:sz w:val="24"/>
                <w:szCs w:val="24"/>
                <w:u w:val="none" w:color="auto"/>
                <w:lang w:val="en-US" w:eastAsia="zh-CN" w:bidi="ar"/>
              </w:rPr>
              <w:t>）</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875"/>
              <w:gridCol w:w="1913"/>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2" w:type="dxa"/>
                  <w:noWrap w:val="0"/>
                  <w:vAlign w:val="center"/>
                </w:tcPr>
                <w:p>
                  <w:pPr>
                    <w:jc w:val="center"/>
                    <w:rPr>
                      <w:b/>
                      <w:color w:val="auto"/>
                      <w:szCs w:val="21"/>
                      <w:u w:val="none" w:color="auto"/>
                    </w:rPr>
                  </w:pPr>
                  <w:r>
                    <w:rPr>
                      <w:b/>
                      <w:color w:val="auto"/>
                      <w:szCs w:val="21"/>
                      <w:u w:val="none" w:color="auto"/>
                      <w:lang w:bidi="ar"/>
                    </w:rPr>
                    <w:t>污染物项目</w:t>
                  </w:r>
                </w:p>
              </w:tc>
              <w:tc>
                <w:tcPr>
                  <w:tcW w:w="1518" w:type="dxa"/>
                  <w:noWrap w:val="0"/>
                  <w:vAlign w:val="center"/>
                </w:tcPr>
                <w:p>
                  <w:pPr>
                    <w:jc w:val="center"/>
                    <w:rPr>
                      <w:rFonts w:hint="eastAsia" w:eastAsia="宋体"/>
                      <w:b/>
                      <w:color w:val="auto"/>
                      <w:szCs w:val="21"/>
                      <w:u w:val="none" w:color="auto"/>
                      <w:lang w:eastAsia="zh-CN" w:bidi="ar"/>
                    </w:rPr>
                  </w:pPr>
                  <w:r>
                    <w:rPr>
                      <w:rFonts w:hint="eastAsia"/>
                      <w:b/>
                      <w:color w:val="auto"/>
                      <w:szCs w:val="21"/>
                      <w:u w:val="none" w:color="auto"/>
                      <w:lang w:eastAsia="zh-CN" w:bidi="ar"/>
                    </w:rPr>
                    <w:t>排放限值</w:t>
                  </w:r>
                </w:p>
              </w:tc>
              <w:tc>
                <w:tcPr>
                  <w:tcW w:w="1548" w:type="dxa"/>
                  <w:noWrap w:val="0"/>
                  <w:vAlign w:val="center"/>
                </w:tcPr>
                <w:p>
                  <w:pPr>
                    <w:jc w:val="center"/>
                    <w:rPr>
                      <w:b/>
                      <w:color w:val="auto"/>
                      <w:szCs w:val="21"/>
                      <w:u w:val="none" w:color="auto"/>
                    </w:rPr>
                  </w:pPr>
                  <w:r>
                    <w:rPr>
                      <w:b/>
                      <w:color w:val="auto"/>
                      <w:szCs w:val="21"/>
                      <w:u w:val="none" w:color="auto"/>
                      <w:lang w:bidi="ar"/>
                    </w:rPr>
                    <w:t>限值含义</w:t>
                  </w:r>
                </w:p>
              </w:tc>
              <w:tc>
                <w:tcPr>
                  <w:tcW w:w="2018" w:type="dxa"/>
                  <w:noWrap w:val="0"/>
                  <w:vAlign w:val="center"/>
                </w:tcPr>
                <w:p>
                  <w:pPr>
                    <w:jc w:val="center"/>
                    <w:rPr>
                      <w:b/>
                      <w:color w:val="auto"/>
                      <w:szCs w:val="21"/>
                      <w:u w:val="none" w:color="auto"/>
                    </w:rPr>
                  </w:pPr>
                  <w:r>
                    <w:rPr>
                      <w:b/>
                      <w:color w:val="auto"/>
                      <w:szCs w:val="21"/>
                      <w:u w:val="none" w:color="auto"/>
                      <w:lang w:bidi="ar"/>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2" w:type="dxa"/>
                  <w:vMerge w:val="restart"/>
                  <w:noWrap w:val="0"/>
                  <w:vAlign w:val="center"/>
                </w:tcPr>
                <w:p>
                  <w:pPr>
                    <w:jc w:val="center"/>
                    <w:rPr>
                      <w:color w:val="auto"/>
                      <w:szCs w:val="21"/>
                      <w:u w:val="none" w:color="auto"/>
                    </w:rPr>
                  </w:pPr>
                  <w:r>
                    <w:rPr>
                      <w:color w:val="auto"/>
                      <w:szCs w:val="21"/>
                      <w:u w:val="none" w:color="auto"/>
                      <w:lang w:bidi="ar"/>
                    </w:rPr>
                    <w:t>NMHC</w:t>
                  </w:r>
                </w:p>
              </w:tc>
              <w:tc>
                <w:tcPr>
                  <w:tcW w:w="1518" w:type="dxa"/>
                  <w:noWrap w:val="0"/>
                  <w:vAlign w:val="center"/>
                </w:tcPr>
                <w:p>
                  <w:pPr>
                    <w:jc w:val="center"/>
                    <w:rPr>
                      <w:rFonts w:hint="default" w:eastAsia="宋体"/>
                      <w:color w:val="auto"/>
                      <w:szCs w:val="21"/>
                      <w:u w:val="none" w:color="auto"/>
                      <w:lang w:val="en-US" w:eastAsia="zh-CN" w:bidi="ar"/>
                    </w:rPr>
                  </w:pPr>
                  <w:r>
                    <w:rPr>
                      <w:rFonts w:hint="eastAsia"/>
                      <w:color w:val="auto"/>
                      <w:szCs w:val="21"/>
                      <w:u w:val="none" w:color="auto"/>
                      <w:lang w:val="en-US" w:eastAsia="zh-CN" w:bidi="ar"/>
                    </w:rPr>
                    <w:t>10</w:t>
                  </w:r>
                  <w:r>
                    <w:rPr>
                      <w:color w:val="auto"/>
                      <w:szCs w:val="21"/>
                      <w:u w:val="none" w:color="auto"/>
                      <w:lang w:bidi="ar"/>
                    </w:rPr>
                    <w:t>mg/m</w:t>
                  </w:r>
                  <w:r>
                    <w:rPr>
                      <w:color w:val="auto"/>
                      <w:szCs w:val="21"/>
                      <w:u w:val="none" w:color="auto"/>
                      <w:vertAlign w:val="superscript"/>
                      <w:lang w:bidi="ar"/>
                    </w:rPr>
                    <w:t>3</w:t>
                  </w:r>
                </w:p>
              </w:tc>
              <w:tc>
                <w:tcPr>
                  <w:tcW w:w="1548" w:type="dxa"/>
                  <w:noWrap w:val="0"/>
                  <w:vAlign w:val="center"/>
                </w:tcPr>
                <w:p>
                  <w:pPr>
                    <w:jc w:val="center"/>
                    <w:rPr>
                      <w:color w:val="auto"/>
                      <w:szCs w:val="21"/>
                      <w:u w:val="none" w:color="auto"/>
                    </w:rPr>
                  </w:pPr>
                  <w:r>
                    <w:rPr>
                      <w:color w:val="auto"/>
                      <w:szCs w:val="21"/>
                      <w:u w:val="none" w:color="auto"/>
                      <w:lang w:bidi="ar"/>
                    </w:rPr>
                    <w:t>监控点处1h</w:t>
                  </w:r>
                  <w:r>
                    <w:rPr>
                      <w:rFonts w:hint="eastAsia" w:ascii="宋体" w:hAnsi="宋体" w:cs="宋体"/>
                      <w:color w:val="auto"/>
                      <w:szCs w:val="21"/>
                      <w:u w:val="none" w:color="auto"/>
                      <w:lang w:bidi="ar"/>
                    </w:rPr>
                    <w:t>平均浓度值</w:t>
                  </w:r>
                </w:p>
              </w:tc>
              <w:tc>
                <w:tcPr>
                  <w:tcW w:w="2018" w:type="dxa"/>
                  <w:vMerge w:val="restart"/>
                  <w:noWrap w:val="0"/>
                  <w:vAlign w:val="center"/>
                </w:tcPr>
                <w:p>
                  <w:pPr>
                    <w:jc w:val="center"/>
                    <w:rPr>
                      <w:color w:val="auto"/>
                      <w:szCs w:val="21"/>
                      <w:u w:val="none" w:color="auto"/>
                    </w:rPr>
                  </w:pPr>
                  <w:r>
                    <w:rPr>
                      <w:color w:val="auto"/>
                      <w:szCs w:val="21"/>
                      <w:u w:val="none" w:color="auto"/>
                      <w:lang w:bidi="ar"/>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2" w:type="dxa"/>
                  <w:vMerge w:val="continue"/>
                  <w:noWrap w:val="0"/>
                  <w:vAlign w:val="center"/>
                </w:tcPr>
                <w:p>
                  <w:pPr>
                    <w:rPr>
                      <w:color w:val="auto"/>
                      <w:szCs w:val="21"/>
                      <w:u w:val="none" w:color="auto"/>
                    </w:rPr>
                  </w:pPr>
                </w:p>
              </w:tc>
              <w:tc>
                <w:tcPr>
                  <w:tcW w:w="1518" w:type="dxa"/>
                  <w:noWrap w:val="0"/>
                  <w:vAlign w:val="center"/>
                </w:tcPr>
                <w:p>
                  <w:pPr>
                    <w:jc w:val="center"/>
                    <w:rPr>
                      <w:rFonts w:hint="default" w:eastAsia="宋体"/>
                      <w:color w:val="auto"/>
                      <w:szCs w:val="21"/>
                      <w:u w:val="none" w:color="auto"/>
                      <w:lang w:val="en-US" w:eastAsia="zh-CN" w:bidi="ar"/>
                    </w:rPr>
                  </w:pPr>
                  <w:r>
                    <w:rPr>
                      <w:rFonts w:hint="eastAsia"/>
                      <w:color w:val="auto"/>
                      <w:szCs w:val="21"/>
                      <w:u w:val="none" w:color="auto"/>
                      <w:lang w:val="en-US" w:eastAsia="zh-CN" w:bidi="ar"/>
                    </w:rPr>
                    <w:t>30</w:t>
                  </w:r>
                  <w:r>
                    <w:rPr>
                      <w:color w:val="auto"/>
                      <w:szCs w:val="21"/>
                      <w:u w:val="none" w:color="auto"/>
                      <w:lang w:bidi="ar"/>
                    </w:rPr>
                    <w:t>mg/m</w:t>
                  </w:r>
                  <w:r>
                    <w:rPr>
                      <w:color w:val="auto"/>
                      <w:szCs w:val="21"/>
                      <w:u w:val="none" w:color="auto"/>
                      <w:vertAlign w:val="superscript"/>
                      <w:lang w:bidi="ar"/>
                    </w:rPr>
                    <w:t>3</w:t>
                  </w:r>
                </w:p>
              </w:tc>
              <w:tc>
                <w:tcPr>
                  <w:tcW w:w="1548" w:type="dxa"/>
                  <w:noWrap w:val="0"/>
                  <w:vAlign w:val="center"/>
                </w:tcPr>
                <w:p>
                  <w:pPr>
                    <w:jc w:val="center"/>
                    <w:rPr>
                      <w:color w:val="auto"/>
                      <w:szCs w:val="21"/>
                      <w:u w:val="none" w:color="auto"/>
                    </w:rPr>
                  </w:pPr>
                  <w:r>
                    <w:rPr>
                      <w:color w:val="auto"/>
                      <w:szCs w:val="21"/>
                      <w:u w:val="none" w:color="auto"/>
                      <w:lang w:bidi="ar"/>
                    </w:rPr>
                    <w:t>监控点处任意一次浓度值</w:t>
                  </w:r>
                </w:p>
              </w:tc>
              <w:tc>
                <w:tcPr>
                  <w:tcW w:w="2018" w:type="dxa"/>
                  <w:vMerge w:val="continue"/>
                  <w:noWrap w:val="0"/>
                  <w:vAlign w:val="center"/>
                </w:tcPr>
                <w:p>
                  <w:pPr>
                    <w:rPr>
                      <w:color w:val="auto"/>
                      <w:szCs w:val="21"/>
                      <w:u w:val="none" w:color="auto"/>
                    </w:rPr>
                  </w:pPr>
                </w:p>
              </w:tc>
            </w:tr>
          </w:tbl>
          <w:p>
            <w:pPr>
              <w:pStyle w:val="25"/>
              <w:spacing w:before="0" w:beforeAutospacing="0" w:after="0" w:afterAutospacing="0"/>
              <w:jc w:val="center"/>
              <w:rPr>
                <w:rFonts w:hint="default" w:ascii="Times New Roman" w:hAnsi="Times New Roman" w:eastAsia="宋体" w:cs="Times New Roman"/>
                <w:b/>
                <w:color w:val="auto"/>
                <w:kern w:val="2"/>
                <w:sz w:val="24"/>
                <w:szCs w:val="24"/>
                <w:u w:val="none" w:color="auto"/>
                <w:lang w:val="en-US" w:eastAsia="zh-CN" w:bidi="ar"/>
              </w:rPr>
            </w:pPr>
            <w:r>
              <w:rPr>
                <w:rFonts w:hint="default" w:ascii="Times New Roman" w:hAnsi="Times New Roman" w:eastAsia="宋体" w:cs="Times New Roman"/>
                <w:b/>
                <w:color w:val="auto"/>
                <w:kern w:val="2"/>
                <w:sz w:val="24"/>
                <w:szCs w:val="24"/>
                <w:u w:val="none" w:color="auto"/>
                <w:lang w:val="en-US" w:eastAsia="zh-CN" w:bidi="ar"/>
              </w:rPr>
              <w:t>表</w:t>
            </w:r>
            <w:r>
              <w:rPr>
                <w:rFonts w:hint="eastAsia" w:ascii="Times New Roman" w:hAnsi="Times New Roman" w:eastAsia="宋体" w:cs="Times New Roman"/>
                <w:b/>
                <w:color w:val="auto"/>
                <w:kern w:val="2"/>
                <w:sz w:val="24"/>
                <w:szCs w:val="24"/>
                <w:u w:val="none" w:color="auto"/>
                <w:lang w:val="en-US" w:eastAsia="zh-CN" w:bidi="ar"/>
              </w:rPr>
              <w:t>3.6-3</w:t>
            </w:r>
            <w:r>
              <w:rPr>
                <w:rFonts w:hint="default" w:ascii="Times New Roman" w:hAnsi="Times New Roman" w:eastAsia="宋体" w:cs="Times New Roman"/>
                <w:b/>
                <w:color w:val="auto"/>
                <w:kern w:val="2"/>
                <w:sz w:val="24"/>
                <w:szCs w:val="24"/>
                <w:u w:val="none" w:color="auto"/>
                <w:lang w:val="en-US" w:eastAsia="zh-CN" w:bidi="ar"/>
              </w:rPr>
              <w:t>《饮食业油烟排放标准》（GB18483-2001）</w:t>
            </w:r>
          </w:p>
          <w:tbl>
            <w:tblPr>
              <w:tblStyle w:val="29"/>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3"/>
              <w:gridCol w:w="294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120"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规模</w:t>
                  </w:r>
                </w:p>
              </w:tc>
              <w:tc>
                <w:tcPr>
                  <w:tcW w:w="1875"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120"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基准灶头数</w:t>
                  </w:r>
                </w:p>
              </w:tc>
              <w:tc>
                <w:tcPr>
                  <w:tcW w:w="1875"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≥1，&lt;3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120"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对于灶头总功率（108J/h）</w:t>
                  </w:r>
                </w:p>
              </w:tc>
              <w:tc>
                <w:tcPr>
                  <w:tcW w:w="1875"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≥1.67，&lt;5.00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0"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最高允许排放浓度（mg/m</w:t>
                  </w:r>
                  <w:r>
                    <w:rPr>
                      <w:rFonts w:hint="default" w:ascii="Times New Roman" w:hAnsi="Times New Roman" w:cs="Times New Roman"/>
                      <w:b w:val="0"/>
                      <w:bCs/>
                      <w:color w:val="auto"/>
                      <w:sz w:val="21"/>
                      <w:szCs w:val="21"/>
                      <w:highlight w:val="none"/>
                      <w:u w:val="none" w:color="auto"/>
                      <w:vertAlign w:val="superscript"/>
                    </w:rPr>
                    <w:t>3</w:t>
                  </w:r>
                  <w:r>
                    <w:rPr>
                      <w:rFonts w:hint="default" w:ascii="Times New Roman" w:hAnsi="Times New Roman" w:cs="Times New Roman"/>
                      <w:b w:val="0"/>
                      <w:bCs/>
                      <w:color w:val="auto"/>
                      <w:sz w:val="21"/>
                      <w:szCs w:val="21"/>
                      <w:highlight w:val="none"/>
                      <w:u w:val="none" w:color="auto"/>
                    </w:rPr>
                    <w:t>）</w:t>
                  </w:r>
                </w:p>
              </w:tc>
              <w:tc>
                <w:tcPr>
                  <w:tcW w:w="1879" w:type="pct"/>
                  <w:gridSpan w:val="2"/>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120"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净化设施最低去除效率（%）</w:t>
                  </w:r>
                </w:p>
              </w:tc>
              <w:tc>
                <w:tcPr>
                  <w:tcW w:w="1875" w:type="pct"/>
                  <w:noWrap w:val="0"/>
                  <w:vAlign w:val="center"/>
                </w:tcPr>
                <w:p>
                  <w:pPr>
                    <w:widowControl/>
                    <w:spacing w:line="320" w:lineRule="exact"/>
                    <w:jc w:val="center"/>
                    <w:rPr>
                      <w:rFonts w:hint="default" w:ascii="Times New Roman" w:hAnsi="Times New Roman" w:cs="Times New Roman"/>
                      <w:b w:val="0"/>
                      <w:bCs/>
                      <w:color w:val="auto"/>
                      <w:kern w:val="0"/>
                      <w:sz w:val="21"/>
                      <w:szCs w:val="21"/>
                      <w:highlight w:val="none"/>
                      <w:u w:val="none" w:color="auto"/>
                    </w:rPr>
                  </w:pPr>
                  <w:r>
                    <w:rPr>
                      <w:rFonts w:hint="default" w:ascii="Times New Roman" w:hAnsi="Times New Roman" w:cs="Times New Roman"/>
                      <w:b w:val="0"/>
                      <w:bCs/>
                      <w:color w:val="auto"/>
                      <w:sz w:val="21"/>
                      <w:szCs w:val="21"/>
                      <w:highlight w:val="none"/>
                      <w:u w:val="none" w:color="auto"/>
                    </w:rPr>
                    <w:t>60</w:t>
                  </w:r>
                </w:p>
              </w:tc>
            </w:tr>
          </w:tbl>
          <w:p>
            <w:pPr>
              <w:pStyle w:val="56"/>
              <w:bidi w:val="0"/>
              <w:rPr>
                <w:rFonts w:hint="default"/>
                <w:color w:val="auto"/>
                <w:sz w:val="24"/>
                <w:szCs w:val="24"/>
                <w:highlight w:val="none"/>
                <w:u w:val="none"/>
              </w:rPr>
            </w:pPr>
            <w:r>
              <w:rPr>
                <w:rFonts w:hint="default"/>
                <w:color w:val="auto"/>
                <w:sz w:val="24"/>
                <w:szCs w:val="24"/>
                <w:highlight w:val="none"/>
                <w:u w:val="none"/>
              </w:rPr>
              <w:t>2、废水</w:t>
            </w:r>
          </w:p>
          <w:p>
            <w:pPr>
              <w:pStyle w:val="62"/>
              <w:bidi w:val="0"/>
              <w:rPr>
                <w:rFonts w:hint="eastAsia"/>
                <w:color w:val="auto"/>
                <w:sz w:val="24"/>
                <w:szCs w:val="24"/>
                <w:u w:val="none"/>
                <w:lang w:val="en-US" w:eastAsia="zh-CN"/>
              </w:rPr>
            </w:pPr>
            <w:r>
              <w:rPr>
                <w:rFonts w:hint="eastAsia"/>
                <w:color w:val="auto"/>
                <w:sz w:val="24"/>
                <w:szCs w:val="24"/>
                <w:u w:val="none"/>
                <w:lang w:val="en-US" w:eastAsia="zh-CN"/>
              </w:rPr>
              <w:t>本次改扩建不新增生活污水，新增生产废水依托现有污水处理设施处理。现有工程化学置换工序属于化学镀，根据《电镀污染物排放标准》（GB21900-2008）适用范围中“</w:t>
            </w:r>
            <w:r>
              <w:rPr>
                <w:rFonts w:hint="eastAsia"/>
                <w:color w:val="auto"/>
                <w:sz w:val="24"/>
                <w:szCs w:val="24"/>
              </w:rPr>
              <w:t>企业向设置污水处理厂的城镇排水系统排放废水时，有毒污染物总铬、六价铬、总镍、总镉、总银、总铅、总汞在本标准规定的监控位置执行相应的排放限值</w:t>
            </w:r>
            <w:r>
              <w:rPr>
                <w:rFonts w:hint="eastAsia"/>
                <w:color w:val="auto"/>
                <w:sz w:val="24"/>
                <w:szCs w:val="24"/>
                <w:lang w:eastAsia="zh-CN"/>
              </w:rPr>
              <w:t>；</w:t>
            </w:r>
            <w:r>
              <w:rPr>
                <w:rFonts w:hint="eastAsia"/>
                <w:color w:val="auto"/>
                <w:sz w:val="24"/>
                <w:szCs w:val="24"/>
              </w:rPr>
              <w:t>其他污染物的排放控制要求由企业与城镇污水处理厂根据其污水处理能力商定或执行相关标准，并报当地环境保护主管部门备案</w:t>
            </w:r>
            <w:r>
              <w:rPr>
                <w:rFonts w:hint="eastAsia"/>
                <w:color w:val="auto"/>
                <w:sz w:val="24"/>
                <w:szCs w:val="24"/>
                <w:u w:val="none"/>
                <w:lang w:val="en-US" w:eastAsia="zh-CN"/>
              </w:rPr>
              <w:t>”。现有工程废水污染物不涉及“总铬、六价铬、总镍、总镉、总银、总铅、总汞”，根据污水接纳协议（见附件14），与污水处理厂商定，生产废水执行《污水综合排放标准》（GB8978-1996）中三级标准和湘阴县第三污水处理厂进水水质要求的较严值，再</w:t>
            </w:r>
            <w:r>
              <w:rPr>
                <w:rFonts w:hint="eastAsia"/>
                <w:color w:val="auto"/>
                <w:sz w:val="24"/>
                <w:szCs w:val="24"/>
                <w:u w:val="none"/>
                <w:lang w:eastAsia="zh-CN"/>
              </w:rPr>
              <w:t>经园区污水管道汇入</w:t>
            </w:r>
            <w:r>
              <w:rPr>
                <w:rFonts w:hint="eastAsia"/>
                <w:color w:val="auto"/>
                <w:sz w:val="24"/>
                <w:szCs w:val="24"/>
                <w:u w:val="none"/>
                <w:lang w:val="en-US" w:eastAsia="zh-CN"/>
              </w:rPr>
              <w:t>湘阴县第三污水处理厂处理</w:t>
            </w:r>
            <w:r>
              <w:rPr>
                <w:rFonts w:hint="eastAsia"/>
                <w:color w:val="auto"/>
                <w:sz w:val="24"/>
                <w:szCs w:val="24"/>
                <w:u w:val="none"/>
                <w:lang w:eastAsia="zh-CN"/>
              </w:rPr>
              <w:t>达到</w:t>
            </w:r>
            <w:r>
              <w:rPr>
                <w:rFonts w:hint="eastAsia"/>
                <w:color w:val="auto"/>
                <w:sz w:val="24"/>
                <w:szCs w:val="24"/>
                <w:u w:val="none"/>
              </w:rPr>
              <w:t>《城镇污水处理厂污染物排放标准》（GB18918-2002）一级</w:t>
            </w:r>
            <w:r>
              <w:rPr>
                <w:rFonts w:hint="eastAsia"/>
                <w:color w:val="auto"/>
                <w:sz w:val="24"/>
                <w:szCs w:val="24"/>
                <w:u w:val="none"/>
                <w:lang w:val="en-US" w:eastAsia="zh-CN"/>
              </w:rPr>
              <w:t>A标准</w:t>
            </w:r>
            <w:r>
              <w:rPr>
                <w:rFonts w:hint="eastAsia" w:hAnsi="宋体"/>
                <w:color w:val="auto"/>
                <w:kern w:val="0"/>
                <w:sz w:val="24"/>
                <w:szCs w:val="24"/>
              </w:rPr>
              <w:t>排入洋沙河</w:t>
            </w:r>
            <w:r>
              <w:rPr>
                <w:rFonts w:hint="eastAsia" w:hAnsi="宋体"/>
                <w:color w:val="auto"/>
                <w:kern w:val="0"/>
                <w:sz w:val="24"/>
                <w:szCs w:val="24"/>
                <w:lang w:eastAsia="zh-CN"/>
              </w:rPr>
              <w:t>，</w:t>
            </w:r>
            <w:r>
              <w:rPr>
                <w:rFonts w:hint="eastAsia" w:hAnsi="宋体"/>
                <w:color w:val="auto"/>
                <w:kern w:val="0"/>
                <w:sz w:val="24"/>
                <w:szCs w:val="24"/>
              </w:rPr>
              <w:t>再经洋沙湖排入湘江。</w:t>
            </w:r>
          </w:p>
          <w:p>
            <w:pPr>
              <w:pStyle w:val="60"/>
              <w:bidi w:val="0"/>
              <w:spacing w:line="240" w:lineRule="auto"/>
              <w:rPr>
                <w:rFonts w:hint="eastAsia"/>
                <w:color w:val="auto"/>
                <w:sz w:val="24"/>
                <w:szCs w:val="24"/>
                <w:u w:val="none"/>
              </w:rPr>
            </w:pPr>
            <w:r>
              <w:rPr>
                <w:color w:val="auto"/>
                <w:sz w:val="24"/>
                <w:szCs w:val="24"/>
                <w:u w:val="none"/>
              </w:rPr>
              <w:t>表</w:t>
            </w:r>
            <w:r>
              <w:rPr>
                <w:rFonts w:hint="eastAsia"/>
                <w:color w:val="auto"/>
                <w:sz w:val="24"/>
                <w:szCs w:val="24"/>
                <w:u w:val="none"/>
                <w:lang w:val="en-US" w:eastAsia="zh-CN"/>
              </w:rPr>
              <w:t>3.6-4废水排放标准</w:t>
            </w:r>
            <w:r>
              <w:rPr>
                <w:rFonts w:hint="eastAsia"/>
                <w:color w:val="auto"/>
                <w:sz w:val="24"/>
                <w:szCs w:val="24"/>
                <w:u w:val="none"/>
              </w:rPr>
              <w:t>（单位：mg/L</w:t>
            </w:r>
            <w:r>
              <w:rPr>
                <w:rFonts w:hint="eastAsia"/>
                <w:color w:val="auto"/>
                <w:sz w:val="24"/>
                <w:szCs w:val="24"/>
                <w:u w:val="none"/>
                <w:lang w:eastAsia="zh-CN"/>
              </w:rPr>
              <w:t>，</w:t>
            </w:r>
            <w:r>
              <w:rPr>
                <w:rFonts w:hint="eastAsia"/>
                <w:color w:val="auto"/>
                <w:sz w:val="24"/>
                <w:szCs w:val="24"/>
                <w:u w:val="none"/>
              </w:rPr>
              <w:t>除pH外）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850"/>
              <w:gridCol w:w="802"/>
              <w:gridCol w:w="709"/>
              <w:gridCol w:w="824"/>
              <w:gridCol w:w="673"/>
              <w:gridCol w:w="735"/>
              <w:gridCol w:w="642"/>
              <w:gridCol w:w="576"/>
              <w:gridCol w:w="477"/>
              <w:gridCol w:w="676"/>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850" w:type="dxa"/>
                  <w:vAlign w:val="center"/>
                </w:tcPr>
                <w:p>
                  <w:pPr>
                    <w:pStyle w:val="55"/>
                    <w:bidi w:val="0"/>
                    <w:spacing w:line="240" w:lineRule="auto"/>
                    <w:rPr>
                      <w:b/>
                      <w:bCs w:val="0"/>
                      <w:color w:val="auto"/>
                      <w:u w:val="none"/>
                    </w:rPr>
                  </w:pPr>
                  <w:r>
                    <w:rPr>
                      <w:b/>
                      <w:bCs w:val="0"/>
                      <w:color w:val="auto"/>
                      <w:u w:val="none"/>
                    </w:rPr>
                    <w:t>污染物名称</w:t>
                  </w:r>
                </w:p>
              </w:tc>
              <w:tc>
                <w:tcPr>
                  <w:tcW w:w="802" w:type="dxa"/>
                  <w:vAlign w:val="center"/>
                </w:tcPr>
                <w:p>
                  <w:pPr>
                    <w:pStyle w:val="55"/>
                    <w:bidi w:val="0"/>
                    <w:spacing w:line="240" w:lineRule="auto"/>
                    <w:rPr>
                      <w:b/>
                      <w:bCs w:val="0"/>
                      <w:color w:val="auto"/>
                      <w:u w:val="none"/>
                    </w:rPr>
                  </w:pPr>
                  <w:r>
                    <w:rPr>
                      <w:b/>
                      <w:bCs w:val="0"/>
                      <w:color w:val="auto"/>
                      <w:u w:val="none"/>
                    </w:rPr>
                    <w:t>pH</w:t>
                  </w:r>
                </w:p>
              </w:tc>
              <w:tc>
                <w:tcPr>
                  <w:tcW w:w="709" w:type="dxa"/>
                  <w:vAlign w:val="center"/>
                </w:tcPr>
                <w:p>
                  <w:pPr>
                    <w:pStyle w:val="55"/>
                    <w:bidi w:val="0"/>
                    <w:spacing w:line="240" w:lineRule="auto"/>
                    <w:rPr>
                      <w:b/>
                      <w:bCs w:val="0"/>
                      <w:color w:val="auto"/>
                      <w:u w:val="none"/>
                    </w:rPr>
                  </w:pPr>
                  <w:r>
                    <w:rPr>
                      <w:b/>
                      <w:bCs w:val="0"/>
                      <w:color w:val="auto"/>
                      <w:u w:val="none"/>
                    </w:rPr>
                    <w:t>COD</w:t>
                  </w:r>
                </w:p>
              </w:tc>
              <w:tc>
                <w:tcPr>
                  <w:tcW w:w="824" w:type="dxa"/>
                  <w:vAlign w:val="center"/>
                </w:tcPr>
                <w:p>
                  <w:pPr>
                    <w:pStyle w:val="55"/>
                    <w:bidi w:val="0"/>
                    <w:spacing w:line="240" w:lineRule="auto"/>
                    <w:rPr>
                      <w:b/>
                      <w:bCs w:val="0"/>
                      <w:color w:val="auto"/>
                      <w:u w:val="none"/>
                    </w:rPr>
                  </w:pPr>
                  <w:r>
                    <w:rPr>
                      <w:b/>
                      <w:bCs w:val="0"/>
                      <w:color w:val="auto"/>
                      <w:u w:val="none"/>
                    </w:rPr>
                    <w:t>BOD</w:t>
                  </w:r>
                  <w:r>
                    <w:rPr>
                      <w:b/>
                      <w:bCs w:val="0"/>
                      <w:color w:val="auto"/>
                      <w:u w:val="none"/>
                      <w:vertAlign w:val="subscript"/>
                    </w:rPr>
                    <w:t>5</w:t>
                  </w:r>
                </w:p>
              </w:tc>
              <w:tc>
                <w:tcPr>
                  <w:tcW w:w="673" w:type="dxa"/>
                  <w:vAlign w:val="center"/>
                </w:tcPr>
                <w:p>
                  <w:pPr>
                    <w:pStyle w:val="55"/>
                    <w:bidi w:val="0"/>
                    <w:spacing w:line="240" w:lineRule="auto"/>
                    <w:rPr>
                      <w:b/>
                      <w:bCs w:val="0"/>
                      <w:color w:val="auto"/>
                      <w:u w:val="none"/>
                    </w:rPr>
                  </w:pPr>
                  <w:r>
                    <w:rPr>
                      <w:b/>
                      <w:bCs w:val="0"/>
                      <w:color w:val="auto"/>
                      <w:u w:val="none"/>
                    </w:rPr>
                    <w:t>SS</w:t>
                  </w:r>
                </w:p>
              </w:tc>
              <w:tc>
                <w:tcPr>
                  <w:tcW w:w="735" w:type="dxa"/>
                  <w:vAlign w:val="center"/>
                </w:tcPr>
                <w:p>
                  <w:pPr>
                    <w:pStyle w:val="55"/>
                    <w:bidi w:val="0"/>
                    <w:spacing w:line="240" w:lineRule="auto"/>
                    <w:rPr>
                      <w:b/>
                      <w:bCs w:val="0"/>
                      <w:color w:val="auto"/>
                      <w:u w:val="none"/>
                    </w:rPr>
                  </w:pPr>
                  <w:r>
                    <w:rPr>
                      <w:rFonts w:hint="eastAsia"/>
                      <w:b/>
                      <w:bCs w:val="0"/>
                      <w:color w:val="auto"/>
                      <w:u w:val="none"/>
                    </w:rPr>
                    <w:t>氨氮</w:t>
                  </w:r>
                </w:p>
              </w:tc>
              <w:tc>
                <w:tcPr>
                  <w:tcW w:w="642" w:type="dxa"/>
                  <w:vAlign w:val="center"/>
                </w:tcPr>
                <w:p>
                  <w:pPr>
                    <w:pStyle w:val="55"/>
                    <w:bidi w:val="0"/>
                    <w:spacing w:line="240" w:lineRule="auto"/>
                    <w:rPr>
                      <w:rFonts w:hint="default"/>
                      <w:b/>
                      <w:bCs w:val="0"/>
                      <w:color w:val="auto"/>
                      <w:u w:val="none"/>
                      <w:lang w:val="en-US" w:eastAsia="zh-CN"/>
                    </w:rPr>
                  </w:pPr>
                  <w:r>
                    <w:rPr>
                      <w:rFonts w:hint="eastAsia"/>
                      <w:b/>
                      <w:bCs w:val="0"/>
                      <w:color w:val="auto"/>
                      <w:u w:val="none"/>
                      <w:lang w:val="en-US" w:eastAsia="zh-CN"/>
                    </w:rPr>
                    <w:t>TN</w:t>
                  </w:r>
                </w:p>
              </w:tc>
              <w:tc>
                <w:tcPr>
                  <w:tcW w:w="576" w:type="dxa"/>
                  <w:vAlign w:val="center"/>
                </w:tcPr>
                <w:p>
                  <w:pPr>
                    <w:pStyle w:val="55"/>
                    <w:bidi w:val="0"/>
                    <w:spacing w:line="240" w:lineRule="auto"/>
                    <w:rPr>
                      <w:rFonts w:hint="default"/>
                      <w:b/>
                      <w:bCs w:val="0"/>
                      <w:color w:val="auto"/>
                      <w:u w:val="none"/>
                      <w:lang w:val="en-US" w:eastAsia="zh-CN"/>
                    </w:rPr>
                  </w:pPr>
                  <w:r>
                    <w:rPr>
                      <w:rFonts w:hint="eastAsia"/>
                      <w:b/>
                      <w:bCs w:val="0"/>
                      <w:color w:val="auto"/>
                      <w:u w:val="none"/>
                      <w:lang w:val="en-US" w:eastAsia="zh-CN"/>
                    </w:rPr>
                    <w:t>TP</w:t>
                  </w:r>
                </w:p>
              </w:tc>
              <w:tc>
                <w:tcPr>
                  <w:tcW w:w="477" w:type="dxa"/>
                  <w:vAlign w:val="center"/>
                </w:tcPr>
                <w:p>
                  <w:pPr>
                    <w:pStyle w:val="55"/>
                    <w:bidi w:val="0"/>
                    <w:spacing w:line="240" w:lineRule="auto"/>
                    <w:rPr>
                      <w:rFonts w:hint="eastAsia"/>
                      <w:b/>
                      <w:bCs w:val="0"/>
                      <w:color w:val="auto"/>
                      <w:u w:val="none"/>
                      <w:lang w:val="en-US" w:eastAsia="zh-CN"/>
                    </w:rPr>
                  </w:pPr>
                  <w:r>
                    <w:rPr>
                      <w:rFonts w:hint="eastAsia"/>
                      <w:b/>
                      <w:bCs w:val="0"/>
                      <w:color w:val="auto"/>
                      <w:u w:val="none"/>
                      <w:lang w:val="en-US" w:eastAsia="zh-CN"/>
                    </w:rPr>
                    <w:t>总铁</w:t>
                  </w:r>
                </w:p>
              </w:tc>
              <w:tc>
                <w:tcPr>
                  <w:tcW w:w="676" w:type="dxa"/>
                  <w:vAlign w:val="center"/>
                </w:tcPr>
                <w:p>
                  <w:pPr>
                    <w:pStyle w:val="55"/>
                    <w:bidi w:val="0"/>
                    <w:spacing w:line="240" w:lineRule="auto"/>
                    <w:rPr>
                      <w:rFonts w:hint="eastAsia"/>
                      <w:b/>
                      <w:bCs w:val="0"/>
                      <w:color w:val="auto"/>
                      <w:u w:val="none"/>
                      <w:lang w:val="en-US" w:eastAsia="zh-CN"/>
                    </w:rPr>
                  </w:pPr>
                  <w:r>
                    <w:rPr>
                      <w:rFonts w:hint="eastAsia"/>
                      <w:b/>
                      <w:bCs w:val="0"/>
                      <w:color w:val="auto"/>
                      <w:u w:val="none"/>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850" w:type="dxa"/>
                  <w:vAlign w:val="center"/>
                </w:tcPr>
                <w:p>
                  <w:pPr>
                    <w:pStyle w:val="55"/>
                    <w:bidi w:val="0"/>
                    <w:spacing w:line="240" w:lineRule="auto"/>
                    <w:rPr>
                      <w:rFonts w:hint="eastAsia"/>
                      <w:color w:val="auto"/>
                      <w:u w:val="none"/>
                      <w:lang w:eastAsia="zh-CN"/>
                    </w:rPr>
                  </w:pPr>
                  <w:r>
                    <w:rPr>
                      <w:rFonts w:hint="eastAsia"/>
                      <w:color w:val="auto"/>
                      <w:u w:val="none"/>
                      <w:lang w:val="en-US" w:eastAsia="zh-CN"/>
                    </w:rPr>
                    <w:t>（GB8978-1996）中三级标准</w:t>
                  </w:r>
                </w:p>
              </w:tc>
              <w:tc>
                <w:tcPr>
                  <w:tcW w:w="802"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6-9</w:t>
                  </w:r>
                </w:p>
              </w:tc>
              <w:tc>
                <w:tcPr>
                  <w:tcW w:w="709"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500</w:t>
                  </w:r>
                </w:p>
              </w:tc>
              <w:tc>
                <w:tcPr>
                  <w:tcW w:w="824"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300</w:t>
                  </w:r>
                </w:p>
              </w:tc>
              <w:tc>
                <w:tcPr>
                  <w:tcW w:w="673"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400</w:t>
                  </w:r>
                </w:p>
              </w:tc>
              <w:tc>
                <w:tcPr>
                  <w:tcW w:w="735" w:type="dxa"/>
                  <w:vAlign w:val="center"/>
                </w:tcPr>
                <w:p>
                  <w:pPr>
                    <w:pStyle w:val="55"/>
                    <w:bidi w:val="0"/>
                    <w:spacing w:line="240" w:lineRule="auto"/>
                    <w:rPr>
                      <w:rFonts w:hint="default"/>
                      <w:color w:val="auto"/>
                      <w:u w:val="none"/>
                      <w:lang w:val="en-US" w:eastAsia="zh-CN"/>
                    </w:rPr>
                  </w:pPr>
                  <w:r>
                    <w:rPr>
                      <w:rFonts w:hint="eastAsia"/>
                      <w:color w:val="auto"/>
                      <w:u w:val="none"/>
                      <w:shd w:val="clear" w:color="auto" w:fill="auto"/>
                      <w:lang w:val="en-US" w:eastAsia="zh-CN"/>
                    </w:rPr>
                    <w:t>/</w:t>
                  </w:r>
                </w:p>
              </w:tc>
              <w:tc>
                <w:tcPr>
                  <w:tcW w:w="642"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w:t>
                  </w:r>
                </w:p>
              </w:tc>
              <w:tc>
                <w:tcPr>
                  <w:tcW w:w="576"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w:t>
                  </w:r>
                </w:p>
              </w:tc>
              <w:tc>
                <w:tcPr>
                  <w:tcW w:w="477"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w:t>
                  </w:r>
                </w:p>
              </w:tc>
              <w:tc>
                <w:tcPr>
                  <w:tcW w:w="676"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850"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湘阴县第三污水处理厂进水水质</w:t>
                  </w:r>
                </w:p>
              </w:tc>
              <w:tc>
                <w:tcPr>
                  <w:tcW w:w="802"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6-9</w:t>
                  </w:r>
                </w:p>
              </w:tc>
              <w:tc>
                <w:tcPr>
                  <w:tcW w:w="709"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500</w:t>
                  </w:r>
                </w:p>
              </w:tc>
              <w:tc>
                <w:tcPr>
                  <w:tcW w:w="824"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180</w:t>
                  </w:r>
                </w:p>
              </w:tc>
              <w:tc>
                <w:tcPr>
                  <w:tcW w:w="673"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220</w:t>
                  </w:r>
                </w:p>
              </w:tc>
              <w:tc>
                <w:tcPr>
                  <w:tcW w:w="735"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30</w:t>
                  </w:r>
                </w:p>
              </w:tc>
              <w:tc>
                <w:tcPr>
                  <w:tcW w:w="642" w:type="dxa"/>
                  <w:vAlign w:val="center"/>
                </w:tcPr>
                <w:p>
                  <w:pPr>
                    <w:pStyle w:val="55"/>
                    <w:bidi w:val="0"/>
                    <w:spacing w:line="240" w:lineRule="auto"/>
                    <w:rPr>
                      <w:rFonts w:hint="default"/>
                      <w:color w:val="auto"/>
                      <w:u w:val="none"/>
                      <w:lang w:val="en-US" w:eastAsia="zh-CN"/>
                    </w:rPr>
                  </w:pPr>
                  <w:r>
                    <w:rPr>
                      <w:rFonts w:hint="eastAsia" w:cs="Times New Roman"/>
                      <w:bCs/>
                      <w:color w:val="auto"/>
                      <w:kern w:val="2"/>
                      <w:sz w:val="21"/>
                      <w:szCs w:val="21"/>
                      <w:u w:val="none"/>
                      <w:lang w:val="en-US" w:eastAsia="zh-CN" w:bidi="ar"/>
                    </w:rPr>
                    <w:t>45</w:t>
                  </w:r>
                </w:p>
              </w:tc>
              <w:tc>
                <w:tcPr>
                  <w:tcW w:w="576" w:type="dxa"/>
                  <w:vAlign w:val="center"/>
                </w:tcPr>
                <w:p>
                  <w:pPr>
                    <w:pStyle w:val="55"/>
                    <w:bidi w:val="0"/>
                    <w:spacing w:line="240" w:lineRule="auto"/>
                    <w:rPr>
                      <w:rFonts w:hint="default"/>
                      <w:color w:val="auto"/>
                      <w:u w:val="none"/>
                      <w:lang w:val="en-US" w:eastAsia="zh-CN"/>
                    </w:rPr>
                  </w:pPr>
                  <w:r>
                    <w:rPr>
                      <w:rFonts w:hint="eastAsia" w:cs="Times New Roman"/>
                      <w:bCs/>
                      <w:color w:val="auto"/>
                      <w:kern w:val="2"/>
                      <w:sz w:val="21"/>
                      <w:szCs w:val="21"/>
                      <w:u w:val="none"/>
                      <w:lang w:val="en-US" w:eastAsia="zh-CN" w:bidi="ar"/>
                    </w:rPr>
                    <w:t>4</w:t>
                  </w:r>
                </w:p>
              </w:tc>
              <w:tc>
                <w:tcPr>
                  <w:tcW w:w="477" w:type="dxa"/>
                  <w:vAlign w:val="center"/>
                </w:tcPr>
                <w:p>
                  <w:pPr>
                    <w:pStyle w:val="55"/>
                    <w:bidi w:val="0"/>
                    <w:spacing w:line="240" w:lineRule="auto"/>
                    <w:rPr>
                      <w:rFonts w:hint="default" w:cs="Times New Roman"/>
                      <w:bCs/>
                      <w:color w:val="auto"/>
                      <w:kern w:val="2"/>
                      <w:sz w:val="21"/>
                      <w:szCs w:val="21"/>
                      <w:u w:val="none"/>
                      <w:lang w:val="en-US" w:eastAsia="zh-CN" w:bidi="ar"/>
                    </w:rPr>
                  </w:pPr>
                  <w:r>
                    <w:rPr>
                      <w:rFonts w:hint="eastAsia" w:cs="Times New Roman"/>
                      <w:bCs/>
                      <w:color w:val="auto"/>
                      <w:kern w:val="2"/>
                      <w:sz w:val="21"/>
                      <w:szCs w:val="21"/>
                      <w:u w:val="none"/>
                      <w:lang w:val="en-US" w:eastAsia="zh-CN" w:bidi="ar"/>
                    </w:rPr>
                    <w:t>/</w:t>
                  </w:r>
                </w:p>
              </w:tc>
              <w:tc>
                <w:tcPr>
                  <w:tcW w:w="676" w:type="dxa"/>
                  <w:vAlign w:val="center"/>
                </w:tcPr>
                <w:p>
                  <w:pPr>
                    <w:pStyle w:val="55"/>
                    <w:bidi w:val="0"/>
                    <w:spacing w:line="240" w:lineRule="auto"/>
                    <w:rPr>
                      <w:rFonts w:hint="default" w:cs="Times New Roman"/>
                      <w:bCs/>
                      <w:color w:val="auto"/>
                      <w:kern w:val="2"/>
                      <w:sz w:val="21"/>
                      <w:szCs w:val="21"/>
                      <w:u w:val="none"/>
                      <w:lang w:val="en-US" w:eastAsia="zh-CN" w:bidi="ar"/>
                    </w:rPr>
                  </w:pPr>
                  <w:r>
                    <w:rPr>
                      <w:rFonts w:hint="eastAsia" w:cs="Times New Roman"/>
                      <w:bCs/>
                      <w:color w:val="auto"/>
                      <w:kern w:val="2"/>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850" w:type="dxa"/>
                  <w:vAlign w:val="center"/>
                </w:tcPr>
                <w:p>
                  <w:pPr>
                    <w:pStyle w:val="55"/>
                    <w:bidi w:val="0"/>
                    <w:spacing w:line="240" w:lineRule="auto"/>
                    <w:rPr>
                      <w:rFonts w:hint="default"/>
                      <w:b/>
                      <w:bCs w:val="0"/>
                      <w:color w:val="auto"/>
                      <w:u w:val="none"/>
                      <w:lang w:val="en-US" w:eastAsia="zh-CN"/>
                    </w:rPr>
                  </w:pPr>
                  <w:r>
                    <w:rPr>
                      <w:rFonts w:hint="eastAsia"/>
                      <w:b/>
                      <w:bCs w:val="0"/>
                      <w:color w:val="auto"/>
                      <w:u w:val="none"/>
                      <w:lang w:val="en-US" w:eastAsia="zh-CN"/>
                    </w:rPr>
                    <w:t>企业排放标准</w:t>
                  </w:r>
                </w:p>
              </w:tc>
              <w:tc>
                <w:tcPr>
                  <w:tcW w:w="802" w:type="dxa"/>
                  <w:vAlign w:val="center"/>
                </w:tcPr>
                <w:p>
                  <w:pPr>
                    <w:pStyle w:val="55"/>
                    <w:bidi w:val="0"/>
                    <w:spacing w:line="240" w:lineRule="auto"/>
                    <w:rPr>
                      <w:rFonts w:hint="eastAsia"/>
                      <w:b/>
                      <w:bCs w:val="0"/>
                      <w:color w:val="auto"/>
                      <w:u w:val="none"/>
                      <w:lang w:val="en-US" w:eastAsia="zh-CN"/>
                    </w:rPr>
                  </w:pPr>
                  <w:r>
                    <w:rPr>
                      <w:rFonts w:hint="eastAsia"/>
                      <w:b/>
                      <w:bCs w:val="0"/>
                      <w:color w:val="auto"/>
                      <w:u w:val="none"/>
                      <w:lang w:val="en-US" w:eastAsia="zh-CN"/>
                    </w:rPr>
                    <w:t>6-9</w:t>
                  </w:r>
                </w:p>
              </w:tc>
              <w:tc>
                <w:tcPr>
                  <w:tcW w:w="709" w:type="dxa"/>
                  <w:vAlign w:val="center"/>
                </w:tcPr>
                <w:p>
                  <w:pPr>
                    <w:pStyle w:val="55"/>
                    <w:bidi w:val="0"/>
                    <w:spacing w:line="240" w:lineRule="auto"/>
                    <w:rPr>
                      <w:rFonts w:hint="eastAsia"/>
                      <w:b/>
                      <w:bCs w:val="0"/>
                      <w:color w:val="auto"/>
                      <w:u w:val="none"/>
                      <w:lang w:val="en-US" w:eastAsia="zh-CN"/>
                    </w:rPr>
                  </w:pPr>
                  <w:r>
                    <w:rPr>
                      <w:rFonts w:hint="eastAsia"/>
                      <w:b/>
                      <w:bCs w:val="0"/>
                      <w:color w:val="auto"/>
                      <w:u w:val="none"/>
                      <w:lang w:val="en-US" w:eastAsia="zh-CN"/>
                    </w:rPr>
                    <w:t>500</w:t>
                  </w:r>
                </w:p>
              </w:tc>
              <w:tc>
                <w:tcPr>
                  <w:tcW w:w="824" w:type="dxa"/>
                  <w:vAlign w:val="center"/>
                </w:tcPr>
                <w:p>
                  <w:pPr>
                    <w:pStyle w:val="55"/>
                    <w:bidi w:val="0"/>
                    <w:spacing w:line="240" w:lineRule="auto"/>
                    <w:rPr>
                      <w:rFonts w:hint="default"/>
                      <w:b/>
                      <w:bCs w:val="0"/>
                      <w:color w:val="auto"/>
                      <w:u w:val="none"/>
                      <w:lang w:val="en-US" w:eastAsia="zh-CN"/>
                    </w:rPr>
                  </w:pPr>
                  <w:r>
                    <w:rPr>
                      <w:rFonts w:hint="eastAsia"/>
                      <w:b/>
                      <w:bCs w:val="0"/>
                      <w:color w:val="auto"/>
                      <w:u w:val="none"/>
                      <w:lang w:val="en-US" w:eastAsia="zh-CN"/>
                    </w:rPr>
                    <w:t>180</w:t>
                  </w:r>
                </w:p>
              </w:tc>
              <w:tc>
                <w:tcPr>
                  <w:tcW w:w="673" w:type="dxa"/>
                  <w:vAlign w:val="center"/>
                </w:tcPr>
                <w:p>
                  <w:pPr>
                    <w:pStyle w:val="55"/>
                    <w:bidi w:val="0"/>
                    <w:spacing w:line="240" w:lineRule="auto"/>
                    <w:rPr>
                      <w:rFonts w:hint="default" w:ascii="Times New Roman" w:hAnsi="Times New Roman" w:eastAsia="宋体" w:cs="Times New Roman"/>
                      <w:b/>
                      <w:bCs w:val="0"/>
                      <w:color w:val="auto"/>
                      <w:kern w:val="2"/>
                      <w:sz w:val="21"/>
                      <w:szCs w:val="21"/>
                      <w:u w:val="none"/>
                      <w:lang w:val="en-US" w:eastAsia="zh-CN" w:bidi="ar"/>
                    </w:rPr>
                  </w:pPr>
                  <w:r>
                    <w:rPr>
                      <w:rFonts w:hint="eastAsia"/>
                      <w:b/>
                      <w:bCs w:val="0"/>
                      <w:color w:val="auto"/>
                      <w:u w:val="none"/>
                      <w:lang w:val="en-US" w:eastAsia="zh-CN"/>
                    </w:rPr>
                    <w:t>220</w:t>
                  </w:r>
                </w:p>
              </w:tc>
              <w:tc>
                <w:tcPr>
                  <w:tcW w:w="735" w:type="dxa"/>
                  <w:vAlign w:val="center"/>
                </w:tcPr>
                <w:p>
                  <w:pPr>
                    <w:pStyle w:val="55"/>
                    <w:bidi w:val="0"/>
                    <w:spacing w:line="240" w:lineRule="auto"/>
                    <w:rPr>
                      <w:rFonts w:hint="default" w:ascii="Times New Roman" w:hAnsi="Times New Roman" w:eastAsia="宋体" w:cs="Times New Roman"/>
                      <w:b/>
                      <w:bCs w:val="0"/>
                      <w:color w:val="auto"/>
                      <w:kern w:val="2"/>
                      <w:sz w:val="21"/>
                      <w:szCs w:val="21"/>
                      <w:u w:val="none"/>
                      <w:lang w:val="en-US" w:eastAsia="zh-CN" w:bidi="ar"/>
                    </w:rPr>
                  </w:pPr>
                  <w:r>
                    <w:rPr>
                      <w:rFonts w:hint="eastAsia"/>
                      <w:b/>
                      <w:bCs w:val="0"/>
                      <w:color w:val="auto"/>
                      <w:u w:val="none"/>
                      <w:lang w:val="en-US" w:eastAsia="zh-CN"/>
                    </w:rPr>
                    <w:t>30</w:t>
                  </w:r>
                </w:p>
              </w:tc>
              <w:tc>
                <w:tcPr>
                  <w:tcW w:w="642" w:type="dxa"/>
                  <w:vAlign w:val="center"/>
                </w:tcPr>
                <w:p>
                  <w:pPr>
                    <w:pStyle w:val="55"/>
                    <w:bidi w:val="0"/>
                    <w:spacing w:line="240" w:lineRule="auto"/>
                    <w:rPr>
                      <w:rFonts w:hint="default" w:ascii="Times New Roman" w:hAnsi="Times New Roman" w:eastAsia="宋体" w:cs="Times New Roman"/>
                      <w:b/>
                      <w:bCs w:val="0"/>
                      <w:color w:val="auto"/>
                      <w:kern w:val="2"/>
                      <w:sz w:val="21"/>
                      <w:szCs w:val="21"/>
                      <w:u w:val="none"/>
                      <w:lang w:val="en-US" w:eastAsia="zh-CN" w:bidi="ar"/>
                    </w:rPr>
                  </w:pPr>
                  <w:r>
                    <w:rPr>
                      <w:rFonts w:hint="eastAsia" w:cs="Times New Roman"/>
                      <w:b/>
                      <w:bCs w:val="0"/>
                      <w:color w:val="auto"/>
                      <w:kern w:val="2"/>
                      <w:sz w:val="21"/>
                      <w:szCs w:val="21"/>
                      <w:u w:val="none"/>
                      <w:lang w:val="en-US" w:eastAsia="zh-CN" w:bidi="ar"/>
                    </w:rPr>
                    <w:t>45</w:t>
                  </w:r>
                </w:p>
              </w:tc>
              <w:tc>
                <w:tcPr>
                  <w:tcW w:w="576" w:type="dxa"/>
                  <w:vAlign w:val="center"/>
                </w:tcPr>
                <w:p>
                  <w:pPr>
                    <w:pStyle w:val="55"/>
                    <w:bidi w:val="0"/>
                    <w:spacing w:line="240" w:lineRule="auto"/>
                    <w:rPr>
                      <w:rFonts w:hint="default" w:ascii="Times New Roman" w:hAnsi="Times New Roman" w:eastAsia="宋体" w:cs="Times New Roman"/>
                      <w:b/>
                      <w:bCs w:val="0"/>
                      <w:color w:val="auto"/>
                      <w:kern w:val="2"/>
                      <w:sz w:val="21"/>
                      <w:szCs w:val="21"/>
                      <w:u w:val="none"/>
                      <w:lang w:val="en-US" w:eastAsia="zh-CN" w:bidi="ar"/>
                    </w:rPr>
                  </w:pPr>
                  <w:r>
                    <w:rPr>
                      <w:rFonts w:hint="eastAsia" w:cs="Times New Roman"/>
                      <w:b/>
                      <w:bCs w:val="0"/>
                      <w:color w:val="auto"/>
                      <w:kern w:val="2"/>
                      <w:sz w:val="21"/>
                      <w:szCs w:val="21"/>
                      <w:u w:val="none"/>
                      <w:lang w:val="en-US" w:eastAsia="zh-CN" w:bidi="ar"/>
                    </w:rPr>
                    <w:t>4</w:t>
                  </w:r>
                </w:p>
              </w:tc>
              <w:tc>
                <w:tcPr>
                  <w:tcW w:w="477" w:type="dxa"/>
                  <w:vAlign w:val="center"/>
                </w:tcPr>
                <w:p>
                  <w:pPr>
                    <w:pStyle w:val="55"/>
                    <w:bidi w:val="0"/>
                    <w:spacing w:line="240" w:lineRule="auto"/>
                    <w:rPr>
                      <w:rFonts w:hint="default" w:cs="Times New Roman"/>
                      <w:b/>
                      <w:bCs w:val="0"/>
                      <w:color w:val="auto"/>
                      <w:kern w:val="2"/>
                      <w:sz w:val="21"/>
                      <w:szCs w:val="21"/>
                      <w:u w:val="none"/>
                      <w:lang w:val="en-US" w:eastAsia="zh-CN" w:bidi="ar"/>
                    </w:rPr>
                  </w:pPr>
                  <w:r>
                    <w:rPr>
                      <w:rFonts w:hint="eastAsia" w:cs="Times New Roman"/>
                      <w:b/>
                      <w:bCs w:val="0"/>
                      <w:color w:val="auto"/>
                      <w:kern w:val="2"/>
                      <w:sz w:val="21"/>
                      <w:szCs w:val="21"/>
                      <w:u w:val="none"/>
                      <w:lang w:val="en-US" w:eastAsia="zh-CN" w:bidi="ar"/>
                    </w:rPr>
                    <w:t>/</w:t>
                  </w:r>
                </w:p>
              </w:tc>
              <w:tc>
                <w:tcPr>
                  <w:tcW w:w="676" w:type="dxa"/>
                  <w:vAlign w:val="center"/>
                </w:tcPr>
                <w:p>
                  <w:pPr>
                    <w:pStyle w:val="55"/>
                    <w:bidi w:val="0"/>
                    <w:spacing w:line="240" w:lineRule="auto"/>
                    <w:rPr>
                      <w:rFonts w:hint="default" w:cs="Times New Roman"/>
                      <w:b/>
                      <w:bCs w:val="0"/>
                      <w:color w:val="auto"/>
                      <w:kern w:val="2"/>
                      <w:sz w:val="21"/>
                      <w:szCs w:val="21"/>
                      <w:u w:val="none"/>
                      <w:lang w:val="en-US" w:eastAsia="zh-CN" w:bidi="ar"/>
                    </w:rPr>
                  </w:pPr>
                  <w:r>
                    <w:rPr>
                      <w:rFonts w:hint="eastAsia" w:cs="Times New Roman"/>
                      <w:b/>
                      <w:bCs w:val="0"/>
                      <w:color w:val="auto"/>
                      <w:kern w:val="2"/>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850" w:type="dxa"/>
                  <w:vAlign w:val="center"/>
                </w:tcPr>
                <w:p>
                  <w:pPr>
                    <w:pStyle w:val="55"/>
                    <w:bidi w:val="0"/>
                    <w:spacing w:line="240" w:lineRule="auto"/>
                    <w:rPr>
                      <w:rFonts w:hint="eastAsia"/>
                      <w:color w:val="auto"/>
                      <w:u w:val="none"/>
                      <w:lang w:val="en-US" w:eastAsia="zh-CN"/>
                    </w:rPr>
                  </w:pPr>
                  <w:r>
                    <w:rPr>
                      <w:rFonts w:hint="eastAsia"/>
                      <w:color w:val="auto"/>
                      <w:u w:val="none"/>
                    </w:rPr>
                    <w:t>（GB18918-2002）一级</w:t>
                  </w:r>
                  <w:r>
                    <w:rPr>
                      <w:rFonts w:hint="eastAsia"/>
                      <w:color w:val="auto"/>
                      <w:u w:val="none"/>
                      <w:lang w:val="en-US" w:eastAsia="zh-CN"/>
                    </w:rPr>
                    <w:t>A标准</w:t>
                  </w:r>
                </w:p>
              </w:tc>
              <w:tc>
                <w:tcPr>
                  <w:tcW w:w="802" w:type="dxa"/>
                  <w:vAlign w:val="center"/>
                </w:tcPr>
                <w:p>
                  <w:pPr>
                    <w:pStyle w:val="55"/>
                    <w:bidi w:val="0"/>
                    <w:spacing w:line="240" w:lineRule="auto"/>
                    <w:rPr>
                      <w:rFonts w:hint="eastAsia"/>
                      <w:color w:val="auto"/>
                      <w:u w:val="none"/>
                      <w:lang w:val="en-US" w:eastAsia="zh-CN"/>
                    </w:rPr>
                  </w:pPr>
                  <w:r>
                    <w:rPr>
                      <w:color w:val="auto"/>
                      <w:u w:val="none"/>
                    </w:rPr>
                    <w:t>6～9</w:t>
                  </w:r>
                </w:p>
              </w:tc>
              <w:tc>
                <w:tcPr>
                  <w:tcW w:w="709" w:type="dxa"/>
                  <w:vAlign w:val="center"/>
                </w:tcPr>
                <w:p>
                  <w:pPr>
                    <w:pStyle w:val="55"/>
                    <w:bidi w:val="0"/>
                    <w:spacing w:line="240" w:lineRule="auto"/>
                    <w:rPr>
                      <w:rFonts w:hint="eastAsia"/>
                      <w:color w:val="auto"/>
                      <w:u w:val="none"/>
                      <w:lang w:val="en-US" w:eastAsia="zh-CN"/>
                    </w:rPr>
                  </w:pPr>
                  <w:r>
                    <w:rPr>
                      <w:rFonts w:hint="eastAsia"/>
                      <w:color w:val="auto"/>
                      <w:u w:val="none"/>
                      <w:lang w:val="en-US" w:eastAsia="zh-CN"/>
                    </w:rPr>
                    <w:t>50</w:t>
                  </w:r>
                </w:p>
              </w:tc>
              <w:tc>
                <w:tcPr>
                  <w:tcW w:w="824" w:type="dxa"/>
                  <w:vAlign w:val="center"/>
                </w:tcPr>
                <w:p>
                  <w:pPr>
                    <w:pStyle w:val="55"/>
                    <w:bidi w:val="0"/>
                    <w:spacing w:line="240" w:lineRule="auto"/>
                    <w:rPr>
                      <w:rFonts w:hint="eastAsia"/>
                      <w:color w:val="auto"/>
                      <w:u w:val="none"/>
                      <w:lang w:val="en-US" w:eastAsia="zh-CN"/>
                    </w:rPr>
                  </w:pPr>
                  <w:r>
                    <w:rPr>
                      <w:rFonts w:hint="eastAsia"/>
                      <w:color w:val="auto"/>
                      <w:u w:val="none"/>
                      <w:lang w:val="en-US" w:eastAsia="zh-CN"/>
                    </w:rPr>
                    <w:t>10</w:t>
                  </w:r>
                </w:p>
              </w:tc>
              <w:tc>
                <w:tcPr>
                  <w:tcW w:w="673" w:type="dxa"/>
                  <w:vAlign w:val="center"/>
                </w:tcPr>
                <w:p>
                  <w:pPr>
                    <w:pStyle w:val="55"/>
                    <w:bidi w:val="0"/>
                    <w:spacing w:line="240" w:lineRule="auto"/>
                    <w:rPr>
                      <w:rFonts w:hint="eastAsia"/>
                      <w:color w:val="auto"/>
                      <w:u w:val="none"/>
                      <w:lang w:val="en-US" w:eastAsia="zh-CN"/>
                    </w:rPr>
                  </w:pPr>
                  <w:r>
                    <w:rPr>
                      <w:rFonts w:hint="eastAsia"/>
                      <w:color w:val="auto"/>
                      <w:u w:val="none"/>
                      <w:lang w:val="en-US" w:eastAsia="zh-CN"/>
                    </w:rPr>
                    <w:t>10</w:t>
                  </w:r>
                </w:p>
              </w:tc>
              <w:tc>
                <w:tcPr>
                  <w:tcW w:w="735" w:type="dxa"/>
                  <w:vAlign w:val="center"/>
                </w:tcPr>
                <w:p>
                  <w:pPr>
                    <w:pStyle w:val="55"/>
                    <w:bidi w:val="0"/>
                    <w:spacing w:line="240" w:lineRule="auto"/>
                    <w:rPr>
                      <w:rFonts w:hint="eastAsia"/>
                      <w:color w:val="auto"/>
                      <w:u w:val="none"/>
                      <w:lang w:val="en-US" w:eastAsia="zh-CN"/>
                    </w:rPr>
                  </w:pPr>
                  <w:r>
                    <w:rPr>
                      <w:rFonts w:hint="eastAsia"/>
                      <w:color w:val="auto"/>
                      <w:u w:val="none"/>
                      <w:lang w:val="en-US" w:eastAsia="zh-CN"/>
                    </w:rPr>
                    <w:t>5</w:t>
                  </w:r>
                </w:p>
              </w:tc>
              <w:tc>
                <w:tcPr>
                  <w:tcW w:w="642"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15</w:t>
                  </w:r>
                </w:p>
              </w:tc>
              <w:tc>
                <w:tcPr>
                  <w:tcW w:w="576"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0.5</w:t>
                  </w:r>
                </w:p>
              </w:tc>
              <w:tc>
                <w:tcPr>
                  <w:tcW w:w="477"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w:t>
                  </w:r>
                </w:p>
              </w:tc>
              <w:tc>
                <w:tcPr>
                  <w:tcW w:w="676" w:type="dxa"/>
                  <w:vAlign w:val="center"/>
                </w:tcPr>
                <w:p>
                  <w:pPr>
                    <w:pStyle w:val="55"/>
                    <w:bidi w:val="0"/>
                    <w:spacing w:line="240" w:lineRule="auto"/>
                    <w:rPr>
                      <w:rFonts w:hint="default"/>
                      <w:color w:val="auto"/>
                      <w:u w:val="none"/>
                      <w:lang w:val="en-US" w:eastAsia="zh-CN"/>
                    </w:rPr>
                  </w:pPr>
                  <w:r>
                    <w:rPr>
                      <w:rFonts w:hint="eastAsia"/>
                      <w:color w:val="auto"/>
                      <w:u w:val="none"/>
                      <w:lang w:val="en-US" w:eastAsia="zh-CN"/>
                    </w:rPr>
                    <w:t>1</w:t>
                  </w:r>
                </w:p>
              </w:tc>
            </w:tr>
          </w:tbl>
          <w:p>
            <w:pPr>
              <w:pStyle w:val="56"/>
              <w:bidi w:val="0"/>
              <w:rPr>
                <w:rFonts w:hint="default"/>
                <w:color w:val="auto"/>
                <w:sz w:val="24"/>
                <w:szCs w:val="24"/>
                <w:highlight w:val="none"/>
                <w:u w:val="none"/>
              </w:rPr>
            </w:pPr>
            <w:r>
              <w:rPr>
                <w:rFonts w:hint="default"/>
                <w:color w:val="auto"/>
                <w:sz w:val="24"/>
                <w:szCs w:val="24"/>
                <w:highlight w:val="none"/>
                <w:u w:val="none"/>
              </w:rPr>
              <w:t>3、噪声</w:t>
            </w:r>
          </w:p>
          <w:p>
            <w:pPr>
              <w:pStyle w:val="62"/>
              <w:bidi w:val="0"/>
              <w:jc w:val="both"/>
              <w:rPr>
                <w:rFonts w:hint="default" w:eastAsia="宋体"/>
                <w:color w:val="auto"/>
                <w:sz w:val="24"/>
                <w:szCs w:val="24"/>
                <w:highlight w:val="none"/>
                <w:u w:val="none"/>
                <w:lang w:val="en-US" w:eastAsia="zh-CN"/>
              </w:rPr>
            </w:pPr>
            <w:r>
              <w:rPr>
                <w:rFonts w:hint="eastAsia"/>
                <w:color w:val="auto"/>
                <w:sz w:val="24"/>
                <w:szCs w:val="24"/>
                <w:highlight w:val="none"/>
                <w:u w:val="none"/>
                <w:lang w:eastAsia="zh-CN"/>
              </w:rPr>
              <w:t>施工期间排放噪声执行</w:t>
            </w:r>
            <w:r>
              <w:rPr>
                <w:rFonts w:hint="eastAsia"/>
                <w:color w:val="auto"/>
                <w:sz w:val="24"/>
                <w:szCs w:val="24"/>
                <w:highlight w:val="none"/>
                <w:u w:val="none"/>
              </w:rPr>
              <w:t>《建筑施工场界环境噪声排放标准》（GB12523-2011）</w:t>
            </w:r>
            <w:r>
              <w:rPr>
                <w:rFonts w:hint="eastAsia"/>
                <w:color w:val="auto"/>
                <w:sz w:val="24"/>
                <w:szCs w:val="24"/>
                <w:highlight w:val="none"/>
                <w:u w:val="none"/>
                <w:lang w:eastAsia="zh-CN"/>
              </w:rPr>
              <w:t>，即昼间</w:t>
            </w:r>
            <w:r>
              <w:rPr>
                <w:rFonts w:hint="eastAsia"/>
                <w:color w:val="auto"/>
                <w:sz w:val="24"/>
                <w:szCs w:val="24"/>
                <w:highlight w:val="none"/>
                <w:u w:val="none"/>
                <w:lang w:val="en-US" w:eastAsia="zh-CN"/>
              </w:rPr>
              <w:t>70dB(A)，夜间55dB(A)。</w:t>
            </w:r>
          </w:p>
          <w:p>
            <w:pPr>
              <w:pStyle w:val="62"/>
              <w:bidi w:val="0"/>
              <w:rPr>
                <w:rFonts w:hint="default"/>
                <w:color w:val="auto"/>
                <w:sz w:val="24"/>
                <w:szCs w:val="24"/>
                <w:highlight w:val="none"/>
                <w:u w:val="none"/>
              </w:rPr>
            </w:pPr>
            <w:r>
              <w:rPr>
                <w:rFonts w:hint="default"/>
                <w:color w:val="auto"/>
                <w:sz w:val="24"/>
                <w:szCs w:val="24"/>
                <w:highlight w:val="none"/>
                <w:u w:val="none"/>
              </w:rPr>
              <w:t>项目运营期</w:t>
            </w:r>
            <w:r>
              <w:rPr>
                <w:rFonts w:hint="eastAsia"/>
                <w:color w:val="auto"/>
                <w:sz w:val="24"/>
                <w:szCs w:val="24"/>
                <w:highlight w:val="none"/>
                <w:u w:val="none"/>
                <w:lang w:eastAsia="zh-CN"/>
              </w:rPr>
              <w:t>西侧、北侧</w:t>
            </w:r>
            <w:r>
              <w:rPr>
                <w:rFonts w:hint="default"/>
                <w:color w:val="auto"/>
                <w:sz w:val="24"/>
                <w:szCs w:val="24"/>
                <w:highlight w:val="none"/>
                <w:u w:val="none"/>
              </w:rPr>
              <w:t>厂界噪声执行《工业企业厂界环境噪声排放标准》(GB12348-2008)3类标准</w:t>
            </w:r>
            <w:r>
              <w:rPr>
                <w:rFonts w:hint="eastAsia"/>
                <w:color w:val="auto"/>
                <w:sz w:val="24"/>
                <w:szCs w:val="24"/>
                <w:highlight w:val="none"/>
                <w:u w:val="none"/>
                <w:lang w:eastAsia="zh-CN"/>
              </w:rPr>
              <w:t>，运营期东侧、南侧厂界噪声执行</w:t>
            </w:r>
            <w:r>
              <w:rPr>
                <w:rFonts w:hint="default"/>
                <w:color w:val="auto"/>
                <w:sz w:val="24"/>
                <w:szCs w:val="24"/>
                <w:highlight w:val="none"/>
                <w:u w:val="none"/>
              </w:rPr>
              <w:t>《工业企业厂界环境噪声排放标准》(GB12348-2008)</w:t>
            </w:r>
            <w:r>
              <w:rPr>
                <w:rFonts w:hint="eastAsia"/>
                <w:color w:val="auto"/>
                <w:sz w:val="24"/>
                <w:szCs w:val="24"/>
                <w:highlight w:val="none"/>
                <w:u w:val="none"/>
                <w:lang w:val="en-US" w:eastAsia="zh-CN"/>
              </w:rPr>
              <w:t>4</w:t>
            </w:r>
            <w:r>
              <w:rPr>
                <w:rFonts w:hint="default"/>
                <w:color w:val="auto"/>
                <w:sz w:val="24"/>
                <w:szCs w:val="24"/>
                <w:highlight w:val="none"/>
                <w:u w:val="none"/>
              </w:rPr>
              <w:t>类标准。具体标准限值详见下表。</w:t>
            </w:r>
          </w:p>
          <w:p>
            <w:pPr>
              <w:pStyle w:val="60"/>
              <w:bidi w:val="0"/>
              <w:spacing w:line="240" w:lineRule="auto"/>
              <w:rPr>
                <w:rFonts w:hint="default"/>
                <w:color w:val="auto"/>
                <w:sz w:val="24"/>
                <w:szCs w:val="24"/>
                <w:highlight w:val="none"/>
                <w:u w:val="none"/>
              </w:rPr>
            </w:pPr>
            <w:r>
              <w:rPr>
                <w:rFonts w:hint="default"/>
                <w:color w:val="auto"/>
                <w:sz w:val="24"/>
                <w:szCs w:val="24"/>
                <w:highlight w:val="none"/>
                <w:u w:val="none"/>
              </w:rPr>
              <w:t>表</w:t>
            </w:r>
            <w:r>
              <w:rPr>
                <w:rFonts w:hint="eastAsia"/>
                <w:color w:val="auto"/>
                <w:sz w:val="24"/>
                <w:szCs w:val="24"/>
                <w:highlight w:val="none"/>
                <w:u w:val="none"/>
                <w:lang w:val="en-US" w:eastAsia="zh-CN"/>
              </w:rPr>
              <w:t>3.6-6</w:t>
            </w:r>
            <w:r>
              <w:rPr>
                <w:rFonts w:hint="default"/>
                <w:color w:val="auto"/>
                <w:sz w:val="24"/>
                <w:szCs w:val="24"/>
                <w:highlight w:val="none"/>
                <w:u w:val="none"/>
              </w:rPr>
              <w:t>噪声排放标准</w:t>
            </w:r>
          </w:p>
          <w:tbl>
            <w:tblPr>
              <w:tblStyle w:val="2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1875"/>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7" w:type="dxa"/>
                  <w:vMerge w:val="restart"/>
                  <w:noWrap w:val="0"/>
                  <w:vAlign w:val="center"/>
                </w:tcPr>
                <w:p>
                  <w:pPr>
                    <w:pStyle w:val="55"/>
                    <w:bidi w:val="0"/>
                    <w:rPr>
                      <w:rFonts w:hint="default"/>
                      <w:b/>
                      <w:bCs w:val="0"/>
                      <w:color w:val="auto"/>
                      <w:highlight w:val="none"/>
                      <w:u w:val="none"/>
                    </w:rPr>
                  </w:pPr>
                  <w:r>
                    <w:rPr>
                      <w:rFonts w:hint="default"/>
                      <w:b/>
                      <w:bCs w:val="0"/>
                      <w:color w:val="auto"/>
                      <w:highlight w:val="none"/>
                      <w:u w:val="none"/>
                    </w:rPr>
                    <w:t>执行标准</w:t>
                  </w:r>
                </w:p>
              </w:tc>
              <w:tc>
                <w:tcPr>
                  <w:tcW w:w="3667" w:type="dxa"/>
                  <w:gridSpan w:val="2"/>
                  <w:noWrap w:val="0"/>
                  <w:vAlign w:val="center"/>
                </w:tcPr>
                <w:p>
                  <w:pPr>
                    <w:pStyle w:val="55"/>
                    <w:bidi w:val="0"/>
                    <w:rPr>
                      <w:rFonts w:hint="default"/>
                      <w:b/>
                      <w:bCs w:val="0"/>
                      <w:color w:val="auto"/>
                      <w:highlight w:val="none"/>
                      <w:u w:val="none"/>
                    </w:rPr>
                  </w:pPr>
                  <w:r>
                    <w:rPr>
                      <w:rFonts w:hint="default"/>
                      <w:b/>
                      <w:bCs w:val="0"/>
                      <w:color w:val="auto"/>
                      <w:highlight w:val="none"/>
                      <w:u w:val="none"/>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7" w:type="dxa"/>
                  <w:vMerge w:val="continue"/>
                  <w:noWrap w:val="0"/>
                  <w:vAlign w:val="center"/>
                </w:tcPr>
                <w:p>
                  <w:pPr>
                    <w:pStyle w:val="55"/>
                    <w:bidi w:val="0"/>
                    <w:rPr>
                      <w:rFonts w:hint="default"/>
                      <w:b/>
                      <w:bCs w:val="0"/>
                      <w:color w:val="auto"/>
                      <w:highlight w:val="none"/>
                      <w:u w:val="none"/>
                    </w:rPr>
                  </w:pPr>
                </w:p>
              </w:tc>
              <w:tc>
                <w:tcPr>
                  <w:tcW w:w="1875" w:type="dxa"/>
                  <w:noWrap w:val="0"/>
                  <w:vAlign w:val="center"/>
                </w:tcPr>
                <w:p>
                  <w:pPr>
                    <w:pStyle w:val="55"/>
                    <w:bidi w:val="0"/>
                    <w:rPr>
                      <w:rFonts w:hint="default"/>
                      <w:b/>
                      <w:bCs w:val="0"/>
                      <w:color w:val="auto"/>
                      <w:highlight w:val="none"/>
                      <w:u w:val="none"/>
                    </w:rPr>
                  </w:pPr>
                  <w:r>
                    <w:rPr>
                      <w:rFonts w:hint="default"/>
                      <w:b/>
                      <w:bCs w:val="0"/>
                      <w:color w:val="auto"/>
                      <w:highlight w:val="none"/>
                      <w:u w:val="none"/>
                    </w:rPr>
                    <w:t>昼间</w:t>
                  </w:r>
                </w:p>
              </w:tc>
              <w:tc>
                <w:tcPr>
                  <w:tcW w:w="1792" w:type="dxa"/>
                  <w:noWrap w:val="0"/>
                  <w:vAlign w:val="center"/>
                </w:tcPr>
                <w:p>
                  <w:pPr>
                    <w:pStyle w:val="55"/>
                    <w:bidi w:val="0"/>
                    <w:rPr>
                      <w:rFonts w:hint="default"/>
                      <w:b/>
                      <w:bCs w:val="0"/>
                      <w:color w:val="auto"/>
                      <w:highlight w:val="none"/>
                      <w:u w:val="none"/>
                    </w:rPr>
                  </w:pPr>
                  <w:r>
                    <w:rPr>
                      <w:rFonts w:hint="default"/>
                      <w:b/>
                      <w:bCs w:val="0"/>
                      <w:color w:val="auto"/>
                      <w:highlight w:val="none"/>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7" w:type="dxa"/>
                  <w:noWrap w:val="0"/>
                  <w:vAlign w:val="center"/>
                </w:tcPr>
                <w:p>
                  <w:pPr>
                    <w:pStyle w:val="55"/>
                    <w:bidi w:val="0"/>
                    <w:rPr>
                      <w:rFonts w:hint="default"/>
                      <w:color w:val="auto"/>
                      <w:highlight w:val="none"/>
                      <w:u w:val="none"/>
                    </w:rPr>
                  </w:pPr>
                  <w:r>
                    <w:rPr>
                      <w:rFonts w:hint="default"/>
                      <w:color w:val="auto"/>
                      <w:highlight w:val="none"/>
                      <w:u w:val="none"/>
                    </w:rPr>
                    <w:t>(GB12348-2008)中</w:t>
                  </w:r>
                  <w:r>
                    <w:rPr>
                      <w:rFonts w:hint="default"/>
                      <w:color w:val="auto"/>
                      <w:highlight w:val="none"/>
                      <w:u w:val="none"/>
                      <w:lang w:val="en-US" w:eastAsia="zh-CN"/>
                    </w:rPr>
                    <w:t>3</w:t>
                  </w:r>
                  <w:r>
                    <w:rPr>
                      <w:rFonts w:hint="default"/>
                      <w:color w:val="auto"/>
                      <w:highlight w:val="none"/>
                      <w:u w:val="none"/>
                    </w:rPr>
                    <w:t>类标准</w:t>
                  </w:r>
                </w:p>
              </w:tc>
              <w:tc>
                <w:tcPr>
                  <w:tcW w:w="1875" w:type="dxa"/>
                  <w:noWrap w:val="0"/>
                  <w:vAlign w:val="center"/>
                </w:tcPr>
                <w:p>
                  <w:pPr>
                    <w:pStyle w:val="55"/>
                    <w:bidi w:val="0"/>
                    <w:rPr>
                      <w:rFonts w:hint="default"/>
                      <w:color w:val="auto"/>
                      <w:highlight w:val="none"/>
                      <w:u w:val="none"/>
                    </w:rPr>
                  </w:pPr>
                  <w:r>
                    <w:rPr>
                      <w:rFonts w:hint="default"/>
                      <w:color w:val="auto"/>
                      <w:highlight w:val="none"/>
                      <w:u w:val="none"/>
                    </w:rPr>
                    <w:t>65</w:t>
                  </w:r>
                </w:p>
              </w:tc>
              <w:tc>
                <w:tcPr>
                  <w:tcW w:w="1792" w:type="dxa"/>
                  <w:noWrap w:val="0"/>
                  <w:vAlign w:val="center"/>
                </w:tcPr>
                <w:p>
                  <w:pPr>
                    <w:pStyle w:val="55"/>
                    <w:bidi w:val="0"/>
                    <w:rPr>
                      <w:rFonts w:hint="default"/>
                      <w:color w:val="auto"/>
                      <w:highlight w:val="none"/>
                      <w:u w:val="none"/>
                    </w:rPr>
                  </w:pPr>
                  <w:r>
                    <w:rPr>
                      <w:rFonts w:hint="default"/>
                      <w:color w:val="auto"/>
                      <w:highlight w:val="none"/>
                      <w:u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7" w:type="dxa"/>
                  <w:noWrap w:val="0"/>
                  <w:vAlign w:val="center"/>
                </w:tcPr>
                <w:p>
                  <w:pPr>
                    <w:pStyle w:val="55"/>
                    <w:bidi w:val="0"/>
                    <w:rPr>
                      <w:rFonts w:hint="default"/>
                      <w:color w:val="auto"/>
                      <w:highlight w:val="none"/>
                      <w:u w:val="none"/>
                    </w:rPr>
                  </w:pPr>
                  <w:r>
                    <w:rPr>
                      <w:rFonts w:hint="default"/>
                      <w:color w:val="auto"/>
                      <w:highlight w:val="none"/>
                      <w:u w:val="none"/>
                    </w:rPr>
                    <w:t>(GB12348-2008)中</w:t>
                  </w:r>
                  <w:r>
                    <w:rPr>
                      <w:rFonts w:hint="eastAsia"/>
                      <w:color w:val="auto"/>
                      <w:highlight w:val="none"/>
                      <w:u w:val="none"/>
                      <w:lang w:val="en-US" w:eastAsia="zh-CN"/>
                    </w:rPr>
                    <w:t>4</w:t>
                  </w:r>
                  <w:r>
                    <w:rPr>
                      <w:rFonts w:hint="default"/>
                      <w:color w:val="auto"/>
                      <w:highlight w:val="none"/>
                      <w:u w:val="none"/>
                    </w:rPr>
                    <w:t>类标准</w:t>
                  </w:r>
                </w:p>
              </w:tc>
              <w:tc>
                <w:tcPr>
                  <w:tcW w:w="1875" w:type="dxa"/>
                  <w:noWrap w:val="0"/>
                  <w:vAlign w:val="center"/>
                </w:tcPr>
                <w:p>
                  <w:pPr>
                    <w:pStyle w:val="55"/>
                    <w:bidi w:val="0"/>
                    <w:rPr>
                      <w:rFonts w:hint="default" w:eastAsia="宋体"/>
                      <w:color w:val="auto"/>
                      <w:highlight w:val="none"/>
                      <w:u w:val="none"/>
                      <w:lang w:val="en-US" w:eastAsia="zh-CN"/>
                    </w:rPr>
                  </w:pPr>
                  <w:r>
                    <w:rPr>
                      <w:rFonts w:hint="eastAsia"/>
                      <w:color w:val="auto"/>
                      <w:highlight w:val="none"/>
                      <w:u w:val="none"/>
                      <w:lang w:val="en-US" w:eastAsia="zh-CN"/>
                    </w:rPr>
                    <w:t>70</w:t>
                  </w:r>
                </w:p>
              </w:tc>
              <w:tc>
                <w:tcPr>
                  <w:tcW w:w="1792" w:type="dxa"/>
                  <w:noWrap w:val="0"/>
                  <w:vAlign w:val="center"/>
                </w:tcPr>
                <w:p>
                  <w:pPr>
                    <w:pStyle w:val="55"/>
                    <w:bidi w:val="0"/>
                    <w:rPr>
                      <w:rFonts w:hint="default" w:eastAsia="宋体"/>
                      <w:color w:val="auto"/>
                      <w:highlight w:val="none"/>
                      <w:u w:val="none"/>
                      <w:lang w:val="en-US" w:eastAsia="zh-CN"/>
                    </w:rPr>
                  </w:pPr>
                  <w:r>
                    <w:rPr>
                      <w:rFonts w:hint="eastAsia"/>
                      <w:color w:val="auto"/>
                      <w:highlight w:val="none"/>
                      <w:u w:val="none"/>
                      <w:lang w:val="en-US" w:eastAsia="zh-CN"/>
                    </w:rPr>
                    <w:t>55</w:t>
                  </w:r>
                </w:p>
              </w:tc>
            </w:tr>
          </w:tbl>
          <w:p>
            <w:pPr>
              <w:pStyle w:val="56"/>
              <w:bidi w:val="0"/>
              <w:rPr>
                <w:rFonts w:hint="default"/>
                <w:color w:val="auto"/>
                <w:sz w:val="24"/>
                <w:szCs w:val="24"/>
                <w:highlight w:val="none"/>
                <w:u w:val="none"/>
              </w:rPr>
            </w:pPr>
            <w:r>
              <w:rPr>
                <w:rFonts w:hint="default"/>
                <w:color w:val="auto"/>
                <w:sz w:val="24"/>
                <w:szCs w:val="24"/>
                <w:highlight w:val="none"/>
                <w:u w:val="none"/>
              </w:rPr>
              <w:t>4、固体废弃物</w:t>
            </w:r>
          </w:p>
          <w:p>
            <w:pPr>
              <w:pStyle w:val="62"/>
              <w:bidi w:val="0"/>
              <w:rPr>
                <w:rFonts w:hint="default" w:ascii="Times New Roman" w:hAnsi="Times New Roman" w:cs="Times New Roman"/>
                <w:color w:val="auto"/>
                <w:highlight w:val="none"/>
                <w:u w:val="none"/>
              </w:rPr>
            </w:pPr>
            <w:r>
              <w:rPr>
                <w:rFonts w:hint="eastAsia"/>
                <w:color w:val="auto"/>
                <w:sz w:val="24"/>
                <w:szCs w:val="24"/>
                <w:highlight w:val="none"/>
                <w:u w:val="none"/>
                <w:lang w:eastAsia="zh-CN"/>
              </w:rPr>
              <w:t>一般工业固废执行《一般工业固体废物贮存和填埋污染控制标准》（GB18599-2020）；危险废物执行《危险废物贮存污染控制标准》（GB18597-2023）。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总量</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控制</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指标</w:t>
            </w:r>
          </w:p>
        </w:tc>
        <w:tc>
          <w:tcPr>
            <w:tcW w:w="8190" w:type="dxa"/>
            <w:noWrap w:val="0"/>
            <w:vAlign w:val="center"/>
          </w:tcPr>
          <w:p>
            <w:pPr>
              <w:pStyle w:val="62"/>
              <w:bidi w:val="0"/>
              <w:rPr>
                <w:rFonts w:hint="default"/>
                <w:color w:val="auto"/>
                <w:sz w:val="24"/>
                <w:szCs w:val="24"/>
                <w:highlight w:val="none"/>
                <w:u w:val="none"/>
                <w:lang w:val="en-US" w:eastAsia="zh-CN"/>
              </w:rPr>
            </w:pPr>
            <w:r>
              <w:rPr>
                <w:rFonts w:hint="default"/>
                <w:color w:val="auto"/>
                <w:sz w:val="24"/>
                <w:szCs w:val="24"/>
                <w:highlight w:val="none"/>
                <w:u w:val="none"/>
                <w:lang w:val="en-US" w:eastAsia="zh-CN"/>
              </w:rPr>
              <w:t>根据本次工程的污染特点和地方生态环境主管部门的要求，本评价选取化学需氧量、氨氮</w:t>
            </w:r>
            <w:r>
              <w:rPr>
                <w:rFonts w:hint="eastAsia"/>
                <w:color w:val="auto"/>
                <w:sz w:val="24"/>
                <w:szCs w:val="24"/>
                <w:highlight w:val="none"/>
                <w:u w:val="none"/>
                <w:lang w:val="en-US" w:eastAsia="zh-CN"/>
              </w:rPr>
              <w:t>、VOCs</w:t>
            </w:r>
            <w:r>
              <w:rPr>
                <w:rFonts w:hint="default"/>
                <w:color w:val="auto"/>
                <w:sz w:val="24"/>
                <w:szCs w:val="24"/>
                <w:highlight w:val="none"/>
                <w:u w:val="none"/>
                <w:lang w:val="en-US" w:eastAsia="zh-CN"/>
              </w:rPr>
              <w:t>作为项目污染物总量控制因子。</w:t>
            </w:r>
          </w:p>
          <w:p>
            <w:pPr>
              <w:pStyle w:val="62"/>
              <w:bidi w:val="0"/>
              <w:rPr>
                <w:rFonts w:hint="default"/>
                <w:color w:val="auto"/>
                <w:sz w:val="24"/>
                <w:szCs w:val="24"/>
                <w:highlight w:val="none"/>
                <w:u w:val="none"/>
                <w:lang w:val="en-US" w:eastAsia="zh-CN"/>
              </w:rPr>
            </w:pPr>
            <w:r>
              <w:rPr>
                <w:rFonts w:hint="default"/>
                <w:color w:val="auto"/>
                <w:sz w:val="24"/>
                <w:szCs w:val="24"/>
                <w:highlight w:val="none"/>
                <w:u w:val="none"/>
                <w:lang w:val="en-US" w:eastAsia="zh-CN"/>
              </w:rPr>
              <w:t>（1）水污染物总量控制</w:t>
            </w:r>
          </w:p>
          <w:p>
            <w:pPr>
              <w:pStyle w:val="62"/>
              <w:bidi w:val="0"/>
              <w:rPr>
                <w:rFonts w:hint="default"/>
                <w:color w:val="auto"/>
                <w:sz w:val="24"/>
                <w:szCs w:val="24"/>
                <w:highlight w:val="none"/>
                <w:u w:val="single"/>
                <w:lang w:val="en-US" w:eastAsia="zh-CN"/>
              </w:rPr>
            </w:pPr>
            <w:r>
              <w:rPr>
                <w:rFonts w:hint="default"/>
                <w:color w:val="auto"/>
                <w:sz w:val="24"/>
                <w:szCs w:val="24"/>
                <w:highlight w:val="none"/>
                <w:u w:val="single"/>
                <w:lang w:val="en-US" w:eastAsia="zh-CN"/>
              </w:rPr>
              <w:t>本项目</w:t>
            </w:r>
            <w:r>
              <w:rPr>
                <w:rFonts w:hint="eastAsia"/>
                <w:color w:val="auto"/>
                <w:sz w:val="24"/>
                <w:szCs w:val="24"/>
                <w:highlight w:val="none"/>
                <w:u w:val="single"/>
                <w:lang w:val="en-US" w:eastAsia="zh-CN"/>
              </w:rPr>
              <w:t>改扩建后</w:t>
            </w:r>
            <w:r>
              <w:rPr>
                <w:rFonts w:hint="default"/>
                <w:color w:val="auto"/>
                <w:sz w:val="24"/>
                <w:szCs w:val="24"/>
                <w:highlight w:val="none"/>
                <w:u w:val="single"/>
                <w:lang w:val="en-US" w:eastAsia="zh-CN"/>
              </w:rPr>
              <w:t>排放</w:t>
            </w:r>
            <w:r>
              <w:rPr>
                <w:rFonts w:hint="eastAsia"/>
                <w:color w:val="auto"/>
                <w:sz w:val="24"/>
                <w:szCs w:val="24"/>
                <w:highlight w:val="none"/>
                <w:u w:val="single"/>
                <w:lang w:val="en-US" w:eastAsia="zh-CN"/>
              </w:rPr>
              <w:t>总</w:t>
            </w:r>
            <w:r>
              <w:rPr>
                <w:rFonts w:hint="default"/>
                <w:color w:val="auto"/>
                <w:sz w:val="24"/>
                <w:szCs w:val="24"/>
                <w:highlight w:val="none"/>
                <w:u w:val="single"/>
                <w:lang w:val="en-US" w:eastAsia="zh-CN"/>
              </w:rPr>
              <w:t>量为</w:t>
            </w:r>
            <w:r>
              <w:rPr>
                <w:rFonts w:hint="eastAsia"/>
                <w:color w:val="auto"/>
                <w:sz w:val="24"/>
                <w:szCs w:val="24"/>
                <w:highlight w:val="none"/>
                <w:u w:val="single"/>
                <w:lang w:val="en-US" w:eastAsia="zh-CN"/>
              </w:rPr>
              <w:t>14860.32</w:t>
            </w:r>
            <w:r>
              <w:rPr>
                <w:rFonts w:hint="default"/>
                <w:color w:val="auto"/>
                <w:sz w:val="24"/>
                <w:szCs w:val="24"/>
                <w:highlight w:val="none"/>
                <w:u w:val="single"/>
                <w:lang w:val="en-US" w:eastAsia="zh-CN"/>
              </w:rPr>
              <w:t>m</w:t>
            </w:r>
            <w:r>
              <w:rPr>
                <w:rFonts w:hint="default"/>
                <w:color w:val="auto"/>
                <w:sz w:val="24"/>
                <w:szCs w:val="24"/>
                <w:highlight w:val="none"/>
                <w:u w:val="single"/>
                <w:vertAlign w:val="superscript"/>
                <w:lang w:val="en-US" w:eastAsia="zh-CN"/>
              </w:rPr>
              <w:t>3</w:t>
            </w:r>
            <w:r>
              <w:rPr>
                <w:rFonts w:hint="default"/>
                <w:color w:val="auto"/>
                <w:sz w:val="24"/>
                <w:szCs w:val="24"/>
                <w:highlight w:val="none"/>
                <w:u w:val="single"/>
                <w:lang w:val="en-US" w:eastAsia="zh-CN"/>
              </w:rPr>
              <w:t>/a，主要污染物为</w:t>
            </w:r>
            <w:r>
              <w:rPr>
                <w:rFonts w:hint="eastAsia"/>
                <w:color w:val="auto"/>
                <w:sz w:val="24"/>
                <w:szCs w:val="24"/>
                <w:highlight w:val="none"/>
                <w:u w:val="single"/>
                <w:lang w:val="en-US" w:eastAsia="zh-CN"/>
              </w:rPr>
              <w:t>pH、SS、CODcr、BOD</w:t>
            </w:r>
            <w:r>
              <w:rPr>
                <w:rFonts w:hint="eastAsia"/>
                <w:color w:val="auto"/>
                <w:sz w:val="24"/>
                <w:szCs w:val="24"/>
                <w:highlight w:val="none"/>
                <w:u w:val="single"/>
                <w:vertAlign w:val="subscript"/>
                <w:lang w:val="en-US" w:eastAsia="zh-CN"/>
              </w:rPr>
              <w:t>5</w:t>
            </w:r>
            <w:r>
              <w:rPr>
                <w:rFonts w:hint="eastAsia"/>
                <w:color w:val="auto"/>
                <w:sz w:val="24"/>
                <w:szCs w:val="24"/>
                <w:highlight w:val="none"/>
                <w:u w:val="single"/>
                <w:lang w:val="en-US" w:eastAsia="zh-CN"/>
              </w:rPr>
              <w:t>、氨氮、总磷、总氮、石油类、总铁</w:t>
            </w:r>
            <w:r>
              <w:rPr>
                <w:rFonts w:hint="default"/>
                <w:color w:val="auto"/>
                <w:sz w:val="24"/>
                <w:szCs w:val="24"/>
                <w:highlight w:val="none"/>
                <w:u w:val="single"/>
                <w:lang w:val="en-US" w:eastAsia="zh-CN"/>
              </w:rPr>
              <w:t>等，</w:t>
            </w:r>
            <w:r>
              <w:rPr>
                <w:rFonts w:hint="eastAsia"/>
                <w:color w:val="auto"/>
                <w:sz w:val="24"/>
                <w:szCs w:val="24"/>
                <w:highlight w:val="none"/>
                <w:u w:val="single"/>
                <w:lang w:val="en-US" w:eastAsia="zh-CN"/>
              </w:rPr>
              <w:t>项目生产废水</w:t>
            </w:r>
            <w:r>
              <w:rPr>
                <w:rFonts w:hint="default"/>
                <w:color w:val="auto"/>
                <w:sz w:val="24"/>
                <w:szCs w:val="24"/>
                <w:highlight w:val="none"/>
                <w:u w:val="single"/>
                <w:lang w:val="en-US" w:eastAsia="zh-CN"/>
              </w:rPr>
              <w:t>达到</w:t>
            </w:r>
            <w:r>
              <w:rPr>
                <w:rFonts w:hint="eastAsia"/>
                <w:color w:val="auto"/>
                <w:sz w:val="24"/>
                <w:szCs w:val="24"/>
                <w:highlight w:val="none"/>
                <w:u w:val="single"/>
                <w:lang w:val="en-US" w:eastAsia="zh-CN"/>
              </w:rPr>
              <w:t>《污水综合排放标准》（GB8978-1996）中三级标准</w:t>
            </w:r>
            <w:r>
              <w:rPr>
                <w:rFonts w:hint="default"/>
                <w:color w:val="auto"/>
                <w:sz w:val="24"/>
                <w:szCs w:val="24"/>
                <w:highlight w:val="none"/>
                <w:u w:val="single"/>
                <w:lang w:val="en-US" w:eastAsia="zh-CN"/>
              </w:rPr>
              <w:t>和湘阴县第三污水处理厂</w:t>
            </w:r>
            <w:r>
              <w:rPr>
                <w:rFonts w:hint="eastAsia"/>
                <w:color w:val="auto"/>
                <w:sz w:val="24"/>
                <w:szCs w:val="24"/>
                <w:highlight w:val="none"/>
                <w:u w:val="single"/>
                <w:lang w:val="en-US" w:eastAsia="zh-CN"/>
              </w:rPr>
              <w:t>进水水质</w:t>
            </w:r>
            <w:r>
              <w:rPr>
                <w:rFonts w:hint="default"/>
                <w:color w:val="auto"/>
                <w:sz w:val="24"/>
                <w:szCs w:val="24"/>
                <w:highlight w:val="none"/>
                <w:u w:val="single"/>
                <w:lang w:val="en-US" w:eastAsia="zh-CN"/>
              </w:rPr>
              <w:t>要求中的较严值后，</w:t>
            </w:r>
            <w:r>
              <w:rPr>
                <w:rFonts w:hint="eastAsia"/>
                <w:color w:val="auto"/>
                <w:sz w:val="24"/>
                <w:szCs w:val="24"/>
                <w:highlight w:val="none"/>
                <w:u w:val="single"/>
                <w:lang w:val="en-US" w:eastAsia="zh-CN"/>
              </w:rPr>
              <w:t>排湘阴县第三污水处理厂</w:t>
            </w:r>
            <w:r>
              <w:rPr>
                <w:rFonts w:hint="default"/>
                <w:color w:val="auto"/>
                <w:sz w:val="24"/>
                <w:szCs w:val="24"/>
                <w:highlight w:val="none"/>
                <w:u w:val="single"/>
                <w:lang w:val="en-US" w:eastAsia="zh-CN"/>
              </w:rPr>
              <w:t>。</w:t>
            </w:r>
          </w:p>
          <w:p>
            <w:pPr>
              <w:spacing w:line="240" w:lineRule="auto"/>
              <w:jc w:val="center"/>
              <w:rPr>
                <w:rFonts w:hint="eastAsia" w:ascii="Times New Roman" w:hAnsi="Times New Roman" w:eastAsia="宋体" w:cs="Times New Roman"/>
                <w:b/>
                <w:color w:val="auto"/>
                <w:sz w:val="24"/>
                <w:szCs w:val="24"/>
                <w:highlight w:val="none"/>
                <w:u w:val="single"/>
                <w:lang w:val="en-US" w:eastAsia="zh-CN"/>
              </w:rPr>
            </w:pPr>
            <w:r>
              <w:rPr>
                <w:rFonts w:hint="eastAsia" w:ascii="Times New Roman" w:hAnsi="Times New Roman" w:eastAsia="宋体" w:cs="Times New Roman"/>
                <w:b/>
                <w:color w:val="auto"/>
                <w:sz w:val="24"/>
                <w:szCs w:val="24"/>
                <w:highlight w:val="none"/>
                <w:u w:val="single"/>
                <w:lang w:val="en-US" w:eastAsia="zh-CN"/>
              </w:rPr>
              <w:t>表3.7-1总量控制指标一览表（单位：t/a）</w:t>
            </w:r>
          </w:p>
          <w:tbl>
            <w:tblPr>
              <w:tblStyle w:val="30"/>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02"/>
              <w:gridCol w:w="460"/>
              <w:gridCol w:w="889"/>
              <w:gridCol w:w="851"/>
              <w:gridCol w:w="1008"/>
              <w:gridCol w:w="918"/>
              <w:gridCol w:w="773"/>
              <w:gridCol w:w="885"/>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szCs w:val="21"/>
                      <w:highlight w:val="none"/>
                      <w:u w:val="single"/>
                    </w:rPr>
                  </w:pPr>
                  <w:r>
                    <w:rPr>
                      <w:rFonts w:hint="eastAsia" w:ascii="Times New Roman" w:hAnsi="Times New Roman" w:eastAsia="宋体" w:cs="Times New Roman"/>
                      <w:b/>
                      <w:bCs/>
                      <w:color w:val="auto"/>
                      <w:kern w:val="0"/>
                      <w:sz w:val="21"/>
                      <w:szCs w:val="21"/>
                      <w:highlight w:val="none"/>
                      <w:u w:val="single"/>
                    </w:rPr>
                    <w:t>类别</w:t>
                  </w:r>
                </w:p>
              </w:tc>
              <w:tc>
                <w:tcPr>
                  <w:tcW w:w="902"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szCs w:val="21"/>
                      <w:highlight w:val="none"/>
                      <w:u w:val="single"/>
                    </w:rPr>
                  </w:pPr>
                  <w:r>
                    <w:rPr>
                      <w:rFonts w:hint="eastAsia" w:ascii="Times New Roman" w:hAnsi="Times New Roman" w:eastAsia="宋体" w:cs="Times New Roman"/>
                      <w:b/>
                      <w:bCs/>
                      <w:color w:val="auto"/>
                      <w:kern w:val="0"/>
                      <w:sz w:val="21"/>
                      <w:szCs w:val="21"/>
                      <w:highlight w:val="none"/>
                      <w:u w:val="single"/>
                    </w:rPr>
                    <w:t>项目</w:t>
                  </w:r>
                </w:p>
              </w:tc>
              <w:tc>
                <w:tcPr>
                  <w:tcW w:w="460" w:type="dxa"/>
                  <w:vMerge w:val="restart"/>
                  <w:noWrap w:val="0"/>
                  <w:vAlign w:val="center"/>
                </w:tcPr>
                <w:p>
                  <w:pPr>
                    <w:spacing w:line="240" w:lineRule="auto"/>
                    <w:ind w:firstLine="0" w:firstLineChars="0"/>
                    <w:jc w:val="center"/>
                    <w:rPr>
                      <w:rFonts w:ascii="Times New Roman" w:hAnsi="Times New Roman" w:eastAsia="宋体" w:cs="Times New Roman"/>
                      <w:b/>
                      <w:bCs/>
                      <w:color w:val="auto"/>
                      <w:kern w:val="0"/>
                      <w:sz w:val="21"/>
                      <w:szCs w:val="21"/>
                      <w:highlight w:val="none"/>
                      <w:u w:val="single"/>
                    </w:rPr>
                  </w:pPr>
                  <w:r>
                    <w:rPr>
                      <w:rFonts w:hint="eastAsia" w:ascii="Times New Roman" w:hAnsi="Times New Roman" w:eastAsia="宋体" w:cs="Times New Roman"/>
                      <w:b/>
                      <w:bCs/>
                      <w:color w:val="auto"/>
                      <w:kern w:val="0"/>
                      <w:sz w:val="21"/>
                      <w:szCs w:val="21"/>
                      <w:highlight w:val="none"/>
                      <w:u w:val="single"/>
                    </w:rPr>
                    <w:t>单位</w:t>
                  </w:r>
                </w:p>
              </w:tc>
              <w:tc>
                <w:tcPr>
                  <w:tcW w:w="1740" w:type="dxa"/>
                  <w:gridSpan w:val="2"/>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lang w:eastAsia="zh-CN"/>
                    </w:rPr>
                  </w:pPr>
                  <w:r>
                    <w:rPr>
                      <w:rFonts w:hint="eastAsia" w:ascii="Times New Roman" w:hAnsi="Times New Roman" w:cs="Times New Roman"/>
                      <w:b/>
                      <w:bCs/>
                      <w:color w:val="auto"/>
                      <w:kern w:val="0"/>
                      <w:sz w:val="21"/>
                      <w:szCs w:val="21"/>
                      <w:highlight w:val="none"/>
                      <w:u w:val="single"/>
                      <w:lang w:eastAsia="zh-CN"/>
                    </w:rPr>
                    <w:t>现有排放量</w:t>
                  </w:r>
                </w:p>
              </w:tc>
              <w:tc>
                <w:tcPr>
                  <w:tcW w:w="1008" w:type="dxa"/>
                  <w:vMerge w:val="restart"/>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lang w:eastAsia="zh-CN"/>
                    </w:rPr>
                  </w:pPr>
                  <w:r>
                    <w:rPr>
                      <w:rFonts w:hint="eastAsia" w:ascii="Times New Roman" w:hAnsi="Times New Roman" w:eastAsia="宋体" w:cs="Times New Roman"/>
                      <w:b/>
                      <w:bCs/>
                      <w:color w:val="auto"/>
                      <w:kern w:val="0"/>
                      <w:sz w:val="21"/>
                      <w:szCs w:val="21"/>
                      <w:highlight w:val="none"/>
                      <w:u w:val="single"/>
                      <w:lang w:eastAsia="zh-CN"/>
                    </w:rPr>
                    <w:t>本次</w:t>
                  </w:r>
                  <w:r>
                    <w:rPr>
                      <w:rFonts w:hint="eastAsia" w:cs="Times New Roman"/>
                      <w:b/>
                      <w:bCs/>
                      <w:color w:val="auto"/>
                      <w:kern w:val="0"/>
                      <w:sz w:val="21"/>
                      <w:szCs w:val="21"/>
                      <w:highlight w:val="none"/>
                      <w:u w:val="single"/>
                      <w:lang w:eastAsia="zh-CN"/>
                    </w:rPr>
                    <w:t>改扩建</w:t>
                  </w:r>
                  <w:r>
                    <w:rPr>
                      <w:rFonts w:hint="eastAsia" w:ascii="Times New Roman" w:hAnsi="Times New Roman" w:eastAsia="宋体" w:cs="Times New Roman"/>
                      <w:b/>
                      <w:bCs/>
                      <w:color w:val="auto"/>
                      <w:kern w:val="0"/>
                      <w:sz w:val="21"/>
                      <w:szCs w:val="21"/>
                      <w:highlight w:val="none"/>
                      <w:u w:val="single"/>
                      <w:lang w:eastAsia="zh-CN"/>
                    </w:rPr>
                    <w:t>排放量</w:t>
                  </w:r>
                </w:p>
              </w:tc>
              <w:tc>
                <w:tcPr>
                  <w:tcW w:w="918" w:type="dxa"/>
                  <w:vMerge w:val="restart"/>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lang w:eastAsia="zh-CN"/>
                    </w:rPr>
                  </w:pPr>
                  <w:r>
                    <w:rPr>
                      <w:rFonts w:hint="eastAsia" w:ascii="Times New Roman" w:hAnsi="Times New Roman" w:eastAsia="宋体" w:cs="Times New Roman"/>
                      <w:b/>
                      <w:bCs/>
                      <w:color w:val="auto"/>
                      <w:kern w:val="0"/>
                      <w:sz w:val="21"/>
                      <w:szCs w:val="21"/>
                      <w:highlight w:val="none"/>
                      <w:u w:val="single"/>
                      <w:vertAlign w:val="baseline"/>
                      <w:lang w:val="en-US" w:eastAsia="zh-CN" w:bidi="ar"/>
                    </w:rPr>
                    <w:t>以新带老削减量</w:t>
                  </w:r>
                </w:p>
              </w:tc>
              <w:tc>
                <w:tcPr>
                  <w:tcW w:w="773" w:type="dxa"/>
                  <w:vMerge w:val="restart"/>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lang w:eastAsia="zh-CN"/>
                    </w:rPr>
                  </w:pPr>
                  <w:r>
                    <w:rPr>
                      <w:rFonts w:hint="eastAsia" w:ascii="Times New Roman" w:hAnsi="Times New Roman" w:eastAsia="宋体" w:cs="Times New Roman"/>
                      <w:b/>
                      <w:bCs/>
                      <w:color w:val="auto"/>
                      <w:kern w:val="0"/>
                      <w:sz w:val="21"/>
                      <w:szCs w:val="21"/>
                      <w:highlight w:val="none"/>
                      <w:u w:val="single"/>
                      <w:lang w:eastAsia="zh-CN"/>
                    </w:rPr>
                    <w:t>建成后排放</w:t>
                  </w:r>
                  <w:r>
                    <w:rPr>
                      <w:rFonts w:hint="eastAsia" w:cs="Times New Roman"/>
                      <w:b/>
                      <w:bCs/>
                      <w:color w:val="auto"/>
                      <w:kern w:val="0"/>
                      <w:sz w:val="21"/>
                      <w:szCs w:val="21"/>
                      <w:highlight w:val="none"/>
                      <w:u w:val="single"/>
                      <w:lang w:val="en-US" w:eastAsia="zh-CN"/>
                    </w:rPr>
                    <w:t>总</w:t>
                  </w:r>
                  <w:r>
                    <w:rPr>
                      <w:rFonts w:hint="eastAsia" w:ascii="Times New Roman" w:hAnsi="Times New Roman" w:eastAsia="宋体" w:cs="Times New Roman"/>
                      <w:b/>
                      <w:bCs/>
                      <w:color w:val="auto"/>
                      <w:kern w:val="0"/>
                      <w:sz w:val="21"/>
                      <w:szCs w:val="21"/>
                      <w:highlight w:val="none"/>
                      <w:u w:val="single"/>
                      <w:lang w:eastAsia="zh-CN"/>
                    </w:rPr>
                    <w:t>量</w:t>
                  </w:r>
                </w:p>
              </w:tc>
              <w:tc>
                <w:tcPr>
                  <w:tcW w:w="1790" w:type="dxa"/>
                  <w:gridSpan w:val="2"/>
                  <w:noWrap w:val="0"/>
                  <w:vAlign w:val="center"/>
                </w:tcPr>
                <w:p>
                  <w:pPr>
                    <w:spacing w:line="240" w:lineRule="auto"/>
                    <w:ind w:firstLine="0" w:firstLineChars="0"/>
                    <w:jc w:val="center"/>
                    <w:rPr>
                      <w:color w:val="auto"/>
                      <w:highlight w:val="none"/>
                      <w:u w:val="single"/>
                    </w:rPr>
                  </w:pPr>
                  <w:r>
                    <w:rPr>
                      <w:rFonts w:hint="eastAsia" w:ascii="Times New Roman" w:hAnsi="Times New Roman" w:eastAsia="宋体" w:cs="Times New Roman"/>
                      <w:b/>
                      <w:bCs/>
                      <w:color w:val="auto"/>
                      <w:kern w:val="0"/>
                      <w:sz w:val="21"/>
                      <w:szCs w:val="21"/>
                      <w:highlight w:val="none"/>
                      <w:u w:val="single"/>
                      <w:lang w:eastAsia="zh-CN"/>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rPr>
                  </w:pPr>
                </w:p>
              </w:tc>
              <w:tc>
                <w:tcPr>
                  <w:tcW w:w="902" w:type="dxa"/>
                  <w:vMerge w:val="continue"/>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rPr>
                  </w:pPr>
                </w:p>
              </w:tc>
              <w:tc>
                <w:tcPr>
                  <w:tcW w:w="460" w:type="dxa"/>
                  <w:vMerge w:val="continue"/>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rPr>
                  </w:pPr>
                </w:p>
              </w:tc>
              <w:tc>
                <w:tcPr>
                  <w:tcW w:w="889" w:type="dxa"/>
                  <w:noWrap w:val="0"/>
                  <w:vAlign w:val="center"/>
                </w:tcPr>
                <w:p>
                  <w:pPr>
                    <w:spacing w:line="240" w:lineRule="auto"/>
                    <w:ind w:firstLine="0" w:firstLineChars="0"/>
                    <w:jc w:val="center"/>
                    <w:rPr>
                      <w:rFonts w:hint="eastAsia" w:ascii="Times New Roman" w:hAnsi="Times New Roman" w:cs="Times New Roman"/>
                      <w:b/>
                      <w:bCs/>
                      <w:color w:val="auto"/>
                      <w:kern w:val="0"/>
                      <w:sz w:val="21"/>
                      <w:szCs w:val="21"/>
                      <w:highlight w:val="none"/>
                      <w:u w:val="single"/>
                      <w:lang w:eastAsia="zh-CN"/>
                    </w:rPr>
                  </w:pPr>
                  <w:r>
                    <w:rPr>
                      <w:rFonts w:hint="eastAsia" w:ascii="Times New Roman" w:hAnsi="Times New Roman" w:cs="Times New Roman"/>
                      <w:b/>
                      <w:bCs/>
                      <w:color w:val="auto"/>
                      <w:kern w:val="0"/>
                      <w:sz w:val="21"/>
                      <w:szCs w:val="21"/>
                      <w:highlight w:val="none"/>
                      <w:u w:val="single"/>
                      <w:lang w:eastAsia="zh-CN"/>
                    </w:rPr>
                    <w:t>实际排放</w:t>
                  </w:r>
                  <w:r>
                    <w:rPr>
                      <w:rFonts w:hint="eastAsia" w:cs="Times New Roman"/>
                      <w:b/>
                      <w:bCs/>
                      <w:color w:val="auto"/>
                      <w:kern w:val="0"/>
                      <w:sz w:val="21"/>
                      <w:szCs w:val="21"/>
                      <w:highlight w:val="none"/>
                      <w:u w:val="single"/>
                      <w:lang w:eastAsia="zh-CN"/>
                    </w:rPr>
                    <w:t>总</w:t>
                  </w:r>
                  <w:r>
                    <w:rPr>
                      <w:rFonts w:hint="eastAsia" w:ascii="Times New Roman" w:hAnsi="Times New Roman" w:cs="Times New Roman"/>
                      <w:b/>
                      <w:bCs/>
                      <w:color w:val="auto"/>
                      <w:kern w:val="0"/>
                      <w:sz w:val="21"/>
                      <w:szCs w:val="21"/>
                      <w:highlight w:val="none"/>
                      <w:u w:val="single"/>
                      <w:lang w:eastAsia="zh-CN"/>
                    </w:rPr>
                    <w:t>量</w:t>
                  </w:r>
                </w:p>
              </w:tc>
              <w:tc>
                <w:tcPr>
                  <w:tcW w:w="851" w:type="dxa"/>
                  <w:noWrap w:val="0"/>
                  <w:vAlign w:val="center"/>
                </w:tcPr>
                <w:p>
                  <w:pPr>
                    <w:spacing w:line="240" w:lineRule="auto"/>
                    <w:ind w:firstLine="0" w:firstLineChars="0"/>
                    <w:jc w:val="center"/>
                    <w:rPr>
                      <w:rFonts w:hint="eastAsia" w:ascii="Times New Roman" w:hAnsi="Times New Roman" w:cs="Times New Roman"/>
                      <w:b/>
                      <w:bCs/>
                      <w:color w:val="auto"/>
                      <w:kern w:val="0"/>
                      <w:sz w:val="21"/>
                      <w:szCs w:val="21"/>
                      <w:highlight w:val="none"/>
                      <w:u w:val="single"/>
                      <w:lang w:eastAsia="zh-CN"/>
                    </w:rPr>
                  </w:pPr>
                  <w:r>
                    <w:rPr>
                      <w:rFonts w:hint="eastAsia" w:cs="Times New Roman"/>
                      <w:b/>
                      <w:bCs/>
                      <w:color w:val="auto"/>
                      <w:kern w:val="0"/>
                      <w:sz w:val="21"/>
                      <w:szCs w:val="21"/>
                      <w:highlight w:val="none"/>
                      <w:u w:val="single"/>
                      <w:lang w:eastAsia="zh-CN"/>
                    </w:rPr>
                    <w:t>排污权量</w:t>
                  </w:r>
                </w:p>
              </w:tc>
              <w:tc>
                <w:tcPr>
                  <w:tcW w:w="1008" w:type="dxa"/>
                  <w:vMerge w:val="continue"/>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lang w:eastAsia="zh-CN"/>
                    </w:rPr>
                  </w:pPr>
                </w:p>
              </w:tc>
              <w:tc>
                <w:tcPr>
                  <w:tcW w:w="918" w:type="dxa"/>
                  <w:vMerge w:val="continue"/>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vertAlign w:val="baseline"/>
                      <w:lang w:val="en-US" w:eastAsia="zh-CN" w:bidi="ar"/>
                    </w:rPr>
                  </w:pPr>
                </w:p>
              </w:tc>
              <w:tc>
                <w:tcPr>
                  <w:tcW w:w="773" w:type="dxa"/>
                  <w:vMerge w:val="continue"/>
                  <w:noWrap w:val="0"/>
                  <w:vAlign w:val="center"/>
                </w:tcPr>
                <w:p>
                  <w:pPr>
                    <w:spacing w:line="240" w:lineRule="auto"/>
                    <w:ind w:firstLine="0" w:firstLineChars="0"/>
                    <w:jc w:val="center"/>
                    <w:rPr>
                      <w:rFonts w:hint="eastAsia" w:ascii="Times New Roman" w:hAnsi="Times New Roman" w:eastAsia="宋体" w:cs="Times New Roman"/>
                      <w:b/>
                      <w:bCs/>
                      <w:color w:val="auto"/>
                      <w:kern w:val="0"/>
                      <w:sz w:val="21"/>
                      <w:szCs w:val="21"/>
                      <w:highlight w:val="none"/>
                      <w:u w:val="single"/>
                      <w:lang w:eastAsia="zh-CN"/>
                    </w:rPr>
                  </w:pPr>
                </w:p>
              </w:tc>
              <w:tc>
                <w:tcPr>
                  <w:tcW w:w="885" w:type="dxa"/>
                  <w:noWrap w:val="0"/>
                  <w:vAlign w:val="center"/>
                </w:tcPr>
                <w:p>
                  <w:pPr>
                    <w:spacing w:line="240" w:lineRule="auto"/>
                    <w:ind w:firstLine="0" w:firstLineChars="0"/>
                    <w:jc w:val="center"/>
                    <w:rPr>
                      <w:rFonts w:hint="eastAsia"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与实</w:t>
                  </w:r>
                </w:p>
                <w:p>
                  <w:pPr>
                    <w:spacing w:line="240" w:lineRule="auto"/>
                    <w:ind w:firstLine="0" w:firstLineChars="0"/>
                    <w:jc w:val="center"/>
                    <w:rPr>
                      <w:rFonts w:hint="default" w:ascii="Times New Roman" w:hAnsi="Times New Roman" w:eastAsia="宋体"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际总量</w:t>
                  </w:r>
                </w:p>
              </w:tc>
              <w:tc>
                <w:tcPr>
                  <w:tcW w:w="905" w:type="dxa"/>
                  <w:noWrap w:val="0"/>
                  <w:vAlign w:val="center"/>
                </w:tcPr>
                <w:p>
                  <w:pPr>
                    <w:spacing w:line="240" w:lineRule="auto"/>
                    <w:ind w:firstLine="0" w:firstLineChars="0"/>
                    <w:jc w:val="center"/>
                    <w:rPr>
                      <w:rFonts w:hint="default" w:ascii="Times New Roman" w:hAnsi="Times New Roman" w:eastAsia="宋体" w:cs="Times New Roman"/>
                      <w:b/>
                      <w:bCs/>
                      <w:color w:val="auto"/>
                      <w:kern w:val="0"/>
                      <w:sz w:val="21"/>
                      <w:szCs w:val="21"/>
                      <w:highlight w:val="none"/>
                      <w:u w:val="single"/>
                      <w:lang w:val="en-US" w:eastAsia="zh-CN"/>
                    </w:rPr>
                  </w:pPr>
                  <w:r>
                    <w:rPr>
                      <w:rFonts w:hint="eastAsia" w:cs="Times New Roman"/>
                      <w:b/>
                      <w:bCs/>
                      <w:color w:val="auto"/>
                      <w:kern w:val="0"/>
                      <w:sz w:val="21"/>
                      <w:szCs w:val="21"/>
                      <w:highlight w:val="none"/>
                      <w:u w:val="single"/>
                      <w:lang w:val="en-US" w:eastAsia="zh-CN"/>
                    </w:rPr>
                    <w:t>与排污权量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u w:val="single"/>
                      <w:lang w:eastAsia="zh-CN"/>
                    </w:rPr>
                  </w:pPr>
                  <w:r>
                    <w:rPr>
                      <w:rFonts w:hint="eastAsia" w:ascii="Times New Roman" w:hAnsi="Times New Roman" w:eastAsia="宋体" w:cs="Times New Roman"/>
                      <w:color w:val="auto"/>
                      <w:kern w:val="0"/>
                      <w:sz w:val="21"/>
                      <w:szCs w:val="21"/>
                      <w:highlight w:val="none"/>
                      <w:u w:val="single"/>
                    </w:rPr>
                    <w:t>废</w:t>
                  </w:r>
                  <w:r>
                    <w:rPr>
                      <w:rFonts w:hint="eastAsia" w:ascii="Times New Roman" w:hAnsi="Times New Roman" w:cs="Times New Roman"/>
                      <w:color w:val="auto"/>
                      <w:kern w:val="0"/>
                      <w:sz w:val="21"/>
                      <w:szCs w:val="21"/>
                      <w:highlight w:val="none"/>
                      <w:u w:val="single"/>
                      <w:lang w:eastAsia="zh-CN"/>
                    </w:rPr>
                    <w:t>水</w:t>
                  </w:r>
                </w:p>
              </w:tc>
              <w:tc>
                <w:tcPr>
                  <w:tcW w:w="902" w:type="dxa"/>
                  <w:noWrap w:val="0"/>
                  <w:vAlign w:val="center"/>
                </w:tcPr>
                <w:p>
                  <w:pPr>
                    <w:spacing w:line="240" w:lineRule="auto"/>
                    <w:ind w:firstLine="0" w:firstLineChars="0"/>
                    <w:jc w:val="center"/>
                    <w:rPr>
                      <w:rFonts w:hint="eastAsia" w:ascii="Times New Roman" w:hAnsi="Times New Roman" w:eastAsia="宋体" w:cs="Times New Roman"/>
                      <w:b w:val="0"/>
                      <w:bCs w:val="0"/>
                      <w:color w:val="auto"/>
                      <w:kern w:val="0"/>
                      <w:sz w:val="21"/>
                      <w:szCs w:val="21"/>
                      <w:highlight w:val="none"/>
                      <w:u w:val="single"/>
                      <w:lang w:eastAsia="zh-CN"/>
                    </w:rPr>
                  </w:pPr>
                  <w:r>
                    <w:rPr>
                      <w:rFonts w:hint="eastAsia" w:cs="Times New Roman"/>
                      <w:b w:val="0"/>
                      <w:bCs w:val="0"/>
                      <w:color w:val="auto"/>
                      <w:kern w:val="0"/>
                      <w:sz w:val="21"/>
                      <w:szCs w:val="21"/>
                      <w:highlight w:val="none"/>
                      <w:u w:val="single"/>
                      <w:lang w:eastAsia="zh-CN"/>
                    </w:rPr>
                    <w:t>废水量</w:t>
                  </w:r>
                </w:p>
              </w:tc>
              <w:tc>
                <w:tcPr>
                  <w:tcW w:w="460"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u w:val="single"/>
                      <w:lang w:val="en-US" w:eastAsia="zh-CN"/>
                    </w:rPr>
                  </w:pPr>
                  <w:r>
                    <w:rPr>
                      <w:rFonts w:hint="eastAsia" w:cs="Times New Roman"/>
                      <w:b w:val="0"/>
                      <w:bCs w:val="0"/>
                      <w:color w:val="auto"/>
                      <w:kern w:val="0"/>
                      <w:sz w:val="21"/>
                      <w:szCs w:val="21"/>
                      <w:highlight w:val="none"/>
                      <w:u w:val="single"/>
                      <w:lang w:val="en-US" w:eastAsia="zh-CN"/>
                    </w:rPr>
                    <w:t>t/a</w:t>
                  </w:r>
                </w:p>
              </w:tc>
              <w:tc>
                <w:tcPr>
                  <w:tcW w:w="889"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0"/>
                      <w:sz w:val="21"/>
                      <w:szCs w:val="21"/>
                      <w:highlight w:val="none"/>
                      <w:u w:val="single"/>
                      <w:lang w:val="en-US" w:eastAsia="zh-CN"/>
                    </w:rPr>
                  </w:pPr>
                  <w:r>
                    <w:rPr>
                      <w:rFonts w:hint="eastAsia" w:cs="Times New Roman"/>
                      <w:i w:val="0"/>
                      <w:iCs w:val="0"/>
                      <w:color w:val="auto"/>
                      <w:kern w:val="0"/>
                      <w:sz w:val="21"/>
                      <w:szCs w:val="21"/>
                      <w:highlight w:val="none"/>
                      <w:u w:val="single"/>
                      <w:lang w:val="en-US" w:eastAsia="zh-CN" w:bidi="ar"/>
                    </w:rPr>
                    <w:t>10580</w:t>
                  </w:r>
                </w:p>
              </w:tc>
              <w:tc>
                <w:tcPr>
                  <w:tcW w:w="851"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kern w:val="0"/>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w:t>
                  </w:r>
                </w:p>
              </w:tc>
              <w:tc>
                <w:tcPr>
                  <w:tcW w:w="10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u w:val="single"/>
                      <w:lang w:val="en-US" w:eastAsia="zh-CN"/>
                    </w:rPr>
                  </w:pPr>
                  <w:r>
                    <w:rPr>
                      <w:rFonts w:hint="eastAsia" w:cs="Times New Roman"/>
                      <w:i w:val="0"/>
                      <w:iCs w:val="0"/>
                      <w:color w:val="auto"/>
                      <w:kern w:val="0"/>
                      <w:sz w:val="21"/>
                      <w:szCs w:val="21"/>
                      <w:highlight w:val="none"/>
                      <w:u w:val="single"/>
                      <w:lang w:val="en-US" w:eastAsia="zh-CN" w:bidi="ar"/>
                    </w:rPr>
                    <w:t>6608</w:t>
                  </w:r>
                </w:p>
              </w:tc>
              <w:tc>
                <w:tcPr>
                  <w:tcW w:w="9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u w:val="single"/>
                      <w:vertAlign w:val="baseline"/>
                      <w:lang w:val="en-US" w:eastAsia="zh-CN" w:bidi="ar"/>
                    </w:rPr>
                  </w:pPr>
                  <w:r>
                    <w:rPr>
                      <w:rFonts w:hint="eastAsia" w:cs="Times New Roman"/>
                      <w:i w:val="0"/>
                      <w:iCs w:val="0"/>
                      <w:color w:val="auto"/>
                      <w:kern w:val="0"/>
                      <w:sz w:val="21"/>
                      <w:szCs w:val="21"/>
                      <w:highlight w:val="none"/>
                      <w:u w:val="single"/>
                      <w:lang w:val="en-US" w:eastAsia="zh-CN" w:bidi="ar"/>
                    </w:rPr>
                    <w:t>2327.68</w:t>
                  </w:r>
                </w:p>
              </w:tc>
              <w:tc>
                <w:tcPr>
                  <w:tcW w:w="773"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14860.32</w:t>
                  </w:r>
                </w:p>
              </w:tc>
              <w:tc>
                <w:tcPr>
                  <w:tcW w:w="885"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eastAsia="宋体" w:cs="Times New Roman"/>
                      <w:i w:val="0"/>
                      <w:iCs w:val="0"/>
                      <w:color w:val="auto"/>
                      <w:kern w:val="0"/>
                      <w:sz w:val="21"/>
                      <w:szCs w:val="21"/>
                      <w:highlight w:val="none"/>
                      <w:u w:val="single"/>
                      <w:lang w:val="en-US" w:eastAsia="zh-CN" w:bidi="ar"/>
                    </w:rPr>
                    <w:t>+</w:t>
                  </w:r>
                  <w:r>
                    <w:rPr>
                      <w:rFonts w:hint="eastAsia" w:cs="Times New Roman"/>
                      <w:i w:val="0"/>
                      <w:iCs w:val="0"/>
                      <w:color w:val="auto"/>
                      <w:kern w:val="0"/>
                      <w:sz w:val="21"/>
                      <w:szCs w:val="21"/>
                      <w:highlight w:val="none"/>
                      <w:u w:val="single"/>
                      <w:lang w:val="en-US" w:eastAsia="zh-CN" w:bidi="ar"/>
                    </w:rPr>
                    <w:t>4280.32</w:t>
                  </w:r>
                </w:p>
              </w:tc>
              <w:tc>
                <w:tcPr>
                  <w:tcW w:w="905"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eastAsia="宋体" w:cs="Times New Roman"/>
                      <w:i w:val="0"/>
                      <w:iCs w:val="0"/>
                      <w:color w:val="auto"/>
                      <w:kern w:val="0"/>
                      <w:sz w:val="21"/>
                      <w:szCs w:val="21"/>
                      <w:highlight w:val="none"/>
                      <w:u w:val="singl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u w:val="single"/>
                      <w:lang w:eastAsia="zh-CN"/>
                    </w:rPr>
                  </w:pPr>
                </w:p>
              </w:tc>
              <w:tc>
                <w:tcPr>
                  <w:tcW w:w="902" w:type="dxa"/>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u w:val="single"/>
                      <w:lang w:val="en-US"/>
                    </w:rPr>
                  </w:pPr>
                  <w:r>
                    <w:rPr>
                      <w:rFonts w:hint="eastAsia" w:ascii="Times New Roman" w:hAnsi="Times New Roman"/>
                      <w:bCs/>
                      <w:color w:val="auto"/>
                      <w:sz w:val="21"/>
                      <w:szCs w:val="21"/>
                      <w:highlight w:val="none"/>
                      <w:u w:val="single"/>
                      <w:lang w:val="en-US" w:eastAsia="zh-CN"/>
                    </w:rPr>
                    <w:t>COD</w:t>
                  </w:r>
                </w:p>
              </w:tc>
              <w:tc>
                <w:tcPr>
                  <w:tcW w:w="460" w:type="dxa"/>
                  <w:noWrap w:val="0"/>
                  <w:vAlign w:val="center"/>
                </w:tcPr>
                <w:p>
                  <w:pPr>
                    <w:spacing w:line="240" w:lineRule="auto"/>
                    <w:ind w:firstLine="0" w:firstLineChars="0"/>
                    <w:jc w:val="center"/>
                    <w:rPr>
                      <w:rFonts w:ascii="Times New Roman" w:hAnsi="Times New Roman" w:eastAsia="宋体" w:cs="Times New Roman"/>
                      <w:color w:val="auto"/>
                      <w:kern w:val="0"/>
                      <w:sz w:val="21"/>
                      <w:szCs w:val="21"/>
                      <w:highlight w:val="none"/>
                      <w:u w:val="single"/>
                    </w:rPr>
                  </w:pPr>
                  <w:r>
                    <w:rPr>
                      <w:rFonts w:ascii="Times New Roman" w:hAnsi="Times New Roman" w:eastAsia="宋体" w:cs="Times New Roman"/>
                      <w:color w:val="auto"/>
                      <w:kern w:val="0"/>
                      <w:sz w:val="21"/>
                      <w:szCs w:val="21"/>
                      <w:highlight w:val="none"/>
                      <w:u w:val="single"/>
                    </w:rPr>
                    <w:t>t/a</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0.529</w:t>
                  </w:r>
                </w:p>
              </w:tc>
              <w:tc>
                <w:tcPr>
                  <w:tcW w:w="85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u w:val="single"/>
                      <w:lang w:val="en-US" w:eastAsia="zh-CN"/>
                    </w:rPr>
                  </w:pPr>
                  <w:r>
                    <w:rPr>
                      <w:rFonts w:hint="eastAsia" w:cs="Times New Roman"/>
                      <w:i w:val="0"/>
                      <w:iCs w:val="0"/>
                      <w:color w:val="auto"/>
                      <w:kern w:val="0"/>
                      <w:sz w:val="21"/>
                      <w:szCs w:val="21"/>
                      <w:highlight w:val="none"/>
                      <w:u w:val="single"/>
                      <w:lang w:val="en-US" w:eastAsia="zh-CN" w:bidi="ar"/>
                    </w:rPr>
                    <w:t>0.2</w:t>
                  </w:r>
                </w:p>
              </w:tc>
              <w:tc>
                <w:tcPr>
                  <w:tcW w:w="10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0.330</w:t>
                  </w:r>
                </w:p>
              </w:tc>
              <w:tc>
                <w:tcPr>
                  <w:tcW w:w="9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0.</w:t>
                  </w:r>
                  <w:r>
                    <w:rPr>
                      <w:rFonts w:hint="eastAsia" w:cs="Times New Roman"/>
                      <w:i w:val="0"/>
                      <w:iCs w:val="0"/>
                      <w:color w:val="auto"/>
                      <w:kern w:val="0"/>
                      <w:sz w:val="21"/>
                      <w:szCs w:val="21"/>
                      <w:highlight w:val="none"/>
                      <w:u w:val="single"/>
                      <w:lang w:val="en-US" w:eastAsia="zh-CN" w:bidi="ar"/>
                    </w:rPr>
                    <w:t>116</w:t>
                  </w:r>
                </w:p>
              </w:tc>
              <w:tc>
                <w:tcPr>
                  <w:tcW w:w="773"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default" w:eastAsia="宋体" w:cs="Times New Roman"/>
                      <w:i w:val="0"/>
                      <w:iCs w:val="0"/>
                      <w:color w:val="auto"/>
                      <w:kern w:val="0"/>
                      <w:sz w:val="21"/>
                      <w:szCs w:val="21"/>
                      <w:highlight w:val="none"/>
                      <w:u w:val="single"/>
                      <w:lang w:val="en-US" w:eastAsia="zh-CN" w:bidi="ar"/>
                    </w:rPr>
                    <w:t>0.</w:t>
                  </w:r>
                  <w:r>
                    <w:rPr>
                      <w:rFonts w:hint="eastAsia" w:cs="Times New Roman"/>
                      <w:i w:val="0"/>
                      <w:iCs w:val="0"/>
                      <w:color w:val="auto"/>
                      <w:kern w:val="0"/>
                      <w:sz w:val="21"/>
                      <w:szCs w:val="21"/>
                      <w:highlight w:val="none"/>
                      <w:u w:val="single"/>
                      <w:lang w:val="en-US" w:eastAsia="zh-CN" w:bidi="ar"/>
                    </w:rPr>
                    <w:t>743</w:t>
                  </w:r>
                </w:p>
              </w:tc>
              <w:tc>
                <w:tcPr>
                  <w:tcW w:w="885"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eastAsia="宋体" w:cs="Times New Roman"/>
                      <w:i w:val="0"/>
                      <w:iCs w:val="0"/>
                      <w:color w:val="auto"/>
                      <w:kern w:val="0"/>
                      <w:sz w:val="21"/>
                      <w:szCs w:val="21"/>
                      <w:highlight w:val="none"/>
                      <w:u w:val="single"/>
                      <w:lang w:val="en-US" w:eastAsia="zh-CN" w:bidi="ar"/>
                    </w:rPr>
                    <w:t>+</w:t>
                  </w:r>
                  <w:r>
                    <w:rPr>
                      <w:rFonts w:hint="default" w:eastAsia="宋体" w:cs="Times New Roman"/>
                      <w:i w:val="0"/>
                      <w:iCs w:val="0"/>
                      <w:color w:val="auto"/>
                      <w:kern w:val="0"/>
                      <w:sz w:val="21"/>
                      <w:szCs w:val="21"/>
                      <w:highlight w:val="none"/>
                      <w:u w:val="single"/>
                      <w:lang w:val="en-US" w:eastAsia="zh-CN" w:bidi="ar"/>
                    </w:rPr>
                    <w:t>0.</w:t>
                  </w:r>
                  <w:r>
                    <w:rPr>
                      <w:rFonts w:hint="eastAsia" w:cs="Times New Roman"/>
                      <w:i w:val="0"/>
                      <w:iCs w:val="0"/>
                      <w:color w:val="auto"/>
                      <w:kern w:val="0"/>
                      <w:sz w:val="21"/>
                      <w:szCs w:val="21"/>
                      <w:highlight w:val="none"/>
                      <w:u w:val="single"/>
                      <w:lang w:val="en-US" w:eastAsia="zh-CN" w:bidi="ar"/>
                    </w:rPr>
                    <w:t>214</w:t>
                  </w:r>
                </w:p>
              </w:tc>
              <w:tc>
                <w:tcPr>
                  <w:tcW w:w="905"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eastAsia="宋体" w:cs="Times New Roman"/>
                      <w:i w:val="0"/>
                      <w:iCs w:val="0"/>
                      <w:color w:val="auto"/>
                      <w:kern w:val="0"/>
                      <w:sz w:val="21"/>
                      <w:szCs w:val="21"/>
                      <w:highlight w:val="none"/>
                      <w:u w:val="single"/>
                      <w:lang w:val="en-US" w:eastAsia="zh-CN" w:bidi="ar"/>
                    </w:rPr>
                    <w:t>+0.5</w:t>
                  </w:r>
                  <w:r>
                    <w:rPr>
                      <w:rFonts w:hint="eastAsia" w:cs="Times New Roman"/>
                      <w:i w:val="0"/>
                      <w:iCs w:val="0"/>
                      <w:color w:val="auto"/>
                      <w:kern w:val="0"/>
                      <w:sz w:val="21"/>
                      <w:szCs w:val="21"/>
                      <w:highlight w:val="none"/>
                      <w:u w:val="singl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noWrap w:val="0"/>
                  <w:vAlign w:val="center"/>
                </w:tcPr>
                <w:p>
                  <w:pPr>
                    <w:spacing w:line="240" w:lineRule="auto"/>
                    <w:ind w:firstLine="0" w:firstLineChars="0"/>
                    <w:jc w:val="center"/>
                    <w:rPr>
                      <w:rFonts w:ascii="Times New Roman" w:hAnsi="Times New Roman" w:eastAsia="宋体" w:cs="Times New Roman"/>
                      <w:color w:val="auto"/>
                      <w:kern w:val="0"/>
                      <w:sz w:val="21"/>
                      <w:szCs w:val="21"/>
                      <w:highlight w:val="none"/>
                      <w:u w:val="single"/>
                    </w:rPr>
                  </w:pPr>
                </w:p>
              </w:tc>
              <w:tc>
                <w:tcPr>
                  <w:tcW w:w="902" w:type="dxa"/>
                  <w:noWrap w:val="0"/>
                  <w:vAlign w:val="center"/>
                </w:tcPr>
                <w:p>
                  <w:pPr>
                    <w:pStyle w:val="114"/>
                    <w:ind w:firstLine="0" w:firstLineChars="0"/>
                    <w:jc w:val="center"/>
                    <w:rPr>
                      <w:rFonts w:hint="default" w:ascii="Times New Roman" w:hAnsi="Times New Roman" w:eastAsia="宋体" w:cs="Times New Roman"/>
                      <w:color w:val="auto"/>
                      <w:kern w:val="0"/>
                      <w:sz w:val="21"/>
                      <w:szCs w:val="21"/>
                      <w:highlight w:val="none"/>
                      <w:u w:val="single"/>
                      <w:lang w:val="en-US" w:eastAsia="zh-CN"/>
                    </w:rPr>
                  </w:pPr>
                  <w:r>
                    <w:rPr>
                      <w:rFonts w:hint="eastAsia" w:ascii="Times New Roman" w:hAnsi="Times New Roman" w:cs="Times New Roman"/>
                      <w:color w:val="auto"/>
                      <w:kern w:val="0"/>
                      <w:sz w:val="21"/>
                      <w:szCs w:val="21"/>
                      <w:highlight w:val="none"/>
                      <w:u w:val="single"/>
                      <w:lang w:val="en-US" w:eastAsia="zh-CN"/>
                    </w:rPr>
                    <w:t>氨氮</w:t>
                  </w:r>
                </w:p>
              </w:tc>
              <w:tc>
                <w:tcPr>
                  <w:tcW w:w="460" w:type="dxa"/>
                  <w:noWrap w:val="0"/>
                  <w:vAlign w:val="center"/>
                </w:tcPr>
                <w:p>
                  <w:pPr>
                    <w:spacing w:line="240" w:lineRule="auto"/>
                    <w:ind w:firstLine="0" w:firstLineChars="0"/>
                    <w:jc w:val="center"/>
                    <w:rPr>
                      <w:rFonts w:ascii="Times New Roman" w:hAnsi="Times New Roman" w:eastAsia="宋体" w:cs="Times New Roman"/>
                      <w:color w:val="auto"/>
                      <w:kern w:val="0"/>
                      <w:sz w:val="21"/>
                      <w:szCs w:val="21"/>
                      <w:highlight w:val="none"/>
                      <w:u w:val="single"/>
                    </w:rPr>
                  </w:pPr>
                  <w:r>
                    <w:rPr>
                      <w:rFonts w:ascii="Times New Roman" w:hAnsi="Times New Roman" w:eastAsia="宋体" w:cs="Times New Roman"/>
                      <w:color w:val="auto"/>
                      <w:kern w:val="0"/>
                      <w:sz w:val="21"/>
                      <w:szCs w:val="21"/>
                      <w:highlight w:val="none"/>
                      <w:u w:val="single"/>
                    </w:rPr>
                    <w:t>t/a</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0.053</w:t>
                  </w:r>
                </w:p>
              </w:tc>
              <w:tc>
                <w:tcPr>
                  <w:tcW w:w="85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u w:val="single"/>
                      <w:lang w:val="en-US" w:eastAsia="zh-CN"/>
                    </w:rPr>
                  </w:pPr>
                  <w:r>
                    <w:rPr>
                      <w:rFonts w:hint="eastAsia" w:cs="Times New Roman"/>
                      <w:i w:val="0"/>
                      <w:iCs w:val="0"/>
                      <w:color w:val="auto"/>
                      <w:kern w:val="0"/>
                      <w:sz w:val="21"/>
                      <w:szCs w:val="21"/>
                      <w:highlight w:val="none"/>
                      <w:u w:val="single"/>
                      <w:lang w:val="en-US" w:eastAsia="zh-CN" w:bidi="ar"/>
                    </w:rPr>
                    <w:t>0</w:t>
                  </w:r>
                </w:p>
              </w:tc>
              <w:tc>
                <w:tcPr>
                  <w:tcW w:w="10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0.033</w:t>
                  </w:r>
                </w:p>
              </w:tc>
              <w:tc>
                <w:tcPr>
                  <w:tcW w:w="9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single"/>
                      <w:lang w:val="en-US" w:eastAsia="zh-CN" w:bidi="ar"/>
                    </w:rPr>
                    <w:t>0.0</w:t>
                  </w:r>
                  <w:r>
                    <w:rPr>
                      <w:rFonts w:hint="eastAsia" w:cs="Times New Roman"/>
                      <w:i w:val="0"/>
                      <w:iCs w:val="0"/>
                      <w:color w:val="auto"/>
                      <w:kern w:val="0"/>
                      <w:sz w:val="21"/>
                      <w:szCs w:val="21"/>
                      <w:highlight w:val="none"/>
                      <w:u w:val="single"/>
                      <w:lang w:val="en-US" w:eastAsia="zh-CN" w:bidi="ar"/>
                    </w:rPr>
                    <w:t>12</w:t>
                  </w:r>
                </w:p>
              </w:tc>
              <w:tc>
                <w:tcPr>
                  <w:tcW w:w="773"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default" w:eastAsia="宋体" w:cs="Times New Roman"/>
                      <w:i w:val="0"/>
                      <w:iCs w:val="0"/>
                      <w:color w:val="auto"/>
                      <w:kern w:val="0"/>
                      <w:sz w:val="21"/>
                      <w:szCs w:val="21"/>
                      <w:highlight w:val="none"/>
                      <w:u w:val="single"/>
                      <w:lang w:val="en-US" w:eastAsia="zh-CN" w:bidi="ar"/>
                    </w:rPr>
                    <w:t>0.07</w:t>
                  </w:r>
                  <w:r>
                    <w:rPr>
                      <w:rFonts w:hint="eastAsia" w:cs="Times New Roman"/>
                      <w:i w:val="0"/>
                      <w:iCs w:val="0"/>
                      <w:color w:val="auto"/>
                      <w:kern w:val="0"/>
                      <w:sz w:val="21"/>
                      <w:szCs w:val="21"/>
                      <w:highlight w:val="none"/>
                      <w:u w:val="single"/>
                      <w:lang w:val="en-US" w:eastAsia="zh-CN" w:bidi="ar"/>
                    </w:rPr>
                    <w:t>4</w:t>
                  </w:r>
                  <w:r>
                    <w:rPr>
                      <w:rFonts w:hint="default" w:eastAsia="宋体" w:cs="Times New Roman"/>
                      <w:i w:val="0"/>
                      <w:iCs w:val="0"/>
                      <w:color w:val="auto"/>
                      <w:kern w:val="0"/>
                      <w:sz w:val="21"/>
                      <w:szCs w:val="21"/>
                      <w:highlight w:val="none"/>
                      <w:u w:val="single"/>
                      <w:lang w:val="en-US" w:eastAsia="zh-CN" w:bidi="ar"/>
                    </w:rPr>
                    <w:t xml:space="preserve"> </w:t>
                  </w:r>
                </w:p>
              </w:tc>
              <w:tc>
                <w:tcPr>
                  <w:tcW w:w="885"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eastAsia="宋体" w:cs="Times New Roman"/>
                      <w:i w:val="0"/>
                      <w:iCs w:val="0"/>
                      <w:color w:val="auto"/>
                      <w:kern w:val="0"/>
                      <w:sz w:val="21"/>
                      <w:szCs w:val="21"/>
                      <w:highlight w:val="none"/>
                      <w:u w:val="single"/>
                      <w:lang w:val="en-US" w:eastAsia="zh-CN" w:bidi="ar"/>
                    </w:rPr>
                    <w:t>+</w:t>
                  </w:r>
                  <w:r>
                    <w:rPr>
                      <w:rFonts w:hint="default" w:eastAsia="宋体" w:cs="Times New Roman"/>
                      <w:i w:val="0"/>
                      <w:iCs w:val="0"/>
                      <w:color w:val="auto"/>
                      <w:kern w:val="0"/>
                      <w:sz w:val="21"/>
                      <w:szCs w:val="21"/>
                      <w:highlight w:val="none"/>
                      <w:u w:val="single"/>
                      <w:lang w:val="en-US" w:eastAsia="zh-CN" w:bidi="ar"/>
                    </w:rPr>
                    <w:t>0.0</w:t>
                  </w:r>
                  <w:r>
                    <w:rPr>
                      <w:rFonts w:hint="eastAsia" w:cs="Times New Roman"/>
                      <w:i w:val="0"/>
                      <w:iCs w:val="0"/>
                      <w:color w:val="auto"/>
                      <w:kern w:val="0"/>
                      <w:sz w:val="21"/>
                      <w:szCs w:val="21"/>
                      <w:highlight w:val="none"/>
                      <w:u w:val="single"/>
                      <w:lang w:val="en-US" w:eastAsia="zh-CN" w:bidi="ar"/>
                    </w:rPr>
                    <w:t>21</w:t>
                  </w:r>
                </w:p>
              </w:tc>
              <w:tc>
                <w:tcPr>
                  <w:tcW w:w="905" w:type="dxa"/>
                  <w:noWrap w:val="0"/>
                  <w:vAlign w:val="center"/>
                </w:tcPr>
                <w:p>
                  <w:pPr>
                    <w:keepNext w:val="0"/>
                    <w:keepLines w:val="0"/>
                    <w:widowControl/>
                    <w:suppressLineNumbers w:val="0"/>
                    <w:jc w:val="center"/>
                    <w:textAlignment w:val="center"/>
                    <w:rPr>
                      <w:rFonts w:hint="default" w:eastAsia="宋体" w:cs="Times New Roman"/>
                      <w:i w:val="0"/>
                      <w:iCs w:val="0"/>
                      <w:color w:val="auto"/>
                      <w:kern w:val="0"/>
                      <w:sz w:val="21"/>
                      <w:szCs w:val="21"/>
                      <w:highlight w:val="none"/>
                      <w:u w:val="single"/>
                      <w:lang w:val="en-US" w:eastAsia="zh-CN" w:bidi="ar"/>
                    </w:rPr>
                  </w:pPr>
                  <w:r>
                    <w:rPr>
                      <w:rFonts w:hint="eastAsia" w:eastAsia="宋体" w:cs="Times New Roman"/>
                      <w:i w:val="0"/>
                      <w:iCs w:val="0"/>
                      <w:color w:val="auto"/>
                      <w:kern w:val="0"/>
                      <w:sz w:val="21"/>
                      <w:szCs w:val="21"/>
                      <w:highlight w:val="none"/>
                      <w:u w:val="single"/>
                      <w:lang w:val="en-US" w:eastAsia="zh-CN" w:bidi="ar"/>
                    </w:rPr>
                    <w:t>+0.07</w:t>
                  </w:r>
                  <w:r>
                    <w:rPr>
                      <w:rFonts w:hint="eastAsia" w:cs="Times New Roman"/>
                      <w:i w:val="0"/>
                      <w:iCs w:val="0"/>
                      <w:color w:val="auto"/>
                      <w:kern w:val="0"/>
                      <w:sz w:val="21"/>
                      <w:szCs w:val="21"/>
                      <w:highlight w:val="none"/>
                      <w:u w:val="singl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6" w:type="dxa"/>
                  <w:gridSpan w:val="10"/>
                  <w:noWrap w:val="0"/>
                  <w:vAlign w:val="center"/>
                </w:tcPr>
                <w:p>
                  <w:pPr>
                    <w:keepNext w:val="0"/>
                    <w:keepLines w:val="0"/>
                    <w:widowControl/>
                    <w:suppressLineNumbers w:val="0"/>
                    <w:jc w:val="left"/>
                    <w:textAlignment w:val="center"/>
                    <w:rPr>
                      <w:rFonts w:hint="default"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注：以新带老消减量=215.68t/a生产废水+2112t/a生活污水=2327.68t/a</w:t>
                  </w:r>
                </w:p>
              </w:tc>
            </w:tr>
          </w:tbl>
          <w:p>
            <w:pPr>
              <w:pStyle w:val="62"/>
              <w:bidi w:val="0"/>
              <w:rPr>
                <w:rFonts w:hint="default"/>
                <w:color w:val="auto"/>
                <w:sz w:val="24"/>
                <w:szCs w:val="24"/>
                <w:highlight w:val="none"/>
                <w:u w:val="single"/>
                <w:lang w:val="en-US" w:eastAsia="zh-CN"/>
              </w:rPr>
            </w:pPr>
            <w:r>
              <w:rPr>
                <w:rFonts w:hint="eastAsia"/>
                <w:color w:val="auto"/>
                <w:sz w:val="24"/>
                <w:szCs w:val="24"/>
                <w:highlight w:val="none"/>
                <w:u w:val="single"/>
                <w:lang w:val="en-US" w:eastAsia="zh-CN"/>
              </w:rPr>
              <w:t>目前根据企业提供的排污权（附件7）可知，企业已购买COD总量指标0.2t/a，但未购买氨氮总量指标。因此本次改扩建后，需再购买COD总量0.543</w:t>
            </w:r>
            <w:r>
              <w:rPr>
                <w:rFonts w:hint="default"/>
                <w:color w:val="auto"/>
                <w:sz w:val="24"/>
                <w:szCs w:val="24"/>
                <w:highlight w:val="none"/>
                <w:u w:val="single"/>
                <w:lang w:val="en-US" w:eastAsia="zh-CN"/>
              </w:rPr>
              <w:t>t/a</w:t>
            </w:r>
            <w:r>
              <w:rPr>
                <w:rFonts w:hint="eastAsia"/>
                <w:color w:val="auto"/>
                <w:sz w:val="24"/>
                <w:szCs w:val="24"/>
                <w:highlight w:val="none"/>
                <w:u w:val="single"/>
                <w:lang w:val="en-US" w:eastAsia="zh-CN"/>
              </w:rPr>
              <w:t>（50mg/L）、</w:t>
            </w:r>
            <w:r>
              <w:rPr>
                <w:rFonts w:hint="default"/>
                <w:color w:val="auto"/>
                <w:sz w:val="24"/>
                <w:szCs w:val="24"/>
                <w:highlight w:val="none"/>
                <w:u w:val="single"/>
                <w:lang w:val="en-US" w:eastAsia="zh-CN"/>
              </w:rPr>
              <w:t>氨氮总量</w:t>
            </w:r>
            <w:r>
              <w:rPr>
                <w:rFonts w:hint="eastAsia"/>
                <w:color w:val="auto"/>
                <w:sz w:val="24"/>
                <w:szCs w:val="24"/>
                <w:highlight w:val="none"/>
                <w:u w:val="single"/>
                <w:lang w:val="en-US" w:eastAsia="zh-CN"/>
              </w:rPr>
              <w:t>0.074t/a</w:t>
            </w:r>
            <w:r>
              <w:rPr>
                <w:rFonts w:hint="default"/>
                <w:color w:val="auto"/>
                <w:sz w:val="24"/>
                <w:szCs w:val="24"/>
                <w:highlight w:val="none"/>
                <w:u w:val="single"/>
                <w:lang w:val="en-US" w:eastAsia="zh-CN"/>
              </w:rPr>
              <w:t>（5mg/L）</w:t>
            </w:r>
            <w:r>
              <w:rPr>
                <w:rFonts w:hint="eastAsia"/>
                <w:color w:val="auto"/>
                <w:sz w:val="24"/>
                <w:szCs w:val="24"/>
                <w:highlight w:val="none"/>
                <w:u w:val="single"/>
                <w:lang w:val="en-US" w:eastAsia="zh-CN"/>
              </w:rPr>
              <w:t>。建设单位应向岳阳市生态环境局总量管理部门办理相关手续</w:t>
            </w:r>
            <w:r>
              <w:rPr>
                <w:rFonts w:hint="eastAsia"/>
                <w:color w:val="auto"/>
                <w:sz w:val="24"/>
                <w:szCs w:val="24"/>
                <w:highlight w:val="none"/>
                <w:u w:val="single"/>
                <w:lang w:eastAsia="zh-CN"/>
              </w:rPr>
              <w:t>。</w:t>
            </w:r>
          </w:p>
          <w:p>
            <w:pPr>
              <w:pStyle w:val="62"/>
              <w:bidi w:val="0"/>
              <w:rPr>
                <w:rFonts w:hint="default"/>
                <w:color w:val="auto"/>
                <w:sz w:val="24"/>
                <w:szCs w:val="24"/>
                <w:highlight w:val="none"/>
                <w:u w:val="single"/>
                <w:lang w:val="en-US" w:eastAsia="zh-CN"/>
              </w:rPr>
            </w:pPr>
            <w:r>
              <w:rPr>
                <w:rFonts w:hint="default"/>
                <w:color w:val="auto"/>
                <w:sz w:val="24"/>
                <w:szCs w:val="24"/>
                <w:highlight w:val="none"/>
                <w:u w:val="single"/>
                <w:lang w:val="en-US" w:eastAsia="zh-CN"/>
              </w:rPr>
              <w:t>（2）大气污染物总量控制</w:t>
            </w:r>
          </w:p>
          <w:p>
            <w:pPr>
              <w:pStyle w:val="62"/>
              <w:bidi w:val="0"/>
              <w:rPr>
                <w:rFonts w:hint="default"/>
                <w:color w:val="auto"/>
                <w:sz w:val="24"/>
                <w:szCs w:val="24"/>
                <w:highlight w:val="none"/>
                <w:u w:val="single"/>
                <w:lang w:val="en-US" w:eastAsia="zh-CN"/>
              </w:rPr>
            </w:pPr>
            <w:r>
              <w:rPr>
                <w:rFonts w:hint="eastAsia"/>
                <w:color w:val="auto"/>
                <w:sz w:val="24"/>
                <w:szCs w:val="24"/>
                <w:highlight w:val="none"/>
                <w:u w:val="single"/>
                <w:lang w:val="en-US" w:eastAsia="zh-CN"/>
              </w:rPr>
              <w:t>根据本次工程的污染特点和地方生态环境主管部门的要求，本项目污染物排放总量控制因子为</w:t>
            </w:r>
            <w:r>
              <w:rPr>
                <w:rFonts w:hint="eastAsia"/>
                <w:color w:val="auto"/>
                <w:sz w:val="24"/>
                <w:szCs w:val="24"/>
                <w:highlight w:val="none"/>
                <w:u w:val="single"/>
                <w:lang w:eastAsia="zh-CN"/>
              </w:rPr>
              <w:t>非甲烷总烃，以</w:t>
            </w:r>
            <w:r>
              <w:rPr>
                <w:rFonts w:hint="eastAsia"/>
                <w:color w:val="auto"/>
                <w:sz w:val="24"/>
                <w:szCs w:val="24"/>
                <w:highlight w:val="none"/>
                <w:u w:val="single"/>
                <w:lang w:val="en-US" w:eastAsia="zh-CN"/>
              </w:rPr>
              <w:t>VOCs表征。</w:t>
            </w:r>
          </w:p>
          <w:p>
            <w:pPr>
              <w:pStyle w:val="62"/>
              <w:bidi w:val="0"/>
              <w:rPr>
                <w:rFonts w:hint="eastAsia"/>
                <w:color w:val="auto"/>
                <w:sz w:val="24"/>
                <w:szCs w:val="24"/>
                <w:highlight w:val="none"/>
                <w:u w:val="single"/>
                <w:lang w:val="en-US" w:eastAsia="zh-CN"/>
              </w:rPr>
            </w:pPr>
            <w:r>
              <w:rPr>
                <w:rFonts w:hint="eastAsia"/>
                <w:color w:val="auto"/>
                <w:sz w:val="24"/>
                <w:szCs w:val="24"/>
                <w:highlight w:val="none"/>
                <w:u w:val="single"/>
                <w:lang w:val="en-US" w:eastAsia="zh-CN"/>
              </w:rPr>
              <w:t>VOCs排放总量为2.04t/a。</w:t>
            </w:r>
          </w:p>
          <w:p>
            <w:pPr>
              <w:pStyle w:val="62"/>
              <w:bidi w:val="0"/>
              <w:rPr>
                <w:rFonts w:hint="eastAsia"/>
                <w:color w:val="auto"/>
                <w:sz w:val="24"/>
                <w:szCs w:val="24"/>
                <w:highlight w:val="none"/>
                <w:u w:val="single"/>
                <w:lang w:eastAsia="zh-CN"/>
              </w:rPr>
            </w:pPr>
            <w:r>
              <w:rPr>
                <w:rFonts w:hint="eastAsia"/>
                <w:color w:val="auto"/>
                <w:sz w:val="24"/>
                <w:szCs w:val="24"/>
                <w:highlight w:val="none"/>
                <w:u w:val="single"/>
                <w:lang w:val="en-US" w:eastAsia="zh-CN"/>
              </w:rPr>
              <w:t>建设单位应向岳阳市生态环境局总量管理部门办理相关手续</w:t>
            </w:r>
            <w:r>
              <w:rPr>
                <w:rFonts w:hint="eastAsia"/>
                <w:color w:val="auto"/>
                <w:sz w:val="24"/>
                <w:szCs w:val="24"/>
                <w:highlight w:val="none"/>
                <w:u w:val="single"/>
                <w:lang w:eastAsia="zh-CN"/>
              </w:rPr>
              <w:t>。</w:t>
            </w:r>
          </w:p>
          <w:p>
            <w:pPr>
              <w:pStyle w:val="62"/>
              <w:bidi w:val="0"/>
              <w:rPr>
                <w:rFonts w:hint="eastAsia"/>
                <w:color w:val="auto"/>
                <w:sz w:val="24"/>
                <w:szCs w:val="24"/>
                <w:highlight w:val="none"/>
                <w:u w:val="none"/>
                <w:lang w:eastAsia="zh-CN"/>
              </w:rPr>
            </w:pPr>
          </w:p>
          <w:p>
            <w:pPr>
              <w:pStyle w:val="62"/>
              <w:bidi w:val="0"/>
              <w:rPr>
                <w:rFonts w:hint="eastAsia"/>
                <w:color w:val="auto"/>
                <w:sz w:val="24"/>
                <w:szCs w:val="24"/>
                <w:highlight w:val="none"/>
                <w:u w:val="none"/>
                <w:lang w:eastAsia="zh-CN"/>
              </w:rPr>
            </w:pPr>
          </w:p>
          <w:p>
            <w:pPr>
              <w:pStyle w:val="62"/>
              <w:bidi w:val="0"/>
              <w:rPr>
                <w:rFonts w:hint="default" w:ascii="Times New Roman" w:hAnsi="Times New Roman" w:cs="Times New Roman"/>
                <w:color w:val="auto"/>
                <w:kern w:val="0"/>
                <w:szCs w:val="21"/>
                <w:highlight w:val="none"/>
                <w:u w:val="none"/>
              </w:rPr>
            </w:pPr>
          </w:p>
        </w:tc>
      </w:tr>
    </w:tbl>
    <w:p>
      <w:pPr>
        <w:pStyle w:val="61"/>
        <w:bidi w:val="0"/>
        <w:outlineLvl w:val="9"/>
        <w:rPr>
          <w:rFonts w:hint="eastAsia"/>
          <w:color w:val="auto"/>
          <w:highlight w:val="none"/>
          <w:u w:val="none"/>
          <w:lang w:val="en-US" w:eastAsia="zh-CN"/>
        </w:rPr>
        <w:sectPr>
          <w:pgSz w:w="11906" w:h="16838"/>
          <w:pgMar w:top="1440" w:right="1080" w:bottom="1440" w:left="1080" w:header="851" w:footer="992" w:gutter="0"/>
          <w:pgNumType w:fmt="decimal"/>
          <w:cols w:space="425" w:num="1"/>
          <w:docGrid w:type="lines" w:linePitch="312" w:charSpace="0"/>
        </w:sectPr>
      </w:pPr>
    </w:p>
    <w:p>
      <w:pPr>
        <w:pStyle w:val="61"/>
        <w:bidi w:val="0"/>
        <w:rPr>
          <w:rFonts w:hint="eastAsia"/>
          <w:color w:val="auto"/>
          <w:highlight w:val="none"/>
          <w:u w:val="none"/>
          <w:lang w:val="en-US" w:eastAsia="zh-CN"/>
        </w:rPr>
      </w:pPr>
      <w:bookmarkStart w:id="65" w:name="_Toc10253"/>
      <w:bookmarkStart w:id="66" w:name="_Toc826"/>
      <w:r>
        <w:rPr>
          <w:rFonts w:hint="default" w:ascii="Times New Roman" w:hAnsi="Times New Roman" w:eastAsia="黑体" w:cs="Times New Roman"/>
          <w:snapToGrid w:val="0"/>
          <w:color w:val="auto"/>
          <w:sz w:val="30"/>
          <w:szCs w:val="30"/>
          <w:highlight w:val="none"/>
          <w:u w:val="none"/>
        </w:rPr>
        <w:t>四、主要环境影响和保护措施</w:t>
      </w:r>
      <w:bookmarkEnd w:id="65"/>
      <w:bookmarkEnd w:id="66"/>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施工</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期环</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境保</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护措</w:t>
            </w:r>
          </w:p>
          <w:p>
            <w:pPr>
              <w:adjustRightInd w:val="0"/>
              <w:snapToGrid w:val="0"/>
              <w:jc w:val="center"/>
              <w:rPr>
                <w:rFonts w:hint="default" w:ascii="Times New Roman" w:hAnsi="Times New Roman" w:cs="Times New Roman"/>
                <w:b/>
                <w:bCs/>
                <w:color w:val="auto"/>
                <w:kern w:val="0"/>
                <w:sz w:val="24"/>
                <w:szCs w:val="24"/>
                <w:highlight w:val="none"/>
                <w:u w:val="none"/>
              </w:rPr>
            </w:pPr>
            <w:r>
              <w:rPr>
                <w:rFonts w:hint="default" w:ascii="Times New Roman" w:hAnsi="Times New Roman" w:cs="Times New Roman"/>
                <w:b/>
                <w:bCs/>
                <w:color w:val="auto"/>
                <w:kern w:val="0"/>
                <w:sz w:val="24"/>
                <w:szCs w:val="24"/>
                <w:highlight w:val="none"/>
                <w:u w:val="none"/>
              </w:rPr>
              <w:t>施</w:t>
            </w:r>
          </w:p>
        </w:tc>
        <w:tc>
          <w:tcPr>
            <w:tcW w:w="8162" w:type="dxa"/>
            <w:noWrap w:val="0"/>
            <w:vAlign w:val="center"/>
          </w:tcPr>
          <w:p>
            <w:pPr>
              <w:pStyle w:val="66"/>
              <w:pageBreakBefore w:val="0"/>
              <w:kinsoku/>
              <w:wordWrap/>
              <w:overflowPunct/>
              <w:topLinePunct w:val="0"/>
              <w:autoSpaceDE/>
              <w:autoSpaceDN/>
              <w:bidi w:val="0"/>
              <w:spacing w:before="0" w:beforeLines="0" w:after="0" w:afterLines="0" w:line="360" w:lineRule="auto"/>
              <w:ind w:right="0" w:firstLine="482" w:firstLineChars="200"/>
              <w:textAlignment w:val="auto"/>
              <w:rPr>
                <w:rFonts w:hint="default"/>
                <w:b/>
                <w:bCs/>
                <w:color w:val="auto"/>
                <w:sz w:val="24"/>
                <w:szCs w:val="24"/>
                <w:u w:val="none" w:color="auto"/>
                <w:lang w:val="en-US" w:eastAsia="zh-CN"/>
              </w:rPr>
            </w:pPr>
            <w:r>
              <w:rPr>
                <w:rFonts w:hint="eastAsia"/>
                <w:b/>
                <w:bCs/>
                <w:color w:val="auto"/>
                <w:sz w:val="24"/>
                <w:szCs w:val="24"/>
                <w:u w:val="none" w:color="auto"/>
                <w:lang w:val="en-US" w:eastAsia="zh-CN"/>
              </w:rPr>
              <w:t>4.1施工期环境保护措施</w:t>
            </w:r>
          </w:p>
          <w:p>
            <w:pPr>
              <w:autoSpaceDE w:val="0"/>
              <w:autoSpaceDN w:val="0"/>
              <w:adjustRightInd w:val="0"/>
              <w:spacing w:beforeLines="0" w:afterLines="0" w:line="360" w:lineRule="auto"/>
              <w:ind w:firstLine="482" w:firstLineChars="200"/>
              <w:rPr>
                <w:rFonts w:hint="eastAsia"/>
                <w:b/>
                <w:bCs/>
                <w:color w:val="auto"/>
                <w:sz w:val="24"/>
                <w:szCs w:val="24"/>
                <w:u w:val="none" w:color="auto"/>
              </w:rPr>
            </w:pPr>
            <w:r>
              <w:rPr>
                <w:rFonts w:hint="eastAsia"/>
                <w:b/>
                <w:bCs/>
                <w:color w:val="auto"/>
                <w:sz w:val="24"/>
                <w:szCs w:val="24"/>
                <w:u w:val="none" w:color="auto"/>
                <w:lang w:val="en-US" w:eastAsia="zh-CN"/>
              </w:rPr>
              <w:t>4.1.1</w:t>
            </w:r>
            <w:r>
              <w:rPr>
                <w:rFonts w:hint="eastAsia"/>
                <w:b/>
                <w:bCs/>
                <w:color w:val="auto"/>
                <w:sz w:val="24"/>
                <w:szCs w:val="24"/>
                <w:u w:val="none" w:color="auto"/>
              </w:rPr>
              <w:t>施工期大气环境保护措施</w:t>
            </w:r>
          </w:p>
          <w:p>
            <w:pPr>
              <w:autoSpaceDE w:val="0"/>
              <w:autoSpaceDN w:val="0"/>
              <w:adjustRightInd w:val="0"/>
              <w:spacing w:beforeLines="0" w:afterLines="0" w:line="360" w:lineRule="auto"/>
              <w:ind w:firstLine="480" w:firstLineChars="200"/>
              <w:rPr>
                <w:rFonts w:hint="eastAsia"/>
                <w:color w:val="auto"/>
                <w:sz w:val="24"/>
                <w:szCs w:val="24"/>
                <w:u w:val="none" w:color="auto"/>
              </w:rPr>
            </w:pPr>
            <w:r>
              <w:rPr>
                <w:rFonts w:hint="eastAsia"/>
                <w:color w:val="auto"/>
                <w:sz w:val="24"/>
                <w:szCs w:val="24"/>
                <w:u w:val="none" w:color="auto"/>
              </w:rPr>
              <w:t>1、施工扬尘</w:t>
            </w:r>
          </w:p>
          <w:p>
            <w:pPr>
              <w:autoSpaceDE w:val="0"/>
              <w:autoSpaceDN w:val="0"/>
              <w:adjustRightInd w:val="0"/>
              <w:spacing w:beforeLines="0" w:afterLines="0" w:line="360" w:lineRule="auto"/>
              <w:ind w:firstLine="480" w:firstLineChars="200"/>
              <w:rPr>
                <w:rFonts w:hint="eastAsia"/>
                <w:color w:val="auto"/>
                <w:sz w:val="24"/>
                <w:szCs w:val="24"/>
                <w:u w:val="none" w:color="auto"/>
              </w:rPr>
            </w:pPr>
            <w:r>
              <w:rPr>
                <w:rFonts w:hint="eastAsia"/>
                <w:color w:val="auto"/>
                <w:sz w:val="24"/>
                <w:szCs w:val="24"/>
                <w:u w:val="none" w:color="auto"/>
              </w:rPr>
              <w:t>（1）施工期防治扬尘污染环境管理及相关责任</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①为保证施工期防治扬尘环境管理任务的顺利实施，项目的法定负责人，又是控制环境污染，保护环境的法律责任者，项目应该设立专门的环保机构和专职负责人，负责项目的施工期防治扬尘环境管理。</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建设单位必须确定防治扬尘污染现场监督员，专门负责施工期环境管理与监督，监督施工单位落实各项扬尘污染防治措施，重点是地基处理和建筑物建设过程中防治施工扬尘环境管理，并明确各部门专门分共负责。</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②施工单位须遵守《中华人民共和国环境影响评价法》和《建设项目环境保护管理条例》的相关规定，向当地环境保护行政主管部门提供施工扬尘防治实施方案，签订《建筑施工防治扬尘污染责任书》。建设单位应将建筑施工扬尘治理列入工程合同，并督促施工单位组织编制施工场地扬尘防治方案，</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向建设主管部门备案，严格落实施工扬尘污染防治“6个100%”抑尘措施：即施工工地周边围挡、物料堆放和裸露土地覆盖、土方开挖湿法作业、路面硬化、出入车辆冲洗、渣土车辆密闭运输。</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③工程建设单位应按照《防治城市扬尘污染技术规范》条款制定施工扬尘污染防治方案，根据施工工序编制施工期内扬尘污染防治任务书，实施扬尘防治全过程管理，责任到每个施工工序。</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④各施工队伍（承包商）应配备一名环保员负责逸散性材料、垃圾、渣土、裸地等密闭、覆盖、洒水作业以及车辆清洗作业等，根据承包工程的环境问题提出环保实施计划，并根据审批的计划进行实施、监督、管理，并记录扬尘控制措施的实施情况，对发生的它污染事故应组织处理，并及时向建设单位和地方环保部门报告。</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⑤根据《关于进一步加强建设工地扬尘污染防治工作的通知（岳建质安监发〔2018〕18号）》，施工单位必须在施工现场每个出入口安装扬尘在线监测和远程视频监控设备，监测和视频监控设备必须能够与主管部门联网，并能清晰监控车辆出场冲洗情况及运输车辆车牌号码。</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（2）项目施工期扬尘污染防治范围和管理</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①施工单位扬尘污染控制区（保洁责任区）的范围</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应根据施工扬尘影响情况确定，一般设在施工工地周围20m范围内。</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②设置施工环境保护标志牌，落实施工扬尘控制管理人员</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施工单位应根据《建筑施工防治扬尘污染责任书》的规定规格和内容设置项目施工环境保护标志牌，内容包括：建设单位、施工单位、工期、防治扬尘污染现场管理人员名单、监督电话牌及有关防尘措施等。</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本项目根据施工工期、阶段和进度，整个施工期必须设专职保洁员2人。主要职责：车辆进出场冲洗、项目施工场地洒水降尘、场内裸露堆场覆盖、场内裸露地面覆盖、道路冲洗清扫及日常扬尘控制管理。</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③围挡、围栏及防溢座的设置</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施工期间，土建工地边界临敏感区应设置高度1.8m以上的围挡，围挡底端应设置防溢座，围挡之间以及围挡与防溢座之间无缝隙。</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④施工场地防尘措施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在施工期间，施工场地应根据不同空气污染指数范围和大风、高温、干燥、晴天、雨天等各种不同气象条件要求，明确防尘措施及管理责任制度。</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A.施工场地洒水</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场地内施工区采用人力洒水车或雾炮车洒水，辅以洒水抑尘，尽量缩短起尘操作时间。在施工期间，应根据不同空气污染指数范围和大风、高温、干燥、晴天、雨天等各种不同气象条件要求，明确保洁制度，包括洒水、清扫方式、频率等。当空气质量轻微污染（污染指数大于100）或4级以上大风干燥天气不许建筑拆除、土方作业和人工干扫；当空气质量预报中毒污染天气或5级以上大风时，严禁进行可能产生扬尘污染的施工，并做好施工场地的覆盖工作；在空气质量良好（污染指数80~100）时，应每隔4小时保洁一次，洒水与清扫交替使用。当空气质量轻微污染（污染指数大于100）应加密保洁。当空气质量优良（污染指数低于50）时，可以在保持清洁的前提下适度降低保洁强度。</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B.项目渣土堆、裸地防尘措施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项目建设产生的建筑垃圾、工程渣土应及时清运，48小时内不能完成清运的，必须设置临时堆放场，合理选择堆场位置，须位于场界周边住宅区等主要环境敏感保护目标的下风向，并应有100m以上的防护距离，采取围挡、覆盖等防尘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暴露时间在3个月以内的渣土堆、开挖及平整后裸地应使用定期喷水压尘或定期喷涂凝固剂和使用防尘布或铺设礁渣、细石或其他功能相当的材料覆盖等方式防尘。晴朗天气时使用定期喷水压尘，视情况每天洒水二至六次，扬尘严重时应加大洒水。</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施工工地闲置3个月以上的，应采用植草等方式，对裸露泥地进行临时绿化；对因施工而破坏的场地外植被，应先行办理临时占绿审批手续，采取覆盖等措施，并在施工结束后及时恢复。</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C.地面及临时道路硬化</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根据现场调查，施工工地作业地面和连接进出道路和场地内渣土运输道路已进行硬化处理。</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施工场内车行道路采用钢板、混凝土、礁渣或细石等进行路面硬化，宽度3～5m，并辅以洒水、喷洒抑尘剂等措施加强保洁清扫，出场道路两侧进行临进绿化，道路两侧不得有裸露的地面。</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每台运输车辆出场前均需清洗，不得将泥土带出施工场外。洗车作业地面及进出口路段须硬化，宽度应大于5m，并铺设加湿的麻袋、毛毡或毛纺布毡等。根据施工扬尘影响情况划定施工单位工地周围保洁责任区范围。</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D.建筑材料的防尘管理措施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施工过程中使用水泥、石灰、砂石、涂料、铺装材料等易产生扬尘的建筑材料，需合理布置临时料场位置，须位于住宅区等主要环境敏感保护目标的下风向，应有100米以上的防护距离；并应采取下列措施之一：</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a）密闭方式存储及运输；</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b）设置围挡或堆砌围墙；</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c）采用防尘布苫盖；</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d）其他有效的防尘措施。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切割、粉碎、干料搅拌须进行搭棚防尘隔声处理。</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期间，运输渣土、泥浆、建筑垃圾及砂石等散体建筑材料，应采用密闭运输车辆或采取篷覆式遮盖等措施，严禁发生抛、洒、滴、漏现象。工地内从建筑上层将具有粉尘逸散性的物料、渣土或废弃物输送至地面或地下楼层时，可从电梯孔道、建筑内部管道或密闭输送管道输送，或者打包装框搬运，不得凌空抛撒。</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E.建筑物设置防尘布（网）防尘措施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根据现场调查，砖混结构建筑物工程脚手架外侧均使用密闭安全网进行封闭，设置有效抑尘的密目防尘网（不低于2000目/100厘米）。建筑物四周15m外全部设置防尘布网，防尘布网顶端应高于施工作业面2m以上；裸露的施工场地闲置时间在3个月以内的，应采取防尘布网覆盖，并加强管理，确保覆盖到位；限定物料堆放场地；施工现场易飞扬的细颗粒散体材料应密闭存放；易产生扬尘的砂石等散体材料，应设置高度不低于0.5m的堆放池，位于工地主导风下风向，并采取覆盖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2、机械废气</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施工期各类燃油动力机械进行场地清理平整、挖、填土石方、运输、建筑结构等施工作业时，排出的各类废气，其主要污染物为SO</w:t>
            </w:r>
            <w:r>
              <w:rPr>
                <w:rFonts w:hint="eastAsia"/>
                <w:color w:val="auto"/>
                <w:sz w:val="24"/>
                <w:u w:val="none" w:color="auto"/>
                <w:vertAlign w:val="subscript"/>
              </w:rPr>
              <w:t>2</w:t>
            </w:r>
            <w:r>
              <w:rPr>
                <w:rFonts w:hint="eastAsia"/>
                <w:color w:val="auto"/>
                <w:sz w:val="24"/>
                <w:u w:val="none" w:color="auto"/>
              </w:rPr>
              <w:t>、NOx、CO。</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由于施工机械为间断作业，因此所排废气污染物仅对施工点的空气质量产生间断的较小的不利影响，施工机械使用无铅汽油、0#柴油等优质燃料、杜绝冒黑烟现象，同时应对施工机械加强管理，对施工机械定期检查维护，严禁施工机械的超负荷运行。</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在上述措施采取后，项目在施工期产生的扬尘和施工废气对外环境影响较小。施工扬尘及燃油废气将随着施工结束后影响逐渐消除。</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3、装修过程废气</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选择装修材料和涂料的时候应选用对环境污染小、有益于人体健康的建筑材料产品，室内装修材料应采用符合国家现行有关标准规定的环保型装修材料，应防止装修材料中有毒、有害气体的挥发导致室内空气污染，危害人体健康。建设单位只要采用符合标准的建筑材料，保证建材、有机溶剂和辅助添加剂无毒无害，做到健康设计原则，装修完成后应保持室内通风一段时间，室内空气质量必须控制在《室内空气质量标准》（GB/T18883-2002）中相应标准内再进行交房使用，采取上述措施后项目装修废气基本不会对环境产生较大的影响。</w:t>
            </w:r>
          </w:p>
          <w:p>
            <w:pPr>
              <w:autoSpaceDE w:val="0"/>
              <w:autoSpaceDN w:val="0"/>
              <w:adjustRightInd w:val="0"/>
              <w:spacing w:line="360" w:lineRule="auto"/>
              <w:ind w:firstLine="482" w:firstLineChars="200"/>
              <w:rPr>
                <w:rFonts w:hint="eastAsia"/>
                <w:b/>
                <w:bCs/>
                <w:color w:val="auto"/>
                <w:sz w:val="24"/>
                <w:u w:val="none" w:color="auto"/>
              </w:rPr>
            </w:pPr>
            <w:r>
              <w:rPr>
                <w:rFonts w:hint="eastAsia"/>
                <w:b/>
                <w:bCs/>
                <w:color w:val="auto"/>
                <w:sz w:val="24"/>
                <w:u w:val="none" w:color="auto"/>
                <w:lang w:val="en-US" w:eastAsia="zh-CN"/>
              </w:rPr>
              <w:t>4.1.2</w:t>
            </w:r>
            <w:r>
              <w:rPr>
                <w:rFonts w:hint="eastAsia"/>
                <w:b/>
                <w:bCs/>
                <w:color w:val="auto"/>
                <w:sz w:val="24"/>
                <w:u w:val="none" w:color="auto"/>
              </w:rPr>
              <w:t>施工期水环境保护措施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施工期废水主要有施工作业废水和生活污水，施工单位已采取下列减缓措施，以使施工活动对水环境的影响减少到最小限度。</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1、施工废水处理采用重力沉淀处理工艺，设隔油沉淀池1座。隔油沉淀池尺寸为：5×4×1m，污水沉淀时间应大于2小时，在施工围墙（档）内四周应设置排水沟。在对冲洗废水进行沉淀处理后的废水循环使用。</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施工现场设置排水系统，围档内四周设置排水沟，洗车平台四周设置防溢座和污水倒流渠，将所有施工污水引至沉淀池，沉淀处理后的废水循环使用</w:t>
            </w:r>
            <w:r>
              <w:rPr>
                <w:rFonts w:hint="eastAsia"/>
                <w:color w:val="auto"/>
                <w:sz w:val="24"/>
                <w:u w:val="none" w:color="auto"/>
                <w:lang w:eastAsia="zh-CN"/>
              </w:rPr>
              <w:t>，</w:t>
            </w:r>
            <w:r>
              <w:rPr>
                <w:rFonts w:hint="eastAsia"/>
                <w:color w:val="auto"/>
                <w:sz w:val="24"/>
                <w:u w:val="none" w:color="auto"/>
              </w:rPr>
              <w:t>防止施工污水溢出工地，禁止将施工污水不经处理直接排入河道或市政管网。</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2、施工期生活污水：建议施工单位使用附近已有设施。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3、施工中采取临时防护措施，如在场地设置临时排水沟、泥浆沉淀设施，用草席、砂袋、挡土墙等对开挖坡面进行护坡，以稳定边坡，减少水土流失，控制施工期间污泥水悬浮物的浓度。</w:t>
            </w:r>
          </w:p>
          <w:p>
            <w:pPr>
              <w:autoSpaceDE w:val="0"/>
              <w:autoSpaceDN w:val="0"/>
              <w:adjustRightInd w:val="0"/>
              <w:spacing w:line="360" w:lineRule="auto"/>
              <w:ind w:firstLine="482" w:firstLineChars="200"/>
              <w:rPr>
                <w:rFonts w:hint="eastAsia"/>
                <w:b/>
                <w:bCs/>
                <w:color w:val="auto"/>
                <w:sz w:val="24"/>
                <w:u w:val="none" w:color="auto"/>
              </w:rPr>
            </w:pPr>
            <w:r>
              <w:rPr>
                <w:rFonts w:hint="eastAsia"/>
                <w:b/>
                <w:bCs/>
                <w:color w:val="auto"/>
                <w:sz w:val="24"/>
                <w:u w:val="none" w:color="auto"/>
                <w:lang w:val="en-US" w:eastAsia="zh-CN"/>
              </w:rPr>
              <w:t>4</w:t>
            </w:r>
            <w:r>
              <w:rPr>
                <w:rFonts w:hint="eastAsia"/>
                <w:b/>
                <w:bCs/>
                <w:color w:val="auto"/>
                <w:sz w:val="24"/>
                <w:u w:val="none" w:color="auto"/>
              </w:rPr>
              <w:t>.1.3施工期噪声保护措施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本项目在工程施工期间建筑施工噪声对周围声环境质量有一定影响，施工期产生噪声干扰无法完全避免，但还是可以采取一定的环保措施使施工噪声对周围环境的影响降低到一定程度。</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建筑施工由于各阶段使用的机械设备组合情况不同，所以噪声辐射影响的程度也不尽相同。在主体施工阶段，噪声特点是持续时间长，强度高。相比之下，装饰期间的噪声相对较弱，主要是一些噪声较强的木工机械作业噪声。由于建筑施工是露天作业，流动性和间歇性较强，对各生产环节中的噪声治理具有一定难度，结合施工特点对一些重点噪声设备和声源，提出一些治理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（1）选用低噪声设备及施工工艺</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采用低噪声施工机械设备和先进的施工技术是控制施工期噪声有效手段之一。施工机械进场应得到环保或有关部门的批准，对落后的施工设备进行淘汰。</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（2）采用局部吸声、隔声降噪技术</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对各施工环节中噪声较为突出且又难以对声源进行降噪可能的设备装置，应采取临时隔声屏障措施，隔声屏障最好敷以吸声材料，以此达到降噪效果。据相关研究资料表明，在电锯、振捣棒等强噪声设备周围设临时隔声屏障（木板或珍珠岩板等），可降噪15dB（A）。</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除此之外，施工期还应该注意以下几点：</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①合理安排施工时间：禁止夜间（晚二十二点到早晨六点之间）进行产生环境噪声污染的建筑施工作业。建筑施工单位生产工艺上要求或者特殊需要必须进行夜间连续作业的，应事先征得周边居民同意，并向环保主管部门进行申报；</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②合理布置噪声源设备：在不影响施工情况下将噪声设置尽量不集中安排，为保障居民区有一个良好的生活环境，强噪声设备至敏感点距离至少在50m以外，同时固定的机械设备尽量入棚操作。</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③在施工过程中，采用商品混凝士和成品窗；大型建筑构件，应在施工现场外预制，然后运到施工现场再行安装。</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④降低人为噪声：按规定操作机械设备，模板、支架装卸过程中，尽量减少碰撞声音。</w:t>
            </w:r>
          </w:p>
          <w:p>
            <w:pPr>
              <w:autoSpaceDE w:val="0"/>
              <w:autoSpaceDN w:val="0"/>
              <w:adjustRightInd w:val="0"/>
              <w:spacing w:line="360" w:lineRule="auto"/>
              <w:ind w:firstLine="480" w:firstLineChars="200"/>
              <w:rPr>
                <w:rFonts w:hint="eastAsia" w:eastAsia="宋体"/>
                <w:color w:val="auto"/>
                <w:sz w:val="24"/>
                <w:u w:val="none" w:color="auto"/>
                <w:lang w:val="en-US" w:eastAsia="zh-CN"/>
              </w:rPr>
            </w:pPr>
            <w:r>
              <w:rPr>
                <w:rFonts w:hint="eastAsia"/>
                <w:color w:val="auto"/>
                <w:sz w:val="24"/>
                <w:u w:val="none" w:color="auto"/>
              </w:rPr>
              <w:t>（3）严格执行施工申报制度</w:t>
            </w:r>
            <w:r>
              <w:rPr>
                <w:rFonts w:hint="eastAsia"/>
                <w:color w:val="auto"/>
                <w:sz w:val="24"/>
                <w:u w:val="none" w:color="auto"/>
                <w:lang w:eastAsia="zh-CN"/>
              </w:rPr>
              <w:t>。</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4）对于确需夜间施工的施工活动，施工单位必须事前报经城管部门批准，一同时执行建筑施工噪声申报登记制度，在工程开工15日前填写《建筑施工场地噪声管理审批表》，向当地环境保护主管部门申报。并于施工前两天公告附近</w:t>
            </w:r>
            <w:r>
              <w:rPr>
                <w:rFonts w:hint="eastAsia"/>
                <w:color w:val="auto"/>
                <w:sz w:val="24"/>
                <w:u w:val="none" w:color="auto"/>
                <w:lang w:eastAsia="zh-CN"/>
              </w:rPr>
              <w:t>居</w:t>
            </w:r>
            <w:r>
              <w:rPr>
                <w:rFonts w:hint="eastAsia"/>
                <w:color w:val="auto"/>
                <w:sz w:val="24"/>
                <w:u w:val="none" w:color="auto"/>
              </w:rPr>
              <w:t>民。如有发出高分贝噪声的施工内容或必须进行夜间施工时，施工单位在施工前，应当主动地将发出高分贝噪声的施工及夜间施工的时间、内容、降噪措施以及应急情况处置等情况以“告示”形式张贴在施工现场周围，接受社会的监督。</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①控制或禁止运输车辆进出施工现场时鸣喇叭，减少交通噪声。</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②制定施工噪声控制备用应急方案，重视噪声源头的治理工作。当常规噪声控制措施不能满足要求，出现噪声扰民情况，应及时对产生噪声的设备和施工工艺停止施工，并检测噪声防治措施的可靠性。</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③合理安排施工场地内部的布局，使得噪声较大的施工工程（如钢筋工程）远离周边敏感点。本项目钢筋工程可布置于中部，减小对周边敏感点的噪声影响。</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就随之结束。</w:t>
            </w:r>
          </w:p>
          <w:p>
            <w:pPr>
              <w:autoSpaceDE w:val="0"/>
              <w:autoSpaceDN w:val="0"/>
              <w:adjustRightInd w:val="0"/>
              <w:spacing w:line="360" w:lineRule="auto"/>
              <w:ind w:firstLine="482" w:firstLineChars="200"/>
              <w:rPr>
                <w:rFonts w:hint="eastAsia"/>
                <w:b/>
                <w:bCs/>
                <w:color w:val="auto"/>
                <w:sz w:val="24"/>
                <w:u w:val="none" w:color="auto"/>
              </w:rPr>
            </w:pPr>
            <w:r>
              <w:rPr>
                <w:rFonts w:hint="eastAsia"/>
                <w:b/>
                <w:bCs/>
                <w:color w:val="auto"/>
                <w:sz w:val="24"/>
                <w:u w:val="none" w:color="auto"/>
                <w:lang w:val="en-US" w:eastAsia="zh-CN"/>
              </w:rPr>
              <w:t>4</w:t>
            </w:r>
            <w:r>
              <w:rPr>
                <w:rFonts w:hint="eastAsia"/>
                <w:b/>
                <w:bCs/>
                <w:color w:val="auto"/>
                <w:sz w:val="24"/>
                <w:u w:val="none" w:color="auto"/>
              </w:rPr>
              <w:t>.1.4施工固体废物保护措施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建筑垃圾包括砂石、石块、碎砖瓦、废木料、废金属、废钢筋等杂物，在长期堆存过程中，某些废物会因表面干燥风化而引起扬尘，造成危害，污染周围环境空气。为了控制建筑废物对环境的污染，减少堆放和运输过程中对环境的影响，建设单位需采取如下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①施工单位应当及时处置建筑施工过程中产生的垃圾，并采取有效措施，防止污染环境。</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②应及时清运，车辆运输散体材料和废物时，必须密闭、包扎、覆盖，不得沿途漏撒；运载建筑垃圾的车辆必须在规定的时间内，按指定路段行驶，不经过住宅区，以免污染。</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③收集、贮存、运输、处置固体废物的单位和个人，必须采取防扬散、防流失、防渗漏或者其它防止污染环境的措施。</w:t>
            </w:r>
          </w:p>
          <w:p>
            <w:pPr>
              <w:autoSpaceDE w:val="0"/>
              <w:autoSpaceDN w:val="0"/>
              <w:adjustRightInd w:val="0"/>
              <w:spacing w:line="360" w:lineRule="auto"/>
              <w:ind w:firstLine="480" w:firstLineChars="200"/>
              <w:rPr>
                <w:rFonts w:hint="eastAsia"/>
                <w:color w:val="auto"/>
                <w:sz w:val="24"/>
                <w:u w:val="none" w:color="auto"/>
              </w:rPr>
            </w:pPr>
            <w:r>
              <w:rPr>
                <w:rFonts w:hint="eastAsia"/>
                <w:color w:val="auto"/>
                <w:sz w:val="24"/>
                <w:u w:val="none" w:color="auto"/>
              </w:rPr>
              <w:t>④项目建筑垃圾由</w:t>
            </w:r>
            <w:r>
              <w:rPr>
                <w:rFonts w:hint="eastAsia"/>
                <w:color w:val="auto"/>
                <w:sz w:val="24"/>
                <w:u w:val="none" w:color="auto"/>
                <w:lang w:eastAsia="zh-CN"/>
              </w:rPr>
              <w:t>平江县</w:t>
            </w:r>
            <w:r>
              <w:rPr>
                <w:rFonts w:hint="eastAsia"/>
                <w:color w:val="auto"/>
                <w:sz w:val="24"/>
                <w:u w:val="none" w:color="auto"/>
              </w:rPr>
              <w:t>渣土办统一调度处理，按照规定的数量、运输线路、时间、倾倒地点进行处置。不得超载运输，不得车轮带泥，不得遗撒、泄露。通过当地渣土办、建设单位及工程施工单位加强管理，本项目所有的施工废料和建筑垃圾可全部综合利用，使固体废物全部无害化处置，可最大限度减少建筑垃圾随意倾倒所产生的不良影响。</w:t>
            </w:r>
          </w:p>
          <w:p>
            <w:pPr>
              <w:pStyle w:val="62"/>
              <w:bidi w:val="0"/>
              <w:rPr>
                <w:rFonts w:hint="default" w:ascii="Times New Roman" w:hAnsi="Times New Roman" w:cs="Times New Roman"/>
                <w:color w:val="auto"/>
                <w:highlight w:val="none"/>
                <w:u w:val="none"/>
              </w:rPr>
            </w:pPr>
            <w:r>
              <w:rPr>
                <w:rFonts w:hint="eastAsia"/>
                <w:color w:val="auto"/>
                <w:sz w:val="24"/>
                <w:szCs w:val="24"/>
                <w:u w:val="none" w:color="auto"/>
              </w:rPr>
              <w:t>施工期生活垃圾集中存放委托环卫清运、卫生填埋处理。采取上述措施，本项目施工期固废均可得到妥善处置。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9"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运营</w:t>
            </w:r>
          </w:p>
          <w:p>
            <w:pPr>
              <w:adjustRightInd w:val="0"/>
              <w:snapToGrid w:val="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期环</w:t>
            </w:r>
          </w:p>
          <w:p>
            <w:pPr>
              <w:adjustRightInd w:val="0"/>
              <w:snapToGrid w:val="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境影</w:t>
            </w:r>
          </w:p>
          <w:p>
            <w:pPr>
              <w:adjustRightInd w:val="0"/>
              <w:snapToGrid w:val="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响和</w:t>
            </w:r>
          </w:p>
          <w:p>
            <w:pPr>
              <w:adjustRightInd w:val="0"/>
              <w:snapToGrid w:val="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保护</w:t>
            </w:r>
          </w:p>
          <w:p>
            <w:pPr>
              <w:adjustRightInd w:val="0"/>
              <w:snapToGrid w:val="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措施</w:t>
            </w:r>
          </w:p>
        </w:tc>
        <w:tc>
          <w:tcPr>
            <w:tcW w:w="8162" w:type="dxa"/>
            <w:noWrap w:val="0"/>
            <w:vAlign w:val="center"/>
          </w:tcPr>
          <w:p>
            <w:pPr>
              <w:pStyle w:val="56"/>
              <w:bidi w:val="0"/>
              <w:rPr>
                <w:rFonts w:hint="default"/>
                <w:color w:val="auto"/>
                <w:sz w:val="24"/>
                <w:szCs w:val="24"/>
                <w:highlight w:val="none"/>
                <w:u w:val="none"/>
              </w:rPr>
            </w:pPr>
            <w:r>
              <w:rPr>
                <w:rFonts w:hint="default"/>
                <w:color w:val="auto"/>
                <w:sz w:val="24"/>
                <w:szCs w:val="24"/>
                <w:highlight w:val="none"/>
                <w:u w:val="none"/>
              </w:rPr>
              <w:t>4.</w:t>
            </w:r>
            <w:r>
              <w:rPr>
                <w:rFonts w:hint="eastAsia"/>
                <w:color w:val="auto"/>
                <w:sz w:val="24"/>
                <w:szCs w:val="24"/>
                <w:highlight w:val="none"/>
                <w:u w:val="none"/>
                <w:lang w:val="en-US" w:eastAsia="zh-CN"/>
              </w:rPr>
              <w:t>2</w:t>
            </w:r>
            <w:r>
              <w:rPr>
                <w:rFonts w:hint="default"/>
                <w:color w:val="auto"/>
                <w:sz w:val="24"/>
                <w:szCs w:val="24"/>
                <w:highlight w:val="none"/>
                <w:u w:val="none"/>
              </w:rPr>
              <w:t>废气</w:t>
            </w:r>
          </w:p>
          <w:p>
            <w:pPr>
              <w:pStyle w:val="62"/>
              <w:bidi w:val="0"/>
              <w:rPr>
                <w:rFonts w:hint="default"/>
                <w:color w:val="auto"/>
                <w:sz w:val="24"/>
                <w:szCs w:val="24"/>
                <w:u w:val="none"/>
                <w:lang w:val="en-US" w:eastAsia="zh-CN"/>
              </w:rPr>
            </w:pPr>
            <w:r>
              <w:rPr>
                <w:rFonts w:hint="default"/>
                <w:color w:val="auto"/>
                <w:sz w:val="24"/>
                <w:szCs w:val="24"/>
                <w:u w:val="none"/>
                <w:lang w:val="en-US" w:eastAsia="zh-CN"/>
              </w:rPr>
              <w:t>项目生产过程中产生的废气主要为酸电解工序产生的硫酸雾</w:t>
            </w:r>
            <w:r>
              <w:rPr>
                <w:rFonts w:hint="eastAsia"/>
                <w:color w:val="auto"/>
                <w:sz w:val="24"/>
                <w:szCs w:val="24"/>
                <w:u w:val="none"/>
                <w:lang w:val="en-US" w:eastAsia="zh-CN"/>
              </w:rPr>
              <w:t>、硫酸大小呼吸废气、配粉粉尘、注塑废气、食堂油烟、液氨挥发。</w:t>
            </w:r>
          </w:p>
          <w:p>
            <w:pPr>
              <w:pStyle w:val="59"/>
              <w:keepNext w:val="0"/>
              <w:keepLines w:val="0"/>
              <w:pageBreakBefore w:val="0"/>
              <w:kinsoku/>
              <w:wordWrap/>
              <w:overflowPunct/>
              <w:topLinePunct w:val="0"/>
              <w:autoSpaceDE/>
              <w:autoSpaceDN/>
              <w:bidi w:val="0"/>
              <w:adjustRightInd/>
              <w:snapToGrid/>
              <w:spacing w:before="0" w:after="0" w:line="360" w:lineRule="auto"/>
              <w:textAlignment w:val="auto"/>
              <w:rPr>
                <w:rFonts w:hint="default"/>
                <w:color w:val="auto"/>
                <w:sz w:val="24"/>
                <w:szCs w:val="24"/>
                <w:highlight w:val="none"/>
                <w:u w:val="none"/>
                <w:lang w:val="en-US" w:eastAsia="zh-CN"/>
              </w:rPr>
            </w:pPr>
            <w:r>
              <w:rPr>
                <w:rFonts w:hint="eastAsia"/>
                <w:color w:val="auto"/>
                <w:sz w:val="24"/>
                <w:szCs w:val="24"/>
                <w:highlight w:val="none"/>
                <w:u w:val="none"/>
                <w:lang w:val="en-US" w:eastAsia="zh-CN"/>
              </w:rPr>
              <w:t>4.2.1废气源强分析</w:t>
            </w:r>
          </w:p>
          <w:p>
            <w:pPr>
              <w:pStyle w:val="62"/>
              <w:keepNext w:val="0"/>
              <w:keepLines w:val="0"/>
              <w:pageBreakBefore w:val="0"/>
              <w:kinsoku/>
              <w:wordWrap/>
              <w:overflowPunct/>
              <w:topLinePunct w:val="0"/>
              <w:autoSpaceDE/>
              <w:autoSpaceDN/>
              <w:bidi w:val="0"/>
              <w:adjustRightInd/>
              <w:snapToGrid/>
              <w:spacing w:before="0" w:after="0" w:line="360" w:lineRule="auto"/>
              <w:textAlignment w:val="auto"/>
              <w:rPr>
                <w:rFonts w:hint="eastAsia"/>
                <w:color w:val="auto"/>
                <w:highlight w:val="yellow"/>
                <w:lang w:val="en-US" w:eastAsia="zh-CN"/>
              </w:rPr>
            </w:pPr>
            <w:r>
              <w:rPr>
                <w:rFonts w:hint="eastAsia"/>
                <w:color w:val="auto"/>
                <w:sz w:val="24"/>
                <w:szCs w:val="24"/>
                <w:highlight w:val="none"/>
                <w:u w:val="none"/>
                <w:lang w:val="en-US" w:eastAsia="zh-CN"/>
              </w:rPr>
              <w:t>（1）</w:t>
            </w:r>
            <w:r>
              <w:rPr>
                <w:rFonts w:hint="eastAsia" w:hAnsi="宋体"/>
                <w:color w:val="auto"/>
                <w:sz w:val="24"/>
                <w:szCs w:val="24"/>
                <w:highlight w:val="none"/>
                <w:lang w:eastAsia="zh-CN"/>
              </w:rPr>
              <w:t>酸</w:t>
            </w:r>
            <w:r>
              <w:rPr>
                <w:rFonts w:hAnsi="宋体"/>
                <w:color w:val="auto"/>
                <w:sz w:val="24"/>
                <w:szCs w:val="24"/>
                <w:highlight w:val="none"/>
              </w:rPr>
              <w:t>雾废气</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ascii="Times New Roman" w:hAnsi="Times New Roman" w:eastAsia="宋体"/>
                <w:color w:val="auto"/>
                <w:u w:val="single" w:color="auto"/>
              </w:rPr>
            </w:pPr>
            <w:r>
              <w:rPr>
                <w:rFonts w:hint="default" w:ascii="Times New Roman" w:hAnsi="Times New Roman" w:cs="Times New Roman"/>
                <w:color w:val="auto"/>
                <w:sz w:val="24"/>
                <w:szCs w:val="24"/>
                <w:highlight w:val="none"/>
                <w:u w:val="single"/>
              </w:rPr>
              <w:t>项目生产</w:t>
            </w:r>
            <w:r>
              <w:rPr>
                <w:rFonts w:hint="default" w:ascii="Times New Roman" w:hAnsi="Times New Roman" w:cs="Times New Roman"/>
                <w:color w:val="auto"/>
                <w:sz w:val="24"/>
                <w:szCs w:val="24"/>
                <w:highlight w:val="none"/>
                <w:u w:val="single"/>
                <w:lang w:val="en-US" w:eastAsia="zh-CN"/>
              </w:rPr>
              <w:t>不锈钢焊丝</w:t>
            </w:r>
            <w:r>
              <w:rPr>
                <w:rFonts w:hint="default" w:ascii="Times New Roman" w:hAnsi="Times New Roman" w:cs="Times New Roman"/>
                <w:color w:val="auto"/>
                <w:sz w:val="24"/>
                <w:szCs w:val="24"/>
                <w:highlight w:val="none"/>
                <w:u w:val="single"/>
              </w:rPr>
              <w:t>时，酸电解使用到稀硫酸，采用</w:t>
            </w:r>
            <w:r>
              <w:rPr>
                <w:rFonts w:hint="eastAsia" w:ascii="Times New Roman" w:hAnsi="Times New Roman" w:cs="Times New Roman"/>
                <w:color w:val="auto"/>
                <w:sz w:val="24"/>
                <w:szCs w:val="24"/>
                <w:highlight w:val="none"/>
                <w:u w:val="single"/>
                <w:lang w:eastAsia="zh-CN"/>
              </w:rPr>
              <w:t>高位罐</w:t>
            </w:r>
            <w:r>
              <w:rPr>
                <w:rFonts w:hint="default" w:ascii="Times New Roman" w:hAnsi="Times New Roman" w:cs="Times New Roman"/>
                <w:color w:val="auto"/>
                <w:sz w:val="24"/>
                <w:szCs w:val="24"/>
                <w:highlight w:val="none"/>
                <w:u w:val="single"/>
              </w:rPr>
              <w:t>计量投加，</w:t>
            </w:r>
            <w:r>
              <w:rPr>
                <w:rFonts w:hint="default" w:ascii="Times New Roman" w:hAnsi="Times New Roman" w:cs="Times New Roman"/>
                <w:color w:val="auto"/>
                <w:sz w:val="24"/>
                <w:szCs w:val="24"/>
                <w:highlight w:val="none"/>
                <w:u w:val="single"/>
                <w:lang w:val="en-US" w:eastAsia="zh-CN"/>
              </w:rPr>
              <w:t>96%浓硫酸</w:t>
            </w:r>
            <w:r>
              <w:rPr>
                <w:rFonts w:hint="default" w:ascii="Times New Roman" w:hAnsi="Times New Roman" w:cs="Times New Roman"/>
                <w:color w:val="auto"/>
                <w:sz w:val="24"/>
                <w:szCs w:val="24"/>
                <w:highlight w:val="none"/>
                <w:u w:val="single"/>
                <w:lang w:eastAsia="zh-CN"/>
              </w:rPr>
              <w:t>通过管道密闭连接酸电解槽底，与水混合配置成稀硫酸，</w:t>
            </w:r>
            <w:r>
              <w:rPr>
                <w:rFonts w:hint="eastAsia" w:ascii="Times New Roman" w:hAnsi="Times New Roman" w:cs="Times New Roman"/>
                <w:color w:val="auto"/>
                <w:sz w:val="24"/>
                <w:szCs w:val="24"/>
                <w:highlight w:val="none"/>
                <w:u w:val="single"/>
                <w:lang w:eastAsia="zh-CN"/>
              </w:rPr>
              <w:t>因此本项目酸雾废气主要为</w:t>
            </w:r>
            <w:r>
              <w:rPr>
                <w:rFonts w:hint="default" w:ascii="Times New Roman" w:hAnsi="Times New Roman" w:cs="Times New Roman"/>
                <w:color w:val="auto"/>
                <w:sz w:val="24"/>
                <w:szCs w:val="24"/>
                <w:highlight w:val="none"/>
                <w:u w:val="single"/>
              </w:rPr>
              <w:t>酸电解</w:t>
            </w:r>
            <w:r>
              <w:rPr>
                <w:rFonts w:hint="default" w:ascii="Times New Roman" w:hAnsi="Times New Roman" w:eastAsia="宋体" w:cs="Times New Roman"/>
                <w:color w:val="auto"/>
                <w:highlight w:val="none"/>
                <w:u w:val="single" w:color="auto"/>
                <w:lang w:eastAsia="zh-CN"/>
              </w:rPr>
              <w:t>槽挥发</w:t>
            </w:r>
            <w:r>
              <w:rPr>
                <w:rFonts w:hint="default" w:ascii="Times New Roman" w:hAnsi="Times New Roman" w:cs="Times New Roman"/>
                <w:color w:val="auto"/>
                <w:highlight w:val="none"/>
                <w:u w:val="single" w:color="auto"/>
                <w:lang w:eastAsia="zh-CN"/>
              </w:rPr>
              <w:t>及配</w:t>
            </w:r>
            <w:r>
              <w:rPr>
                <w:rFonts w:hint="default" w:ascii="Times New Roman" w:hAnsi="Times New Roman" w:cs="Times New Roman"/>
                <w:color w:val="auto"/>
                <w:u w:val="single" w:color="auto"/>
                <w:lang w:eastAsia="zh-CN"/>
              </w:rPr>
              <w:t>置</w:t>
            </w:r>
            <w:r>
              <w:rPr>
                <w:rFonts w:hint="default" w:ascii="Times New Roman" w:hAnsi="Times New Roman" w:eastAsia="宋体" w:cs="Times New Roman"/>
                <w:color w:val="auto"/>
                <w:u w:val="single" w:color="auto"/>
                <w:lang w:eastAsia="zh-CN"/>
              </w:rPr>
              <w:t>产生硫酸雾，参考</w:t>
            </w:r>
            <w:r>
              <w:rPr>
                <w:rFonts w:hint="default" w:ascii="Times New Roman" w:hAnsi="Times New Roman" w:eastAsia="宋体" w:cs="Times New Roman"/>
                <w:color w:val="auto"/>
                <w:u w:val="single" w:color="auto"/>
              </w:rPr>
              <w:t>原国家环保局计划司、辽宁省环保局编著的《工业行</w:t>
            </w:r>
            <w:r>
              <w:rPr>
                <w:rFonts w:ascii="Times New Roman" w:hAnsi="Times New Roman" w:eastAsia="宋体"/>
                <w:color w:val="auto"/>
                <w:u w:val="single" w:color="auto"/>
              </w:rPr>
              <w:t>业环境统计手册》(辽宁出版社，1991 出版) 第十七章第二节、方品贤等编著的《环境统计手册》第四章第二节等文献中酸雾计算公式如下：</w:t>
            </w:r>
          </w:p>
          <w:p>
            <w:pPr>
              <w:keepNext w:val="0"/>
              <w:keepLines w:val="0"/>
              <w:pageBreakBefore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宋体" w:cs="Times New Roman"/>
                <w:color w:val="auto"/>
                <w:sz w:val="24"/>
                <w:u w:val="single" w:color="auto"/>
              </w:rPr>
            </w:pPr>
            <w:r>
              <w:rPr>
                <w:rFonts w:hint="default" w:ascii="Times New Roman" w:hAnsi="Times New Roman" w:eastAsia="宋体" w:cs="Times New Roman"/>
                <w:color w:val="auto"/>
                <w:sz w:val="24"/>
                <w:u w:val="single" w:color="auto"/>
              </w:rPr>
              <w:t>G=M(0.000352+0.000786V)×P×F</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u w:val="single" w:color="auto"/>
              </w:rPr>
            </w:pPr>
            <w:r>
              <w:rPr>
                <w:rFonts w:ascii="Times New Roman" w:hAnsi="Times New Roman" w:eastAsia="宋体" w:cs="Times New Roman"/>
                <w:color w:val="auto"/>
                <w:sz w:val="24"/>
                <w:u w:val="single" w:color="auto"/>
              </w:rPr>
              <w:t>式中：G——酸雾量 kg/h</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ascii="Times New Roman" w:hAnsi="Times New Roman" w:eastAsia="宋体" w:cs="Times New Roman"/>
                <w:color w:val="auto"/>
                <w:sz w:val="24"/>
                <w:u w:val="single" w:color="auto"/>
              </w:rPr>
              <w:t>M——液体(即酸)的分子量</w:t>
            </w:r>
            <w:r>
              <w:rPr>
                <w:rFonts w:hint="eastAsia" w:ascii="Times New Roman" w:hAnsi="Times New Roman" w:eastAsia="宋体" w:cs="Times New Roman"/>
                <w:color w:val="auto"/>
                <w:sz w:val="24"/>
                <w:u w:val="single" w:color="auto"/>
                <w:lang w:eastAsia="zh-CN"/>
              </w:rPr>
              <w:t>，取</w:t>
            </w:r>
            <w:r>
              <w:rPr>
                <w:rFonts w:hint="eastAsia" w:ascii="Times New Roman" w:hAnsi="Times New Roman" w:eastAsia="宋体" w:cs="Times New Roman"/>
                <w:color w:val="auto"/>
                <w:sz w:val="24"/>
                <w:u w:val="single" w:color="auto"/>
                <w:lang w:val="en-US" w:eastAsia="zh-CN"/>
              </w:rPr>
              <w:t>98.08</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u w:val="single" w:color="auto"/>
              </w:rPr>
            </w:pPr>
            <w:r>
              <w:rPr>
                <w:rFonts w:ascii="Times New Roman" w:hAnsi="Times New Roman" w:eastAsia="宋体" w:cs="Times New Roman"/>
                <w:color w:val="auto"/>
                <w:sz w:val="24"/>
                <w:u w:val="single" w:color="auto"/>
              </w:rPr>
              <w:t>V——酸液表面上的空气流速，m/s，以实测为准。无条件实测可查表，一般取0.2-0.5</w:t>
            </w:r>
            <w:r>
              <w:rPr>
                <w:rFonts w:hint="eastAsia" w:ascii="Times New Roman" w:hAnsi="Times New Roman" w:eastAsia="宋体" w:cs="Times New Roman"/>
                <w:color w:val="auto"/>
                <w:sz w:val="24"/>
                <w:u w:val="single" w:color="auto"/>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ascii="Times New Roman" w:hAnsi="Times New Roman" w:eastAsia="宋体" w:cs="Times New Roman"/>
                <w:color w:val="auto"/>
                <w:sz w:val="24"/>
                <w:u w:val="single" w:color="auto"/>
              </w:rPr>
              <w:t>F——酸液蒸发面的表面积</w:t>
            </w:r>
            <w:r>
              <w:rPr>
                <w:rFonts w:hint="eastAsia" w:ascii="Times New Roman" w:hAnsi="Times New Roman" w:eastAsia="宋体" w:cs="Times New Roman"/>
                <w:color w:val="auto"/>
                <w:sz w:val="24"/>
                <w:u w:val="single" w:color="auto"/>
              </w:rPr>
              <w:t>m</w:t>
            </w:r>
            <w:r>
              <w:rPr>
                <w:rFonts w:ascii="Times New Roman" w:hAnsi="Times New Roman" w:eastAsia="宋体" w:cs="Times New Roman"/>
                <w:color w:val="auto"/>
                <w:sz w:val="24"/>
                <w:u w:val="single" w:color="auto"/>
                <w:vertAlign w:val="superscript"/>
              </w:rPr>
              <w:t>2</w:t>
            </w:r>
            <w:r>
              <w:rPr>
                <w:rFonts w:hint="eastAsia" w:ascii="Times New Roman" w:hAnsi="Times New Roman" w:eastAsia="宋体" w:cs="Times New Roman"/>
                <w:color w:val="auto"/>
                <w:sz w:val="24"/>
                <w:u w:val="single" w:color="auto"/>
              </w:rPr>
              <w:t>；</w:t>
            </w:r>
            <w:r>
              <w:rPr>
                <w:rFonts w:hint="eastAsia" w:ascii="Times New Roman" w:hAnsi="Times New Roman" w:eastAsia="宋体" w:cs="Times New Roman"/>
                <w:color w:val="auto"/>
                <w:sz w:val="24"/>
                <w:u w:val="single" w:color="auto"/>
                <w:lang w:eastAsia="zh-CN"/>
              </w:rPr>
              <w:t>设</w:t>
            </w:r>
            <w:r>
              <w:rPr>
                <w:rFonts w:hint="eastAsia" w:ascii="Times New Roman" w:hAnsi="Times New Roman" w:eastAsia="宋体" w:cs="Times New Roman"/>
                <w:color w:val="auto"/>
                <w:sz w:val="24"/>
                <w:u w:val="single" w:color="auto"/>
                <w:lang w:val="en-US" w:eastAsia="zh-CN"/>
              </w:rPr>
              <w:t>5个酸洗槽，</w:t>
            </w:r>
            <w:r>
              <w:rPr>
                <w:rFonts w:hint="eastAsia" w:ascii="Times New Roman" w:hAnsi="Times New Roman" w:eastAsia="宋体" w:cs="Times New Roman"/>
                <w:color w:val="auto"/>
                <w:sz w:val="24"/>
                <w:u w:val="single" w:color="auto"/>
                <w:lang w:eastAsia="zh-CN"/>
              </w:rPr>
              <w:t>取</w:t>
            </w:r>
            <w:r>
              <w:rPr>
                <w:rFonts w:hint="eastAsia" w:ascii="Times New Roman" w:hAnsi="Times New Roman" w:eastAsia="宋体" w:cs="Times New Roman"/>
                <w:color w:val="auto"/>
                <w:sz w:val="24"/>
                <w:u w:val="single" w:color="auto"/>
                <w:lang w:val="en-US" w:eastAsia="zh-CN"/>
              </w:rPr>
              <w:t>22.75</w:t>
            </w:r>
            <w:r>
              <w:rPr>
                <w:rFonts w:hint="eastAsia" w:ascii="Times New Roman" w:hAnsi="Times New Roman" w:eastAsia="宋体" w:cs="Times New Roman"/>
                <w:color w:val="auto"/>
                <w:sz w:val="24"/>
                <w:u w:val="single" w:color="auto"/>
              </w:rPr>
              <w:t>m</w:t>
            </w:r>
            <w:r>
              <w:rPr>
                <w:rFonts w:ascii="Times New Roman" w:hAnsi="Times New Roman" w:eastAsia="宋体" w:cs="Times New Roman"/>
                <w:color w:val="auto"/>
                <w:sz w:val="24"/>
                <w:u w:val="single" w:color="auto"/>
                <w:vertAlign w:val="superscript"/>
              </w:rPr>
              <w:t>2</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olor w:val="auto"/>
                <w:u w:val="single" w:color="auto"/>
                <w:lang w:val="en-US" w:eastAsia="zh-CN"/>
              </w:rPr>
            </w:pPr>
            <w:r>
              <w:rPr>
                <w:rFonts w:ascii="Times New Roman" w:hAnsi="Times New Roman" w:eastAsia="宋体"/>
                <w:color w:val="auto"/>
                <w:u w:val="single" w:color="auto"/>
              </w:rPr>
              <w:t>P——相当于酸液温度下的空气中的蒸气分压力</w:t>
            </w:r>
            <w:r>
              <w:rPr>
                <w:rFonts w:hint="eastAsia" w:ascii="Times New Roman" w:hAnsi="Times New Roman" w:eastAsia="宋体"/>
                <w:color w:val="auto"/>
                <w:u w:val="single" w:color="auto"/>
                <w:lang w:eastAsia="zh-CN"/>
              </w:rPr>
              <w:t>，</w:t>
            </w:r>
            <w:r>
              <w:rPr>
                <w:rFonts w:ascii="Times New Roman" w:hAnsi="Times New Roman" w:eastAsia="宋体"/>
                <w:color w:val="auto"/>
                <w:u w:val="single" w:color="auto"/>
              </w:rPr>
              <w:t>毫米汞柱。</w:t>
            </w:r>
            <w:r>
              <w:rPr>
                <w:rFonts w:hint="default" w:ascii="Times New Roman" w:hAnsi="Times New Roman" w:eastAsia="宋体"/>
                <w:color w:val="auto"/>
                <w:u w:val="single" w:color="auto"/>
                <w:lang w:eastAsia="zh-CN"/>
              </w:rPr>
              <w:t>根据《化学化工物理数据手册无机卷》，</w:t>
            </w:r>
            <w:r>
              <w:rPr>
                <w:rFonts w:hint="eastAsia" w:ascii="Times New Roman" w:hAnsi="Times New Roman"/>
                <w:color w:val="auto"/>
                <w:u w:val="single" w:color="auto"/>
                <w:lang w:val="en-US" w:eastAsia="zh-CN"/>
              </w:rPr>
              <w:t>30%稀</w:t>
            </w:r>
            <w:r>
              <w:rPr>
                <w:rFonts w:hint="default" w:ascii="Times New Roman" w:hAnsi="Times New Roman" w:eastAsia="宋体"/>
                <w:color w:val="auto"/>
                <w:u w:val="single" w:color="auto"/>
                <w:lang w:eastAsia="zh-CN"/>
              </w:rPr>
              <w:t>硫酸蒸汽压按</w:t>
            </w:r>
            <w:r>
              <w:rPr>
                <w:rFonts w:hint="eastAsia" w:ascii="Times New Roman" w:hAnsi="Times New Roman"/>
                <w:color w:val="auto"/>
                <w:u w:val="single" w:color="auto"/>
                <w:lang w:val="en-US" w:eastAsia="zh-CN"/>
              </w:rPr>
              <w:t>1.44</w:t>
            </w:r>
            <w:r>
              <w:rPr>
                <w:rFonts w:hint="default" w:ascii="Times New Roman" w:hAnsi="Times New Roman" w:eastAsia="宋体"/>
                <w:color w:val="auto"/>
                <w:u w:val="single" w:color="auto"/>
                <w:lang w:eastAsia="zh-CN"/>
              </w:rPr>
              <w:t>mmHg</w:t>
            </w:r>
            <w:r>
              <w:rPr>
                <w:rFonts w:hint="eastAsia" w:ascii="Times New Roman" w:hAnsi="Times New Roman" w:eastAsia="宋体"/>
                <w:color w:val="auto"/>
                <w:u w:val="single" w:color="auto"/>
                <w:lang w:eastAsia="zh-CN"/>
              </w:rPr>
              <w:t>（</w:t>
            </w:r>
            <w:r>
              <w:rPr>
                <w:rFonts w:hint="eastAsia" w:ascii="Times New Roman" w:hAnsi="Times New Roman"/>
                <w:color w:val="auto"/>
                <w:u w:val="single" w:color="auto"/>
                <w:lang w:val="en-US" w:eastAsia="zh-CN"/>
              </w:rPr>
              <w:t>30</w:t>
            </w:r>
            <w:r>
              <w:rPr>
                <w:rFonts w:hint="default" w:ascii="Times New Roman" w:hAnsi="Times New Roman" w:eastAsia="宋体"/>
                <w:color w:val="auto"/>
                <w:u w:val="single" w:color="auto"/>
                <w:lang w:eastAsia="zh-CN"/>
              </w:rPr>
              <w:t>℃</w:t>
            </w:r>
            <w:r>
              <w:rPr>
                <w:rFonts w:hint="eastAsia" w:ascii="Times New Roman" w:hAnsi="Times New Roman" w:eastAsia="宋体"/>
                <w:color w:val="auto"/>
                <w:u w:val="single" w:color="auto"/>
                <w:lang w:eastAsia="zh-CN"/>
              </w:rPr>
              <w:t>）</w:t>
            </w:r>
            <w:r>
              <w:rPr>
                <w:rFonts w:hint="default" w:ascii="Times New Roman" w:hAnsi="Times New Roman" w:eastAsia="宋体"/>
                <w:color w:val="auto"/>
                <w:u w:val="single" w:color="auto"/>
                <w:lang w:eastAsia="zh-CN"/>
              </w:rPr>
              <w:t>计；</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olor w:val="auto"/>
                <w:u w:val="single" w:color="auto"/>
                <w:lang w:eastAsia="zh-CN"/>
              </w:rPr>
            </w:pPr>
            <w:r>
              <w:rPr>
                <w:rFonts w:hint="default" w:ascii="Times New Roman" w:hAnsi="Times New Roman" w:eastAsia="宋体"/>
                <w:color w:val="auto"/>
                <w:u w:val="single" w:color="auto"/>
                <w:lang w:eastAsia="zh-CN"/>
              </w:rPr>
              <w:t>各项参数及计算结果见下表。</w:t>
            </w:r>
          </w:p>
          <w:p>
            <w:pPr>
              <w:pStyle w:val="104"/>
              <w:keepNext/>
              <w:keepLines w:val="0"/>
              <w:pageBreakBefore w:val="0"/>
              <w:widowControl w:val="0"/>
              <w:numPr>
                <w:ilvl w:val="0"/>
                <w:numId w:val="0"/>
              </w:numPr>
              <w:kinsoku/>
              <w:wordWrap w:val="0"/>
              <w:overflowPunct/>
              <w:topLinePunct w:val="0"/>
              <w:autoSpaceDE/>
              <w:autoSpaceDN/>
              <w:bidi w:val="0"/>
              <w:adjustRightInd/>
              <w:snapToGrid/>
              <w:spacing w:before="0" w:beforeLines="0" w:beforeAutospacing="0" w:after="0" w:afterLines="0" w:afterAutospacing="0"/>
              <w:ind w:left="0" w:leftChars="0"/>
              <w:jc w:val="center"/>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lang w:val="en-US" w:eastAsia="zh-CN"/>
              </w:rPr>
              <w:t>表</w:t>
            </w:r>
            <w:r>
              <w:rPr>
                <w:rFonts w:hint="eastAsia" w:cs="Times New Roman"/>
                <w:color w:val="auto"/>
                <w:sz w:val="24"/>
                <w:szCs w:val="24"/>
                <w:u w:val="single" w:color="auto"/>
                <w:lang w:val="en-US" w:eastAsia="zh-CN"/>
              </w:rPr>
              <w:t>4.2</w:t>
            </w:r>
            <w:r>
              <w:rPr>
                <w:rFonts w:hint="default" w:ascii="Times New Roman" w:hAnsi="Times New Roman" w:eastAsia="宋体" w:cs="Times New Roman"/>
                <w:color w:val="auto"/>
                <w:sz w:val="24"/>
                <w:szCs w:val="24"/>
                <w:u w:val="single" w:color="auto"/>
                <w:lang w:val="en-US" w:eastAsia="zh-CN"/>
              </w:rPr>
              <w:t>-</w:t>
            </w:r>
            <w:r>
              <w:rPr>
                <w:rFonts w:hint="eastAsia" w:cs="Times New Roman"/>
                <w:color w:val="auto"/>
                <w:sz w:val="24"/>
                <w:szCs w:val="24"/>
                <w:u w:val="single" w:color="auto"/>
                <w:lang w:val="en-US" w:eastAsia="zh-CN"/>
              </w:rPr>
              <w:t>2</w:t>
            </w:r>
            <w:r>
              <w:rPr>
                <w:rFonts w:hint="default" w:ascii="Times New Roman" w:hAnsi="Times New Roman" w:eastAsia="宋体" w:cs="Times New Roman"/>
                <w:color w:val="auto"/>
                <w:sz w:val="24"/>
                <w:szCs w:val="24"/>
                <w:u w:val="single" w:color="auto"/>
                <w:lang w:val="en-US" w:eastAsia="zh-CN"/>
              </w:rPr>
              <w:t>酸</w:t>
            </w:r>
            <w:r>
              <w:rPr>
                <w:rFonts w:hint="eastAsia" w:cs="Times New Roman"/>
                <w:color w:val="auto"/>
                <w:sz w:val="24"/>
                <w:szCs w:val="24"/>
                <w:u w:val="single" w:color="auto"/>
                <w:lang w:val="en-US" w:eastAsia="zh-CN"/>
              </w:rPr>
              <w:t>雾</w:t>
            </w:r>
            <w:r>
              <w:rPr>
                <w:rFonts w:hint="default" w:ascii="Times New Roman" w:hAnsi="Times New Roman" w:eastAsia="宋体" w:cs="Times New Roman"/>
                <w:color w:val="auto"/>
                <w:sz w:val="24"/>
                <w:szCs w:val="24"/>
                <w:u w:val="single" w:color="auto"/>
                <w:lang w:val="en-US" w:eastAsia="zh-CN"/>
              </w:rPr>
              <w:t>废气产生情况</w:t>
            </w:r>
            <w:r>
              <w:rPr>
                <w:rFonts w:hint="default" w:ascii="Times New Roman" w:hAnsi="Times New Roman" w:eastAsia="宋体" w:cs="Times New Roman"/>
                <w:color w:val="auto"/>
                <w:sz w:val="24"/>
                <w:szCs w:val="24"/>
                <w:u w:val="single" w:color="auto"/>
              </w:rPr>
              <w:t>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99"/>
              <w:gridCol w:w="1247"/>
              <w:gridCol w:w="947"/>
              <w:gridCol w:w="1571"/>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物质</w:t>
                  </w:r>
                </w:p>
              </w:tc>
              <w:tc>
                <w:tcPr>
                  <w:tcW w:w="6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M</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V</w:t>
                  </w:r>
                </w:p>
              </w:tc>
              <w:tc>
                <w:tcPr>
                  <w:tcW w:w="5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F</w:t>
                  </w:r>
                </w:p>
              </w:tc>
              <w:tc>
                <w:tcPr>
                  <w:tcW w:w="9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P</w:t>
                  </w:r>
                </w:p>
              </w:tc>
              <w:tc>
                <w:tcPr>
                  <w:tcW w:w="13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6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硫酸</w:t>
                  </w:r>
                </w:p>
              </w:tc>
              <w:tc>
                <w:tcPr>
                  <w:tcW w:w="6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98</w:t>
                  </w:r>
                  <w:r>
                    <w:rPr>
                      <w:rFonts w:hint="eastAsia" w:eastAsia="宋体" w:cs="Times New Roman"/>
                      <w:color w:val="auto"/>
                      <w:kern w:val="0"/>
                      <w:szCs w:val="21"/>
                      <w:highlight w:val="none"/>
                      <w:u w:val="single" w:color="auto"/>
                      <w:lang w:val="en-US" w:eastAsia="zh-CN" w:bidi="ar"/>
                    </w:rPr>
                    <w:t>.08</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0.</w:t>
                  </w:r>
                  <w:r>
                    <w:rPr>
                      <w:rFonts w:hint="eastAsia" w:cs="Times New Roman"/>
                      <w:color w:val="auto"/>
                      <w:kern w:val="0"/>
                      <w:szCs w:val="21"/>
                      <w:highlight w:val="none"/>
                      <w:u w:val="single" w:color="auto"/>
                      <w:lang w:val="en-US" w:eastAsia="zh-CN" w:bidi="ar"/>
                    </w:rPr>
                    <w:t>2</w:t>
                  </w:r>
                </w:p>
              </w:tc>
              <w:tc>
                <w:tcPr>
                  <w:tcW w:w="59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eastAsia="宋体" w:cs="Times New Roman"/>
                      <w:color w:val="auto"/>
                      <w:kern w:val="0"/>
                      <w:szCs w:val="21"/>
                      <w:highlight w:val="none"/>
                      <w:u w:val="single" w:color="auto"/>
                      <w:lang w:val="en-US" w:eastAsia="zh-CN" w:bidi="ar"/>
                    </w:rPr>
                    <w:t>22.75</w:t>
                  </w:r>
                </w:p>
              </w:tc>
              <w:tc>
                <w:tcPr>
                  <w:tcW w:w="98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1.44</w:t>
                  </w:r>
                </w:p>
              </w:tc>
              <w:tc>
                <w:tcPr>
                  <w:tcW w:w="13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1.64</w:t>
                  </w:r>
                </w:p>
              </w:tc>
            </w:tr>
          </w:tbl>
          <w:p>
            <w:pPr>
              <w:pStyle w:val="62"/>
              <w:bidi w:val="0"/>
              <w:rPr>
                <w:rFonts w:hint="eastAsia"/>
                <w:color w:val="auto"/>
                <w:sz w:val="24"/>
                <w:szCs w:val="24"/>
                <w:highlight w:val="none"/>
                <w:u w:val="none"/>
                <w:lang w:val="en-US" w:eastAsia="zh-CN"/>
              </w:rPr>
            </w:pPr>
            <w:r>
              <w:rPr>
                <w:rFonts w:hint="eastAsia" w:hAnsi="宋体"/>
                <w:color w:val="auto"/>
                <w:sz w:val="24"/>
                <w:szCs w:val="24"/>
                <w:highlight w:val="none"/>
                <w:lang w:val="en-US" w:eastAsia="zh-CN"/>
              </w:rPr>
              <w:t>本项目</w:t>
            </w:r>
            <w:r>
              <w:rPr>
                <w:rFonts w:hAnsi="宋体"/>
                <w:color w:val="auto"/>
                <w:sz w:val="24"/>
                <w:szCs w:val="24"/>
                <w:highlight w:val="none"/>
              </w:rPr>
              <w:t>酸电解槽</w:t>
            </w:r>
            <w:r>
              <w:rPr>
                <w:rFonts w:hint="eastAsia" w:hAnsi="宋体"/>
                <w:color w:val="auto"/>
                <w:sz w:val="24"/>
                <w:szCs w:val="24"/>
                <w:highlight w:val="none"/>
                <w:lang w:val="en-US" w:eastAsia="zh-CN"/>
              </w:rPr>
              <w:t>加盖密闭，</w:t>
            </w:r>
            <w:r>
              <w:rPr>
                <w:rFonts w:hAnsi="宋体"/>
                <w:color w:val="auto"/>
                <w:sz w:val="24"/>
                <w:szCs w:val="24"/>
                <w:highlight w:val="none"/>
              </w:rPr>
              <w:t>酸电解</w:t>
            </w:r>
            <w:r>
              <w:rPr>
                <w:rFonts w:hint="eastAsia" w:hAnsi="宋体"/>
                <w:color w:val="auto"/>
                <w:sz w:val="24"/>
                <w:szCs w:val="24"/>
                <w:highlight w:val="none"/>
                <w:lang w:val="en-US" w:eastAsia="zh-CN"/>
              </w:rPr>
              <w:t>过程在封闭的设备中进行，留下只能焊丝通过的细孔，设备自带排风管道，可形成负压，其对酸雾的捕集率为100%，被捕集的硫酸雾由设备自带引风管道引入1套碱液吸收装置处理，处理后尾气经15m高排气筒排放，碱液吸收装置设计风量为2000m</w:t>
            </w:r>
            <w:r>
              <w:rPr>
                <w:rFonts w:hint="eastAsia" w:hAnsi="宋体"/>
                <w:color w:val="auto"/>
                <w:sz w:val="24"/>
                <w:szCs w:val="24"/>
                <w:highlight w:val="none"/>
                <w:vertAlign w:val="superscript"/>
                <w:lang w:val="en-US" w:eastAsia="zh-CN"/>
              </w:rPr>
              <w:t>3</w:t>
            </w:r>
            <w:r>
              <w:rPr>
                <w:rFonts w:hint="eastAsia" w:hAnsi="宋体"/>
                <w:color w:val="auto"/>
                <w:sz w:val="24"/>
                <w:szCs w:val="24"/>
                <w:highlight w:val="none"/>
                <w:lang w:val="en-US" w:eastAsia="zh-CN"/>
              </w:rPr>
              <w:t>/h，净化效率为90%。</w:t>
            </w:r>
          </w:p>
          <w:p>
            <w:pPr>
              <w:spacing w:line="240" w:lineRule="auto"/>
              <w:jc w:val="center"/>
              <w:rPr>
                <w:rFonts w:hint="eastAsia" w:ascii="Times New Roman" w:hAnsi="宋体" w:eastAsia="宋体" w:cs="Times New Roman"/>
                <w:b/>
                <w:bCs/>
                <w:color w:val="auto"/>
                <w:sz w:val="24"/>
                <w:szCs w:val="24"/>
                <w:highlight w:val="none"/>
                <w:lang w:val="en-US" w:eastAsia="zh-CN"/>
              </w:rPr>
            </w:pPr>
            <w:r>
              <w:rPr>
                <w:rFonts w:hint="eastAsia" w:ascii="Times New Roman" w:hAnsi="宋体" w:eastAsia="宋体" w:cs="Times New Roman"/>
                <w:b/>
                <w:bCs/>
                <w:color w:val="auto"/>
                <w:sz w:val="24"/>
                <w:szCs w:val="24"/>
                <w:highlight w:val="none"/>
                <w:lang w:val="en-US" w:eastAsia="zh-CN"/>
              </w:rPr>
              <w:t>表4.</w:t>
            </w:r>
            <w:r>
              <w:rPr>
                <w:rFonts w:hint="eastAsia" w:hAnsi="宋体" w:cs="Times New Roman"/>
                <w:b/>
                <w:bCs/>
                <w:color w:val="auto"/>
                <w:sz w:val="24"/>
                <w:szCs w:val="24"/>
                <w:highlight w:val="none"/>
                <w:lang w:val="en-US" w:eastAsia="zh-CN"/>
              </w:rPr>
              <w:t>2</w:t>
            </w:r>
            <w:r>
              <w:rPr>
                <w:rFonts w:hint="eastAsia" w:ascii="Times New Roman" w:hAnsi="宋体" w:eastAsia="宋体" w:cs="Times New Roman"/>
                <w:b/>
                <w:bCs/>
                <w:color w:val="auto"/>
                <w:sz w:val="24"/>
                <w:szCs w:val="24"/>
                <w:highlight w:val="none"/>
                <w:lang w:val="en-US" w:eastAsia="zh-CN"/>
              </w:rPr>
              <w:t>-</w:t>
            </w:r>
            <w:r>
              <w:rPr>
                <w:rFonts w:hint="eastAsia" w:hAnsi="宋体" w:cs="Times New Roman"/>
                <w:b/>
                <w:bCs/>
                <w:color w:val="auto"/>
                <w:sz w:val="24"/>
                <w:szCs w:val="24"/>
                <w:highlight w:val="none"/>
                <w:lang w:val="en-US" w:eastAsia="zh-CN"/>
              </w:rPr>
              <w:t>3</w:t>
            </w:r>
            <w:r>
              <w:rPr>
                <w:rFonts w:hint="eastAsia" w:ascii="Times New Roman" w:hAnsi="宋体" w:eastAsia="宋体" w:cs="Times New Roman"/>
                <w:b/>
                <w:bCs/>
                <w:color w:val="auto"/>
                <w:sz w:val="24"/>
                <w:szCs w:val="24"/>
                <w:highlight w:val="none"/>
                <w:lang w:val="en-US" w:eastAsia="zh-CN"/>
              </w:rPr>
              <w:t>酸雾产生及排放情况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918"/>
              <w:gridCol w:w="781"/>
              <w:gridCol w:w="920"/>
              <w:gridCol w:w="921"/>
              <w:gridCol w:w="824"/>
              <w:gridCol w:w="808"/>
              <w:gridCol w:w="870"/>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9" w:type="dxa"/>
                  <w:noWrap w:val="0"/>
                  <w:vAlign w:val="center"/>
                </w:tcPr>
                <w:p>
                  <w:pPr>
                    <w:adjustRightInd w:val="0"/>
                    <w:snapToGrid w:val="0"/>
                    <w:jc w:val="center"/>
                    <w:rPr>
                      <w:b/>
                      <w:color w:val="auto"/>
                      <w:szCs w:val="21"/>
                      <w:highlight w:val="none"/>
                      <w:u w:val="none"/>
                      <w:lang w:bidi="ar"/>
                    </w:rPr>
                  </w:pPr>
                  <w:r>
                    <w:rPr>
                      <w:b/>
                      <w:color w:val="auto"/>
                      <w:szCs w:val="21"/>
                      <w:highlight w:val="none"/>
                      <w:u w:val="none"/>
                      <w:lang w:bidi="ar"/>
                    </w:rPr>
                    <w:t>产污</w:t>
                  </w:r>
                </w:p>
                <w:p>
                  <w:pPr>
                    <w:adjustRightInd w:val="0"/>
                    <w:snapToGrid w:val="0"/>
                    <w:jc w:val="center"/>
                    <w:rPr>
                      <w:b/>
                      <w:color w:val="auto"/>
                      <w:szCs w:val="21"/>
                      <w:highlight w:val="none"/>
                      <w:u w:val="none"/>
                    </w:rPr>
                  </w:pPr>
                  <w:r>
                    <w:rPr>
                      <w:b/>
                      <w:color w:val="auto"/>
                      <w:szCs w:val="21"/>
                      <w:highlight w:val="none"/>
                      <w:u w:val="none"/>
                      <w:lang w:bidi="ar"/>
                    </w:rPr>
                    <w:t>环节</w:t>
                  </w:r>
                </w:p>
              </w:tc>
              <w:tc>
                <w:tcPr>
                  <w:tcW w:w="918" w:type="dxa"/>
                  <w:noWrap w:val="0"/>
                  <w:vAlign w:val="center"/>
                </w:tcPr>
                <w:p>
                  <w:pPr>
                    <w:adjustRightInd w:val="0"/>
                    <w:snapToGrid w:val="0"/>
                    <w:jc w:val="center"/>
                    <w:rPr>
                      <w:rFonts w:hint="eastAsia"/>
                      <w:b/>
                      <w:color w:val="auto"/>
                      <w:szCs w:val="21"/>
                      <w:highlight w:val="none"/>
                      <w:u w:val="none"/>
                    </w:rPr>
                  </w:pPr>
                  <w:r>
                    <w:rPr>
                      <w:rFonts w:hint="eastAsia"/>
                      <w:b/>
                      <w:color w:val="auto"/>
                      <w:szCs w:val="21"/>
                      <w:highlight w:val="none"/>
                      <w:u w:val="none"/>
                      <w:lang w:bidi="ar"/>
                    </w:rPr>
                    <w:t>污染物</w:t>
                  </w:r>
                </w:p>
              </w:tc>
              <w:tc>
                <w:tcPr>
                  <w:tcW w:w="781" w:type="dxa"/>
                  <w:noWrap w:val="0"/>
                  <w:vAlign w:val="center"/>
                </w:tcPr>
                <w:p>
                  <w:pPr>
                    <w:adjustRightInd w:val="0"/>
                    <w:snapToGrid w:val="0"/>
                    <w:jc w:val="center"/>
                    <w:rPr>
                      <w:b/>
                      <w:color w:val="auto"/>
                      <w:szCs w:val="21"/>
                      <w:highlight w:val="none"/>
                      <w:u w:val="none"/>
                    </w:rPr>
                  </w:pPr>
                  <w:r>
                    <w:rPr>
                      <w:rFonts w:hint="eastAsia"/>
                      <w:b/>
                      <w:color w:val="auto"/>
                      <w:szCs w:val="21"/>
                      <w:highlight w:val="none"/>
                      <w:u w:val="none"/>
                    </w:rPr>
                    <w:t>产生量t/a</w:t>
                  </w:r>
                </w:p>
              </w:tc>
              <w:tc>
                <w:tcPr>
                  <w:tcW w:w="920" w:type="dxa"/>
                  <w:noWrap w:val="0"/>
                  <w:vAlign w:val="center"/>
                </w:tcPr>
                <w:p>
                  <w:pPr>
                    <w:adjustRightInd w:val="0"/>
                    <w:snapToGrid w:val="0"/>
                    <w:jc w:val="center"/>
                    <w:rPr>
                      <w:rFonts w:hint="eastAsia"/>
                      <w:b/>
                      <w:bCs/>
                      <w:color w:val="auto"/>
                      <w:highlight w:val="none"/>
                      <w:u w:val="none"/>
                      <w:lang w:eastAsia="zh-CN"/>
                    </w:rPr>
                  </w:pPr>
                  <w:r>
                    <w:rPr>
                      <w:rFonts w:hint="eastAsia"/>
                      <w:b/>
                      <w:bCs/>
                      <w:color w:val="auto"/>
                      <w:highlight w:val="none"/>
                      <w:u w:val="none"/>
                      <w:lang w:eastAsia="zh-CN"/>
                    </w:rPr>
                    <w:t>收集</w:t>
                  </w:r>
                </w:p>
                <w:p>
                  <w:pPr>
                    <w:adjustRightInd w:val="0"/>
                    <w:snapToGrid w:val="0"/>
                    <w:jc w:val="center"/>
                    <w:rPr>
                      <w:rFonts w:hint="eastAsia" w:eastAsia="宋体"/>
                      <w:b/>
                      <w:color w:val="auto"/>
                      <w:szCs w:val="21"/>
                      <w:highlight w:val="none"/>
                      <w:u w:val="none"/>
                      <w:lang w:eastAsia="zh-CN"/>
                    </w:rPr>
                  </w:pPr>
                  <w:r>
                    <w:rPr>
                      <w:rFonts w:hint="eastAsia"/>
                      <w:b/>
                      <w:bCs/>
                      <w:color w:val="auto"/>
                      <w:highlight w:val="none"/>
                      <w:u w:val="none"/>
                      <w:lang w:eastAsia="zh-CN"/>
                    </w:rPr>
                    <w:t>效率</w:t>
                  </w:r>
                </w:p>
              </w:tc>
              <w:tc>
                <w:tcPr>
                  <w:tcW w:w="921" w:type="dxa"/>
                  <w:noWrap w:val="0"/>
                  <w:vAlign w:val="center"/>
                </w:tcPr>
                <w:p>
                  <w:pPr>
                    <w:adjustRightInd w:val="0"/>
                    <w:snapToGrid w:val="0"/>
                    <w:jc w:val="center"/>
                    <w:rPr>
                      <w:rFonts w:hint="eastAsia"/>
                      <w:b/>
                      <w:color w:val="auto"/>
                      <w:szCs w:val="21"/>
                      <w:highlight w:val="none"/>
                      <w:u w:val="none"/>
                      <w:lang w:eastAsia="zh-CN"/>
                    </w:rPr>
                  </w:pPr>
                  <w:r>
                    <w:rPr>
                      <w:rFonts w:hint="eastAsia"/>
                      <w:b/>
                      <w:color w:val="auto"/>
                      <w:szCs w:val="21"/>
                      <w:highlight w:val="none"/>
                      <w:u w:val="none"/>
                      <w:lang w:eastAsia="zh-CN"/>
                    </w:rPr>
                    <w:t>处理</w:t>
                  </w:r>
                </w:p>
                <w:p>
                  <w:pPr>
                    <w:adjustRightInd w:val="0"/>
                    <w:snapToGrid w:val="0"/>
                    <w:jc w:val="center"/>
                    <w:rPr>
                      <w:rFonts w:hint="eastAsia" w:eastAsia="宋体"/>
                      <w:b/>
                      <w:color w:val="auto"/>
                      <w:szCs w:val="21"/>
                      <w:highlight w:val="none"/>
                      <w:u w:val="none"/>
                      <w:lang w:eastAsia="zh-CN"/>
                    </w:rPr>
                  </w:pPr>
                  <w:r>
                    <w:rPr>
                      <w:rFonts w:hint="eastAsia"/>
                      <w:b/>
                      <w:color w:val="auto"/>
                      <w:szCs w:val="21"/>
                      <w:highlight w:val="none"/>
                      <w:u w:val="none"/>
                      <w:lang w:eastAsia="zh-CN"/>
                    </w:rPr>
                    <w:t>效率</w:t>
                  </w:r>
                </w:p>
              </w:tc>
              <w:tc>
                <w:tcPr>
                  <w:tcW w:w="824" w:type="dxa"/>
                  <w:noWrap w:val="0"/>
                  <w:vAlign w:val="center"/>
                </w:tcPr>
                <w:p>
                  <w:pPr>
                    <w:adjustRightInd w:val="0"/>
                    <w:snapToGrid w:val="0"/>
                    <w:jc w:val="center"/>
                    <w:rPr>
                      <w:rFonts w:hint="eastAsia"/>
                      <w:b/>
                      <w:color w:val="auto"/>
                      <w:szCs w:val="21"/>
                      <w:highlight w:val="none"/>
                      <w:u w:val="none"/>
                      <w:lang w:bidi="ar"/>
                    </w:rPr>
                  </w:pPr>
                  <w:r>
                    <w:rPr>
                      <w:rFonts w:hint="eastAsia"/>
                      <w:b/>
                      <w:color w:val="auto"/>
                      <w:szCs w:val="21"/>
                      <w:highlight w:val="none"/>
                      <w:u w:val="none"/>
                      <w:lang w:bidi="ar"/>
                    </w:rPr>
                    <w:t>排放量t/a</w:t>
                  </w:r>
                </w:p>
              </w:tc>
              <w:tc>
                <w:tcPr>
                  <w:tcW w:w="808" w:type="dxa"/>
                  <w:noWrap w:val="0"/>
                  <w:vAlign w:val="center"/>
                </w:tcPr>
                <w:p>
                  <w:pPr>
                    <w:adjustRightInd w:val="0"/>
                    <w:snapToGrid w:val="0"/>
                    <w:jc w:val="center"/>
                    <w:rPr>
                      <w:rFonts w:hint="eastAsia"/>
                      <w:b/>
                      <w:color w:val="auto"/>
                      <w:szCs w:val="21"/>
                      <w:highlight w:val="none"/>
                      <w:u w:val="none"/>
                    </w:rPr>
                  </w:pPr>
                  <w:r>
                    <w:rPr>
                      <w:rFonts w:hint="eastAsia"/>
                      <w:b/>
                      <w:color w:val="auto"/>
                      <w:szCs w:val="21"/>
                      <w:highlight w:val="none"/>
                      <w:u w:val="none"/>
                    </w:rPr>
                    <w:t>排放速率kg/h</w:t>
                  </w:r>
                </w:p>
              </w:tc>
              <w:tc>
                <w:tcPr>
                  <w:tcW w:w="870" w:type="dxa"/>
                  <w:noWrap w:val="0"/>
                  <w:vAlign w:val="center"/>
                </w:tcPr>
                <w:p>
                  <w:pPr>
                    <w:adjustRightInd w:val="0"/>
                    <w:snapToGrid w:val="0"/>
                    <w:jc w:val="center"/>
                    <w:rPr>
                      <w:rFonts w:hint="eastAsia"/>
                      <w:b/>
                      <w:color w:val="auto"/>
                      <w:szCs w:val="21"/>
                      <w:highlight w:val="none"/>
                      <w:u w:val="none"/>
                    </w:rPr>
                  </w:pPr>
                  <w:r>
                    <w:rPr>
                      <w:rFonts w:hint="eastAsia"/>
                      <w:b/>
                      <w:color w:val="auto"/>
                      <w:szCs w:val="21"/>
                      <w:highlight w:val="none"/>
                      <w:u w:val="none"/>
                    </w:rPr>
                    <w:t>排放</w:t>
                  </w:r>
                </w:p>
                <w:p>
                  <w:pPr>
                    <w:adjustRightInd w:val="0"/>
                    <w:snapToGrid w:val="0"/>
                    <w:jc w:val="center"/>
                    <w:rPr>
                      <w:rFonts w:hint="eastAsia"/>
                      <w:b/>
                      <w:color w:val="auto"/>
                      <w:szCs w:val="21"/>
                      <w:highlight w:val="none"/>
                      <w:u w:val="none"/>
                    </w:rPr>
                  </w:pPr>
                  <w:r>
                    <w:rPr>
                      <w:rFonts w:hint="eastAsia"/>
                      <w:b/>
                      <w:color w:val="auto"/>
                      <w:szCs w:val="21"/>
                      <w:highlight w:val="none"/>
                      <w:u w:val="none"/>
                    </w:rPr>
                    <w:t>浓度mg/m</w:t>
                  </w:r>
                  <w:r>
                    <w:rPr>
                      <w:rFonts w:hint="eastAsia"/>
                      <w:b/>
                      <w:color w:val="auto"/>
                      <w:szCs w:val="21"/>
                      <w:highlight w:val="none"/>
                      <w:u w:val="none"/>
                      <w:vertAlign w:val="superscript"/>
                    </w:rPr>
                    <w:t>3</w:t>
                  </w:r>
                </w:p>
              </w:tc>
              <w:tc>
                <w:tcPr>
                  <w:tcW w:w="965" w:type="dxa"/>
                  <w:noWrap w:val="0"/>
                  <w:vAlign w:val="center"/>
                </w:tcPr>
                <w:p>
                  <w:pPr>
                    <w:adjustRightInd w:val="0"/>
                    <w:snapToGrid w:val="0"/>
                    <w:jc w:val="center"/>
                    <w:rPr>
                      <w:rFonts w:hint="eastAsia"/>
                      <w:b/>
                      <w:color w:val="auto"/>
                      <w:szCs w:val="21"/>
                      <w:highlight w:val="none"/>
                      <w:u w:val="none"/>
                    </w:rPr>
                  </w:pPr>
                  <w:r>
                    <w:rPr>
                      <w:rFonts w:hint="eastAsia"/>
                      <w:b/>
                      <w:color w:val="auto"/>
                      <w:szCs w:val="21"/>
                      <w:highlight w:val="none"/>
                      <w:u w:val="no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9"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eastAsia="zh-CN"/>
                    </w:rPr>
                  </w:pPr>
                  <w:r>
                    <w:rPr>
                      <w:rFonts w:hint="default" w:ascii="Times New Roman" w:hAnsi="Times New Roman" w:cs="Times New Roman"/>
                      <w:b w:val="0"/>
                      <w:bCs w:val="0"/>
                      <w:color w:val="auto"/>
                      <w:sz w:val="21"/>
                      <w:szCs w:val="21"/>
                      <w:highlight w:val="none"/>
                      <w:lang w:val="en-US" w:eastAsia="zh-CN"/>
                    </w:rPr>
                    <w:t>酸电解槽</w:t>
                  </w:r>
                </w:p>
              </w:tc>
              <w:tc>
                <w:tcPr>
                  <w:tcW w:w="91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lang w:val="en-US" w:eastAsia="zh-CN"/>
                    </w:rPr>
                    <w:t>硫酸雾</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1.64</w:t>
                  </w:r>
                </w:p>
              </w:tc>
              <w:tc>
                <w:tcPr>
                  <w:tcW w:w="9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100%</w:t>
                  </w:r>
                </w:p>
              </w:tc>
              <w:tc>
                <w:tcPr>
                  <w:tcW w:w="9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Times New Roman"/>
                      <w:color w:val="auto"/>
                      <w:kern w:val="0"/>
                      <w:szCs w:val="21"/>
                      <w:highlight w:val="none"/>
                      <w:u w:val="single" w:color="auto"/>
                      <w:lang w:val="en-US" w:eastAsia="zh-CN" w:bidi="ar"/>
                    </w:rPr>
                    <w:t>90%</w:t>
                  </w:r>
                </w:p>
              </w:tc>
              <w:tc>
                <w:tcPr>
                  <w:tcW w:w="8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ascii="Times New Roman" w:hAnsi="Times New Roman" w:eastAsia="宋体" w:cs="Times New Roman"/>
                      <w:color w:val="auto"/>
                      <w:kern w:val="0"/>
                      <w:szCs w:val="21"/>
                      <w:highlight w:val="none"/>
                      <w:u w:val="single" w:color="auto"/>
                      <w:lang w:val="en-US" w:eastAsia="zh-CN" w:bidi="ar"/>
                    </w:rPr>
                    <w:t>0.</w:t>
                  </w:r>
                  <w:r>
                    <w:rPr>
                      <w:rFonts w:hint="eastAsia" w:cs="Times New Roman"/>
                      <w:color w:val="auto"/>
                      <w:kern w:val="0"/>
                      <w:szCs w:val="21"/>
                      <w:highlight w:val="none"/>
                      <w:u w:val="single" w:color="auto"/>
                      <w:lang w:val="en-US" w:eastAsia="zh-CN" w:bidi="ar"/>
                    </w:rPr>
                    <w:t>164</w:t>
                  </w:r>
                </w:p>
              </w:tc>
              <w:tc>
                <w:tcPr>
                  <w:tcW w:w="80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ascii="Times New Roman" w:hAnsi="Times New Roman" w:eastAsia="宋体" w:cs="Times New Roman"/>
                      <w:color w:val="auto"/>
                      <w:kern w:val="0"/>
                      <w:szCs w:val="21"/>
                      <w:highlight w:val="none"/>
                      <w:u w:val="single" w:color="auto"/>
                      <w:lang w:val="en-US" w:eastAsia="zh-CN" w:bidi="ar"/>
                    </w:rPr>
                    <w:t>0.</w:t>
                  </w:r>
                  <w:r>
                    <w:rPr>
                      <w:rFonts w:hint="eastAsia" w:cs="Times New Roman"/>
                      <w:color w:val="auto"/>
                      <w:kern w:val="0"/>
                      <w:szCs w:val="21"/>
                      <w:highlight w:val="none"/>
                      <w:u w:val="single" w:color="auto"/>
                      <w:lang w:val="en-US" w:eastAsia="zh-CN" w:bidi="ar"/>
                    </w:rPr>
                    <w:t>021</w:t>
                  </w:r>
                </w:p>
              </w:tc>
              <w:tc>
                <w:tcPr>
                  <w:tcW w:w="8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10.35</w:t>
                  </w:r>
                </w:p>
              </w:tc>
              <w:tc>
                <w:tcPr>
                  <w:tcW w:w="965"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有组织/DA007</w:t>
                  </w:r>
                </w:p>
              </w:tc>
            </w:tr>
          </w:tbl>
          <w:p>
            <w:pPr>
              <w:pStyle w:val="62"/>
              <w:bidi w:val="0"/>
              <w:rPr>
                <w:rFonts w:hint="default"/>
                <w:color w:val="auto"/>
                <w:sz w:val="24"/>
                <w:szCs w:val="24"/>
                <w:highlight w:val="none"/>
                <w:u w:val="single" w:color="auto"/>
                <w:lang w:val="en-US" w:eastAsia="zh-CN"/>
              </w:rPr>
            </w:pPr>
            <w:r>
              <w:rPr>
                <w:rFonts w:hint="eastAsia"/>
                <w:color w:val="auto"/>
                <w:sz w:val="24"/>
                <w:szCs w:val="24"/>
                <w:highlight w:val="none"/>
                <w:u w:val="single" w:color="auto"/>
                <w:lang w:val="en-US" w:eastAsia="zh-CN"/>
              </w:rPr>
              <w:t>（2）硫酸罐及高位罐大小呼吸废气</w:t>
            </w:r>
          </w:p>
          <w:p>
            <w:pPr>
              <w:widowControl/>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u w:val="single" w:color="auto"/>
                <w:lang w:eastAsia="zh-CN"/>
              </w:rPr>
            </w:pPr>
            <w:r>
              <w:rPr>
                <w:rFonts w:ascii="Times New Roman" w:hAnsi="Times New Roman" w:cs="Times New Roman"/>
                <w:color w:val="auto"/>
                <w:kern w:val="0"/>
                <w:sz w:val="24"/>
                <w:szCs w:val="24"/>
                <w:highlight w:val="none"/>
                <w:u w:val="single" w:color="auto"/>
              </w:rPr>
              <w:t>本项目</w:t>
            </w:r>
            <w:r>
              <w:rPr>
                <w:rFonts w:hint="eastAsia" w:cs="Times New Roman"/>
                <w:color w:val="auto"/>
                <w:kern w:val="0"/>
                <w:sz w:val="24"/>
                <w:szCs w:val="24"/>
                <w:highlight w:val="none"/>
                <w:u w:val="single" w:color="auto"/>
                <w:lang w:val="en-US" w:eastAsia="zh-CN"/>
              </w:rPr>
              <w:t>依托现有</w:t>
            </w:r>
            <w:r>
              <w:rPr>
                <w:rFonts w:hint="eastAsia" w:cs="Times New Roman"/>
                <w:color w:val="auto"/>
                <w:kern w:val="0"/>
                <w:sz w:val="24"/>
                <w:szCs w:val="24"/>
                <w:highlight w:val="none"/>
                <w:u w:val="single" w:color="auto"/>
                <w:lang w:eastAsia="zh-CN"/>
              </w:rPr>
              <w:t>硫酸</w:t>
            </w:r>
            <w:r>
              <w:rPr>
                <w:rFonts w:ascii="Times New Roman" w:hAnsi="Times New Roman" w:cs="Times New Roman"/>
                <w:color w:val="auto"/>
                <w:kern w:val="0"/>
                <w:sz w:val="24"/>
                <w:szCs w:val="24"/>
                <w:highlight w:val="none"/>
                <w:u w:val="single" w:color="auto"/>
              </w:rPr>
              <w:t>储罐</w:t>
            </w:r>
            <w:r>
              <w:rPr>
                <w:rFonts w:hint="eastAsia" w:cs="Times New Roman"/>
                <w:color w:val="auto"/>
                <w:kern w:val="0"/>
                <w:sz w:val="24"/>
                <w:szCs w:val="24"/>
                <w:highlight w:val="none"/>
                <w:u w:val="single" w:color="auto"/>
                <w:lang w:eastAsia="zh-CN"/>
              </w:rPr>
              <w:t>和</w:t>
            </w:r>
            <w:r>
              <w:rPr>
                <w:rFonts w:hint="eastAsia" w:hAnsi="宋体"/>
                <w:color w:val="auto"/>
                <w:sz w:val="24"/>
                <w:szCs w:val="24"/>
                <w:highlight w:val="none"/>
                <w:u w:val="single"/>
              </w:rPr>
              <w:t>高位</w:t>
            </w:r>
            <w:r>
              <w:rPr>
                <w:rFonts w:hint="eastAsia" w:hAnsi="宋体"/>
                <w:color w:val="auto"/>
                <w:sz w:val="24"/>
                <w:szCs w:val="24"/>
                <w:highlight w:val="none"/>
                <w:u w:val="single"/>
                <w:lang w:eastAsia="zh-CN"/>
              </w:rPr>
              <w:t>罐</w:t>
            </w:r>
            <w:r>
              <w:rPr>
                <w:rFonts w:ascii="Times New Roman" w:hAnsi="Times New Roman" w:cs="Times New Roman"/>
                <w:color w:val="auto"/>
                <w:kern w:val="0"/>
                <w:sz w:val="24"/>
                <w:szCs w:val="24"/>
                <w:highlight w:val="none"/>
                <w:u w:val="single" w:color="auto"/>
              </w:rPr>
              <w:t>为</w:t>
            </w:r>
            <w:r>
              <w:rPr>
                <w:rFonts w:hint="eastAsia" w:cs="Times New Roman"/>
                <w:color w:val="auto"/>
                <w:kern w:val="0"/>
                <w:sz w:val="24"/>
                <w:szCs w:val="24"/>
                <w:highlight w:val="none"/>
                <w:u w:val="single" w:color="auto"/>
                <w:lang w:eastAsia="zh-CN"/>
              </w:rPr>
              <w:t>固定</w:t>
            </w:r>
            <w:r>
              <w:rPr>
                <w:rFonts w:ascii="Times New Roman" w:hAnsi="Times New Roman" w:cs="Times New Roman"/>
                <w:color w:val="auto"/>
                <w:kern w:val="0"/>
                <w:sz w:val="24"/>
                <w:szCs w:val="24"/>
                <w:highlight w:val="none"/>
                <w:u w:val="single" w:color="auto"/>
              </w:rPr>
              <w:t>顶罐，储罐大小呼吸废气（工作损失、静置储藏损失）产生情况采用《排污许可证申请与核发技术规范 石化工业》（HJ 853-2017）</w:t>
            </w:r>
            <w:r>
              <w:rPr>
                <w:rFonts w:hint="eastAsia" w:cs="Times New Roman"/>
                <w:color w:val="auto"/>
                <w:kern w:val="0"/>
                <w:sz w:val="24"/>
                <w:szCs w:val="24"/>
                <w:highlight w:val="none"/>
                <w:u w:val="single" w:color="auto"/>
                <w:lang w:eastAsia="zh-CN"/>
              </w:rPr>
              <w:t>和《石化行业VOCs污染源排查工作指南》</w:t>
            </w:r>
            <w:r>
              <w:rPr>
                <w:rFonts w:ascii="Times New Roman" w:hAnsi="Times New Roman" w:cs="Times New Roman"/>
                <w:color w:val="auto"/>
                <w:kern w:val="0"/>
                <w:sz w:val="24"/>
                <w:szCs w:val="24"/>
                <w:highlight w:val="none"/>
                <w:u w:val="single" w:color="auto"/>
              </w:rPr>
              <w:t>中推荐公式进行核算。储罐小呼吸即静置损失</w:t>
            </w:r>
            <w:r>
              <w:rPr>
                <w:rFonts w:hint="eastAsia" w:cs="Times New Roman"/>
                <w:color w:val="auto"/>
                <w:kern w:val="0"/>
                <w:sz w:val="24"/>
                <w:szCs w:val="24"/>
                <w:highlight w:val="none"/>
                <w:u w:val="single" w:color="auto"/>
                <w:lang w:eastAsia="zh-CN"/>
              </w:rPr>
              <w:t>在现有工程已考虑，本次不重复计算，大呼吸见下列公式：</w:t>
            </w:r>
          </w:p>
          <w:p>
            <w:pPr>
              <w:widowControl/>
              <w:adjustRightInd w:val="0"/>
              <w:snapToGrid w:val="0"/>
              <w:spacing w:line="360" w:lineRule="auto"/>
              <w:ind w:firstLine="480" w:firstLineChars="200"/>
              <w:jc w:val="left"/>
              <w:rPr>
                <w:rFonts w:ascii="Times New Roman" w:hAnsi="Times New Roman" w:cs="Times New Roman"/>
                <w:color w:val="auto"/>
                <w:kern w:val="0"/>
                <w:sz w:val="24"/>
                <w:szCs w:val="24"/>
                <w:highlight w:val="none"/>
                <w:u w:val="single" w:color="auto"/>
              </w:rPr>
            </w:pPr>
            <w:r>
              <w:rPr>
                <w:rFonts w:ascii="Times New Roman" w:hAnsi="Times New Roman" w:cs="Times New Roman"/>
                <w:color w:val="auto"/>
                <w:kern w:val="0"/>
                <w:sz w:val="24"/>
                <w:szCs w:val="24"/>
                <w:highlight w:val="none"/>
                <w:u w:val="single" w:color="auto"/>
              </w:rPr>
              <w:t>大呼吸即工作损耗，即装料或卸料时产生的损耗，计算公式如下：</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center"/>
              <w:textAlignment w:val="auto"/>
              <w:rPr>
                <w:rFonts w:ascii="Times New Roman" w:hAnsi="Times New Roman" w:cs="Times New Roman"/>
                <w:color w:val="auto"/>
                <w:kern w:val="0"/>
                <w:sz w:val="24"/>
                <w:szCs w:val="24"/>
                <w:highlight w:val="none"/>
                <w:u w:val="single" w:color="auto"/>
              </w:rPr>
            </w:pPr>
            <w:r>
              <w:rPr>
                <w:rFonts w:ascii="Times New Roman" w:hAnsi="Times New Roman" w:cs="Times New Roman"/>
                <w:color w:val="auto"/>
                <w:kern w:val="0"/>
                <w:sz w:val="28"/>
                <w:szCs w:val="24"/>
                <w:highlight w:val="none"/>
                <w:u w:val="single" w:color="auto"/>
              </w:rPr>
              <w:drawing>
                <wp:inline distT="0" distB="0" distL="114300" distR="114300">
                  <wp:extent cx="1905000" cy="480060"/>
                  <wp:effectExtent l="0" t="0" r="0" b="1524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7"/>
                          <a:stretch>
                            <a:fillRect/>
                          </a:stretch>
                        </pic:blipFill>
                        <pic:spPr>
                          <a:xfrm>
                            <a:off x="0" y="0"/>
                            <a:ext cx="1905000" cy="4800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kern w:val="0"/>
                <w:sz w:val="24"/>
                <w:szCs w:val="24"/>
                <w:highlight w:val="none"/>
                <w:u w:val="single" w:color="auto"/>
              </w:rPr>
            </w:pPr>
            <w:r>
              <w:rPr>
                <w:rFonts w:ascii="Times New Roman" w:hAnsi="Times New Roman" w:cs="Times New Roman"/>
                <w:color w:val="auto"/>
                <w:kern w:val="0"/>
                <w:sz w:val="24"/>
                <w:szCs w:val="24"/>
                <w:highlight w:val="none"/>
                <w:u w:val="single" w:color="auto"/>
              </w:rPr>
              <w:t>式中：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kern w:val="0"/>
                <w:sz w:val="24"/>
                <w:szCs w:val="24"/>
                <w:highlight w:val="none"/>
                <w:u w:val="single" w:color="auto"/>
              </w:rPr>
            </w:pPr>
            <w:r>
              <w:rPr>
                <w:rFonts w:ascii="Times New Roman" w:hAnsi="Times New Roman" w:cs="Times New Roman"/>
                <w:color w:val="auto"/>
                <w:kern w:val="0"/>
                <w:sz w:val="24"/>
                <w:szCs w:val="24"/>
                <w:highlight w:val="none"/>
                <w:u w:val="single" w:color="auto"/>
              </w:rPr>
              <w:t>L</w:t>
            </w:r>
            <w:r>
              <w:rPr>
                <w:rFonts w:ascii="Times New Roman" w:hAnsi="Times New Roman" w:cs="Times New Roman"/>
                <w:color w:val="auto"/>
                <w:kern w:val="0"/>
                <w:sz w:val="24"/>
                <w:szCs w:val="24"/>
                <w:highlight w:val="none"/>
                <w:u w:val="single" w:color="auto"/>
                <w:vertAlign w:val="subscript"/>
              </w:rPr>
              <w:t>W</w:t>
            </w:r>
            <w:r>
              <w:rPr>
                <w:rFonts w:ascii="Times New Roman" w:hAnsi="Times New Roman" w:cs="Times New Roman"/>
                <w:color w:val="auto"/>
                <w:kern w:val="0"/>
                <w:sz w:val="24"/>
                <w:szCs w:val="24"/>
                <w:highlight w:val="none"/>
                <w:u w:val="single" w:color="auto"/>
              </w:rPr>
              <w:t xml:space="preserve"> 工作损耗，lb/a；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ascii="Times New Roman" w:hAnsi="Times New Roman" w:cs="Times New Roman"/>
                <w:color w:val="auto"/>
                <w:kern w:val="0"/>
                <w:sz w:val="24"/>
                <w:szCs w:val="24"/>
                <w:highlight w:val="none"/>
                <w:u w:val="single" w:color="auto"/>
              </w:rPr>
              <w:t>M</w:t>
            </w:r>
            <w:r>
              <w:rPr>
                <w:rFonts w:ascii="Times New Roman" w:hAnsi="Times New Roman" w:cs="Times New Roman"/>
                <w:color w:val="auto"/>
                <w:kern w:val="0"/>
                <w:sz w:val="24"/>
                <w:szCs w:val="24"/>
                <w:highlight w:val="none"/>
                <w:u w:val="single" w:color="auto"/>
                <w:vertAlign w:val="subscript"/>
              </w:rPr>
              <w:t>V</w:t>
            </w:r>
            <w:r>
              <w:rPr>
                <w:rFonts w:ascii="Times New Roman" w:hAnsi="Times New Roman" w:cs="Times New Roman"/>
                <w:color w:val="auto"/>
                <w:kern w:val="0"/>
                <w:sz w:val="24"/>
                <w:szCs w:val="24"/>
                <w:highlight w:val="none"/>
                <w:u w:val="single" w:color="auto"/>
              </w:rPr>
              <w:t xml:space="preserve"> 气相分子量</w:t>
            </w:r>
            <w:r>
              <w:rPr>
                <w:rFonts w:hint="eastAsia" w:cs="Times New Roman"/>
                <w:color w:val="auto"/>
                <w:kern w:val="0"/>
                <w:sz w:val="24"/>
                <w:szCs w:val="24"/>
                <w:highlight w:val="none"/>
                <w:u w:val="single" w:color="auto"/>
                <w:lang w:eastAsia="zh-CN"/>
              </w:rPr>
              <w:t>，</w:t>
            </w:r>
            <w:r>
              <w:rPr>
                <w:rFonts w:hint="eastAsia" w:cs="Times New Roman"/>
                <w:color w:val="auto"/>
                <w:kern w:val="0"/>
                <w:sz w:val="24"/>
                <w:szCs w:val="24"/>
                <w:highlight w:val="none"/>
                <w:u w:val="single" w:color="auto"/>
                <w:lang w:val="en-US" w:eastAsia="zh-CN"/>
              </w:rPr>
              <w:t>l</w:t>
            </w:r>
            <w:r>
              <w:rPr>
                <w:rFonts w:ascii="Times New Roman" w:hAnsi="Times New Roman" w:cs="Times New Roman"/>
                <w:color w:val="auto"/>
                <w:kern w:val="0"/>
                <w:sz w:val="24"/>
                <w:szCs w:val="24"/>
                <w:highlight w:val="none"/>
                <w:u w:val="single" w:color="auto"/>
              </w:rPr>
              <w:t>b-mol；</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ascii="Times New Roman" w:hAnsi="Times New Roman" w:cs="Times New Roman"/>
                <w:color w:val="auto"/>
                <w:kern w:val="0"/>
                <w:sz w:val="24"/>
                <w:szCs w:val="24"/>
                <w:highlight w:val="none"/>
                <w:u w:val="single" w:color="auto"/>
              </w:rPr>
              <w:t>P</w:t>
            </w:r>
            <w:r>
              <w:rPr>
                <w:rFonts w:ascii="Times New Roman" w:hAnsi="Times New Roman" w:cs="Times New Roman"/>
                <w:color w:val="auto"/>
                <w:kern w:val="0"/>
                <w:sz w:val="24"/>
                <w:szCs w:val="24"/>
                <w:highlight w:val="none"/>
                <w:u w:val="single" w:color="auto"/>
                <w:vertAlign w:val="subscript"/>
              </w:rPr>
              <w:t>VA</w:t>
            </w:r>
            <w:r>
              <w:rPr>
                <w:rFonts w:ascii="Times New Roman" w:hAnsi="Times New Roman" w:cs="Times New Roman"/>
                <w:color w:val="auto"/>
                <w:kern w:val="0"/>
                <w:sz w:val="24"/>
                <w:szCs w:val="24"/>
                <w:highlight w:val="none"/>
                <w:u w:val="single" w:color="auto"/>
              </w:rPr>
              <w:t xml:space="preserve"> 真实蒸汽压，psia</w:t>
            </w:r>
            <w:r>
              <w:rPr>
                <w:rFonts w:hint="eastAsia" w:cs="Times New Roman"/>
                <w:color w:val="auto"/>
                <w:kern w:val="0"/>
                <w:sz w:val="24"/>
                <w:szCs w:val="24"/>
                <w:highlight w:val="none"/>
                <w:u w:val="single" w:color="auto"/>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ascii="Times New Roman" w:hAnsi="Times New Roman" w:cs="Times New Roman"/>
                <w:color w:val="auto"/>
                <w:kern w:val="0"/>
                <w:sz w:val="24"/>
                <w:szCs w:val="24"/>
                <w:highlight w:val="none"/>
                <w:u w:val="single" w:color="auto"/>
              </w:rPr>
              <w:t>Q 年周转量，bbl/a；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kern w:val="0"/>
                <w:sz w:val="24"/>
                <w:szCs w:val="24"/>
                <w:highlight w:val="none"/>
                <w:u w:val="single" w:color="auto"/>
              </w:rPr>
            </w:pPr>
            <w:r>
              <w:rPr>
                <w:rFonts w:ascii="Times New Roman" w:hAnsi="Times New Roman" w:cs="Times New Roman"/>
                <w:color w:val="auto"/>
                <w:kern w:val="0"/>
                <w:sz w:val="24"/>
                <w:szCs w:val="24"/>
                <w:highlight w:val="none"/>
                <w:u w:val="single" w:color="auto"/>
              </w:rPr>
              <w:t>K</w:t>
            </w:r>
            <w:r>
              <w:rPr>
                <w:rFonts w:ascii="Times New Roman" w:hAnsi="Times New Roman" w:cs="Times New Roman"/>
                <w:color w:val="auto"/>
                <w:kern w:val="0"/>
                <w:sz w:val="24"/>
                <w:szCs w:val="24"/>
                <w:highlight w:val="none"/>
                <w:u w:val="single" w:color="auto"/>
                <w:vertAlign w:val="subscript"/>
              </w:rPr>
              <w:t>P</w:t>
            </w:r>
            <w:r>
              <w:rPr>
                <w:rFonts w:ascii="Times New Roman" w:hAnsi="Times New Roman" w:cs="Times New Roman"/>
                <w:color w:val="auto"/>
                <w:kern w:val="0"/>
                <w:sz w:val="24"/>
                <w:szCs w:val="24"/>
                <w:highlight w:val="none"/>
                <w:u w:val="single" w:color="auto"/>
              </w:rPr>
              <w:t xml:space="preserve"> 工作损耗产品因子，无量纲量；对于原油 K</w:t>
            </w:r>
            <w:r>
              <w:rPr>
                <w:rFonts w:ascii="Times New Roman" w:hAnsi="Times New Roman" w:cs="Times New Roman"/>
                <w:color w:val="auto"/>
                <w:kern w:val="0"/>
                <w:sz w:val="24"/>
                <w:szCs w:val="24"/>
                <w:highlight w:val="none"/>
                <w:u w:val="single" w:color="auto"/>
                <w:vertAlign w:val="subscript"/>
              </w:rPr>
              <w:t>P</w:t>
            </w:r>
            <w:r>
              <w:rPr>
                <w:rFonts w:ascii="Times New Roman" w:hAnsi="Times New Roman" w:cs="Times New Roman"/>
                <w:color w:val="auto"/>
                <w:kern w:val="0"/>
                <w:sz w:val="24"/>
                <w:szCs w:val="24"/>
                <w:highlight w:val="none"/>
                <w:u w:val="single" w:color="auto"/>
              </w:rPr>
              <w:t>=0.75；对于其它有机液体 K</w:t>
            </w:r>
            <w:r>
              <w:rPr>
                <w:rFonts w:ascii="Times New Roman" w:hAnsi="Times New Roman" w:cs="Times New Roman"/>
                <w:color w:val="auto"/>
                <w:kern w:val="0"/>
                <w:sz w:val="24"/>
                <w:szCs w:val="24"/>
                <w:highlight w:val="none"/>
                <w:u w:val="single" w:color="auto"/>
                <w:vertAlign w:val="subscript"/>
              </w:rPr>
              <w:t>P</w:t>
            </w:r>
            <w:r>
              <w:rPr>
                <w:rFonts w:ascii="Times New Roman" w:hAnsi="Times New Roman" w:cs="Times New Roman"/>
                <w:color w:val="auto"/>
                <w:kern w:val="0"/>
                <w:sz w:val="24"/>
                <w:szCs w:val="24"/>
                <w:highlight w:val="none"/>
                <w:u w:val="single" w:color="auto"/>
              </w:rPr>
              <w:t>=1；</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ascii="Times New Roman" w:hAnsi="Times New Roman" w:cs="Times New Roman"/>
                <w:color w:val="auto"/>
                <w:kern w:val="0"/>
                <w:sz w:val="24"/>
                <w:szCs w:val="24"/>
                <w:highlight w:val="none"/>
                <w:u w:val="single" w:color="auto"/>
              </w:rPr>
              <w:t>K</w:t>
            </w:r>
            <w:r>
              <w:rPr>
                <w:rFonts w:ascii="Times New Roman" w:hAnsi="Times New Roman" w:cs="Times New Roman"/>
                <w:color w:val="auto"/>
                <w:kern w:val="0"/>
                <w:sz w:val="24"/>
                <w:szCs w:val="24"/>
                <w:highlight w:val="none"/>
                <w:u w:val="single" w:color="auto"/>
                <w:vertAlign w:val="subscript"/>
              </w:rPr>
              <w:t>N</w:t>
            </w:r>
            <w:r>
              <w:rPr>
                <w:rFonts w:ascii="Times New Roman" w:hAnsi="Times New Roman" w:cs="Times New Roman"/>
                <w:color w:val="auto"/>
                <w:kern w:val="0"/>
                <w:sz w:val="24"/>
                <w:szCs w:val="24"/>
                <w:highlight w:val="none"/>
                <w:u w:val="single" w:color="auto"/>
              </w:rPr>
              <w:t>工作排放周转（饱和）因子，无量纲量；当周转数＞36，K</w:t>
            </w:r>
            <w:r>
              <w:rPr>
                <w:rFonts w:ascii="Times New Roman" w:hAnsi="Times New Roman" w:cs="Times New Roman"/>
                <w:color w:val="auto"/>
                <w:kern w:val="0"/>
                <w:sz w:val="24"/>
                <w:szCs w:val="24"/>
                <w:highlight w:val="none"/>
                <w:u w:val="single" w:color="auto"/>
                <w:vertAlign w:val="subscript"/>
              </w:rPr>
              <w:t>N</w:t>
            </w:r>
            <w:r>
              <w:rPr>
                <w:rFonts w:ascii="Times New Roman" w:hAnsi="Times New Roman" w:cs="Times New Roman"/>
                <w:color w:val="auto"/>
                <w:kern w:val="0"/>
                <w:sz w:val="24"/>
                <w:szCs w:val="24"/>
                <w:highlight w:val="none"/>
                <w:u w:val="single" w:color="auto"/>
              </w:rPr>
              <w:t>=（180+N）/6N；当周转数≤36，K</w:t>
            </w:r>
            <w:r>
              <w:rPr>
                <w:rFonts w:ascii="Times New Roman" w:hAnsi="Times New Roman" w:cs="Times New Roman"/>
                <w:color w:val="auto"/>
                <w:kern w:val="0"/>
                <w:sz w:val="24"/>
                <w:szCs w:val="24"/>
                <w:highlight w:val="none"/>
                <w:u w:val="single" w:color="auto"/>
                <w:vertAlign w:val="subscript"/>
              </w:rPr>
              <w:t>N</w:t>
            </w:r>
            <w:r>
              <w:rPr>
                <w:rFonts w:ascii="Times New Roman" w:hAnsi="Times New Roman" w:cs="Times New Roman"/>
                <w:color w:val="auto"/>
                <w:kern w:val="0"/>
                <w:sz w:val="24"/>
                <w:szCs w:val="24"/>
                <w:highlight w:val="none"/>
                <w:u w:val="single" w:color="auto"/>
              </w:rPr>
              <w:t>=1；</w:t>
            </w:r>
          </w:p>
          <w:p>
            <w:pPr>
              <w:widowControl/>
              <w:adjustRightInd w:val="0"/>
              <w:snapToGrid w:val="0"/>
              <w:ind w:firstLineChars="200"/>
              <w:jc w:val="left"/>
              <w:rPr>
                <w:rFonts w:cs="Times New Roman"/>
                <w:b w:val="0"/>
                <w:bCs w:val="0"/>
                <w:color w:val="auto"/>
                <w:kern w:val="0"/>
                <w:sz w:val="24"/>
                <w:szCs w:val="24"/>
                <w:highlight w:val="none"/>
                <w:u w:val="single" w:color="auto"/>
              </w:rPr>
            </w:pPr>
            <w:r>
              <w:rPr>
                <w:rFonts w:ascii="Times New Roman" w:hAnsi="Times New Roman" w:cs="Times New Roman"/>
                <w:color w:val="auto"/>
                <w:kern w:val="0"/>
                <w:sz w:val="24"/>
                <w:szCs w:val="24"/>
                <w:highlight w:val="none"/>
                <w:u w:val="single" w:color="auto"/>
              </w:rPr>
              <w:t>K</w:t>
            </w:r>
            <w:r>
              <w:rPr>
                <w:rFonts w:ascii="Times New Roman" w:hAnsi="Times New Roman" w:cs="Times New Roman"/>
                <w:color w:val="auto"/>
                <w:kern w:val="0"/>
                <w:sz w:val="24"/>
                <w:szCs w:val="24"/>
                <w:highlight w:val="none"/>
                <w:u w:val="single" w:color="auto"/>
                <w:vertAlign w:val="subscript"/>
              </w:rPr>
              <w:t>B</w:t>
            </w:r>
            <w:r>
              <w:rPr>
                <w:rFonts w:ascii="Times New Roman" w:hAnsi="Times New Roman" w:cs="Times New Roman"/>
                <w:color w:val="auto"/>
                <w:kern w:val="0"/>
                <w:sz w:val="24"/>
                <w:szCs w:val="24"/>
                <w:highlight w:val="none"/>
                <w:u w:val="single" w:color="auto"/>
              </w:rPr>
              <w:t>呼吸阀工作校正因子</w:t>
            </w:r>
            <w:r>
              <w:rPr>
                <w:rFonts w:hint="eastAsia" w:ascii="Times New Roman" w:hAnsi="Times New Roman" w:cs="Times New Roman"/>
                <w:color w:val="auto"/>
                <w:kern w:val="0"/>
                <w:sz w:val="24"/>
                <w:szCs w:val="24"/>
                <w:highlight w:val="none"/>
                <w:u w:val="single" w:color="auto"/>
              </w:rPr>
              <w:t>，</w:t>
            </w:r>
            <w:r>
              <w:rPr>
                <w:rFonts w:cs="Times New Roman"/>
                <w:b w:val="0"/>
                <w:bCs w:val="0"/>
                <w:color w:val="auto"/>
                <w:kern w:val="0"/>
                <w:sz w:val="24"/>
                <w:szCs w:val="24"/>
                <w:highlight w:val="none"/>
                <w:u w:val="single" w:color="auto"/>
              </w:rPr>
              <w:t>K</w:t>
            </w:r>
            <w:r>
              <w:rPr>
                <w:rFonts w:cs="Times New Roman"/>
                <w:b w:val="0"/>
                <w:bCs w:val="0"/>
                <w:color w:val="auto"/>
                <w:kern w:val="0"/>
                <w:sz w:val="24"/>
                <w:szCs w:val="24"/>
                <w:highlight w:val="none"/>
                <w:u w:val="single" w:color="auto"/>
                <w:vertAlign w:val="subscript"/>
              </w:rPr>
              <w:t>B</w:t>
            </w:r>
            <w:r>
              <w:rPr>
                <w:rFonts w:cs="Times New Roman"/>
                <w:b w:val="0"/>
                <w:bCs w:val="0"/>
                <w:color w:val="auto"/>
                <w:kern w:val="0"/>
                <w:sz w:val="24"/>
                <w:szCs w:val="24"/>
                <w:highlight w:val="none"/>
                <w:u w:val="single" w:color="auto"/>
              </w:rPr>
              <w:t>计算公式详见《石化行业VOCs污染源排查工作指南》。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hint="eastAsia" w:cs="Times New Roman"/>
                <w:color w:val="auto"/>
                <w:kern w:val="0"/>
                <w:sz w:val="24"/>
                <w:szCs w:val="24"/>
                <w:highlight w:val="none"/>
                <w:u w:val="single" w:color="auto"/>
                <w:lang w:val="en-US" w:eastAsia="zh-CN"/>
              </w:rPr>
              <w:t>T</w:t>
            </w:r>
            <w:r>
              <w:rPr>
                <w:rFonts w:hint="eastAsia" w:cs="Times New Roman"/>
                <w:color w:val="auto"/>
                <w:kern w:val="0"/>
                <w:sz w:val="24"/>
                <w:szCs w:val="24"/>
                <w:highlight w:val="none"/>
                <w:u w:val="single" w:color="auto"/>
                <w:vertAlign w:val="subscript"/>
                <w:lang w:val="en-US" w:eastAsia="zh-CN"/>
              </w:rPr>
              <w:t>LA</w:t>
            </w:r>
            <w:r>
              <w:rPr>
                <w:rFonts w:hint="eastAsia" w:cs="Times New Roman"/>
                <w:color w:val="auto"/>
                <w:kern w:val="0"/>
                <w:sz w:val="24"/>
                <w:szCs w:val="24"/>
                <w:highlight w:val="none"/>
                <w:u w:val="single" w:color="auto"/>
                <w:vertAlign w:val="baseline"/>
                <w:lang w:val="en-US" w:eastAsia="zh-CN"/>
              </w:rPr>
              <w:t>日平均液体表面温度，</w:t>
            </w:r>
            <w:r>
              <w:rPr>
                <w:rFonts w:hint="default" w:ascii="Times New Roman" w:hAnsi="Times New Roman" w:cs="Times New Roman"/>
                <w:color w:val="auto"/>
                <w:kern w:val="0"/>
                <w:sz w:val="24"/>
                <w:szCs w:val="24"/>
                <w:highlight w:val="none"/>
                <w:u w:val="single" w:color="auto"/>
                <w:vertAlign w:val="baseline"/>
                <w:lang w:val="en-US" w:eastAsia="zh-CN"/>
              </w:rPr>
              <w:t>°R</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hint="eastAsia" w:cs="Times New Roman"/>
                <w:color w:val="auto"/>
                <w:kern w:val="0"/>
                <w:sz w:val="24"/>
                <w:szCs w:val="24"/>
                <w:highlight w:val="none"/>
                <w:u w:val="single" w:color="auto"/>
                <w:lang w:val="en-US" w:eastAsia="zh-CN"/>
              </w:rPr>
              <w:t>R理想气体状态常数，10.741lb/lb-mol·ft·</w:t>
            </w:r>
            <w:r>
              <w:rPr>
                <w:rFonts w:hint="default" w:ascii="Times New Roman" w:hAnsi="Times New Roman" w:cs="Times New Roman"/>
                <w:color w:val="auto"/>
                <w:kern w:val="0"/>
                <w:sz w:val="24"/>
                <w:szCs w:val="24"/>
                <w:highlight w:val="none"/>
                <w:u w:val="single" w:color="auto"/>
                <w:vertAlign w:val="baseline"/>
                <w:lang w:val="en-US" w:eastAsia="zh-CN"/>
              </w:rPr>
              <w:t>°R</w:t>
            </w:r>
            <w:r>
              <w:rPr>
                <w:rFonts w:hint="eastAsia" w:cs="Times New Roman"/>
                <w:color w:val="auto"/>
                <w:kern w:val="0"/>
                <w:sz w:val="24"/>
                <w:szCs w:val="24"/>
                <w:highlight w:val="none"/>
                <w:u w:val="single" w:color="auto"/>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0"/>
                <w:sz w:val="24"/>
                <w:szCs w:val="24"/>
                <w:highlight w:val="none"/>
                <w:u w:val="single" w:color="auto"/>
                <w:lang w:val="en-US" w:eastAsia="zh-CN"/>
              </w:rPr>
            </w:pPr>
            <w:r>
              <w:rPr>
                <w:rFonts w:hint="eastAsia" w:cs="Times New Roman"/>
                <w:color w:val="auto"/>
                <w:kern w:val="0"/>
                <w:sz w:val="24"/>
                <w:szCs w:val="24"/>
                <w:highlight w:val="none"/>
                <w:u w:val="single" w:color="auto"/>
                <w:lang w:eastAsia="zh-CN"/>
              </w:rPr>
              <w:t>硫酸年平均储存温度为</w:t>
            </w:r>
            <w:r>
              <w:rPr>
                <w:rFonts w:hint="eastAsia" w:cs="Times New Roman"/>
                <w:color w:val="auto"/>
                <w:kern w:val="0"/>
                <w:sz w:val="24"/>
                <w:szCs w:val="24"/>
                <w:highlight w:val="none"/>
                <w:u w:val="single" w:color="auto"/>
                <w:lang w:val="en-US" w:eastAsia="zh-CN"/>
              </w:rPr>
              <w:t>25℃，</w:t>
            </w:r>
            <w:r>
              <w:rPr>
                <w:rFonts w:hint="eastAsia" w:cs="Times New Roman"/>
                <w:color w:val="auto"/>
                <w:kern w:val="0"/>
                <w:sz w:val="24"/>
                <w:szCs w:val="24"/>
                <w:highlight w:val="none"/>
                <w:u w:val="single" w:color="auto"/>
                <w:lang w:eastAsia="zh-CN"/>
              </w:rPr>
              <w:t>真实蒸气压约为</w:t>
            </w:r>
            <w:r>
              <w:rPr>
                <w:rFonts w:hint="eastAsia" w:cs="Times New Roman"/>
                <w:color w:val="auto"/>
                <w:kern w:val="0"/>
                <w:sz w:val="24"/>
                <w:szCs w:val="24"/>
                <w:highlight w:val="none"/>
                <w:u w:val="single" w:color="auto"/>
                <w:lang w:val="en-US" w:eastAsia="zh-CN"/>
              </w:rPr>
              <w:t>0.2Pa，摩尔质量为98g/g-mol，密度为1.83t/m</w:t>
            </w:r>
            <w:r>
              <w:rPr>
                <w:rFonts w:hint="eastAsia" w:cs="Times New Roman"/>
                <w:color w:val="auto"/>
                <w:kern w:val="0"/>
                <w:sz w:val="24"/>
                <w:szCs w:val="24"/>
                <w:highlight w:val="none"/>
                <w:u w:val="single" w:color="auto"/>
                <w:vertAlign w:val="superscript"/>
                <w:lang w:val="en-US" w:eastAsia="zh-CN"/>
              </w:rPr>
              <w:t>3</w:t>
            </w:r>
            <w:r>
              <w:rPr>
                <w:rFonts w:hint="eastAsia" w:cs="Times New Roman"/>
                <w:color w:val="auto"/>
                <w:kern w:val="0"/>
                <w:sz w:val="24"/>
                <w:szCs w:val="24"/>
                <w:highlight w:val="none"/>
                <w:u w:val="single" w:color="auto"/>
                <w:lang w:val="en-US" w:eastAsia="zh-CN"/>
              </w:rPr>
              <w:t>，罐体涂漆颜色为红色，无呼吸阀压力。</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kern w:val="0"/>
                <w:sz w:val="24"/>
                <w:szCs w:val="24"/>
                <w:highlight w:val="none"/>
                <w:u w:val="single" w:color="auto"/>
              </w:rPr>
            </w:pPr>
            <w:r>
              <w:rPr>
                <w:rFonts w:ascii="Times New Roman" w:hAnsi="Times New Roman" w:cs="Times New Roman"/>
                <w:color w:val="auto"/>
                <w:kern w:val="0"/>
                <w:sz w:val="24"/>
                <w:szCs w:val="24"/>
                <w:highlight w:val="none"/>
                <w:u w:val="single" w:color="auto"/>
              </w:rPr>
              <w:t>按照以上公式核算</w:t>
            </w:r>
            <w:r>
              <w:rPr>
                <w:rFonts w:hint="eastAsia" w:cs="Times New Roman"/>
                <w:color w:val="auto"/>
                <w:kern w:val="0"/>
                <w:sz w:val="24"/>
                <w:szCs w:val="24"/>
                <w:highlight w:val="none"/>
                <w:u w:val="single" w:color="auto"/>
                <w:lang w:eastAsia="zh-CN"/>
              </w:rPr>
              <w:t>，本次改扩建硫酸罐的</w:t>
            </w:r>
            <w:r>
              <w:rPr>
                <w:rFonts w:ascii="Times New Roman" w:hAnsi="Times New Roman" w:cs="Times New Roman"/>
                <w:color w:val="auto"/>
                <w:kern w:val="0"/>
                <w:sz w:val="24"/>
                <w:szCs w:val="24"/>
                <w:highlight w:val="none"/>
                <w:u w:val="single" w:color="auto"/>
              </w:rPr>
              <w:t>大小呼吸量数据</w:t>
            </w:r>
            <w:r>
              <w:rPr>
                <w:rFonts w:hint="eastAsia" w:cs="Times New Roman"/>
                <w:color w:val="auto"/>
                <w:kern w:val="0"/>
                <w:sz w:val="24"/>
                <w:szCs w:val="24"/>
                <w:highlight w:val="none"/>
                <w:u w:val="single" w:color="auto"/>
                <w:lang w:eastAsia="zh-CN"/>
              </w:rPr>
              <w:t>见下表</w:t>
            </w:r>
            <w:r>
              <w:rPr>
                <w:rFonts w:ascii="Times New Roman" w:hAnsi="Times New Roman" w:cs="Times New Roman"/>
                <w:color w:val="auto"/>
                <w:kern w:val="0"/>
                <w:sz w:val="24"/>
                <w:szCs w:val="24"/>
                <w:highlight w:val="none"/>
                <w:u w:val="single" w:color="auto"/>
              </w:rPr>
              <w:t>。</w:t>
            </w:r>
          </w:p>
          <w:p>
            <w:pPr>
              <w:widowControl/>
              <w:adjustRightInd w:val="0"/>
              <w:snapToGrid w:val="0"/>
              <w:jc w:val="center"/>
              <w:outlineLvl w:val="5"/>
              <w:rPr>
                <w:rFonts w:ascii="Times New Roman" w:hAnsi="Times New Roman" w:cs="Times New Roman"/>
                <w:b/>
                <w:color w:val="auto"/>
                <w:kern w:val="0"/>
                <w:sz w:val="24"/>
                <w:szCs w:val="24"/>
                <w:highlight w:val="none"/>
                <w:u w:val="single"/>
              </w:rPr>
            </w:pPr>
          </w:p>
          <w:p>
            <w:pPr>
              <w:widowControl/>
              <w:adjustRightInd w:val="0"/>
              <w:snapToGrid w:val="0"/>
              <w:jc w:val="center"/>
              <w:outlineLvl w:val="5"/>
              <w:rPr>
                <w:rFonts w:ascii="Times New Roman" w:hAnsi="Times New Roman" w:cs="Times New Roman"/>
                <w:b/>
                <w:color w:val="auto"/>
                <w:kern w:val="0"/>
                <w:sz w:val="24"/>
                <w:szCs w:val="24"/>
                <w:highlight w:val="none"/>
                <w:u w:val="single"/>
              </w:rPr>
            </w:pPr>
          </w:p>
          <w:p>
            <w:pPr>
              <w:widowControl/>
              <w:adjustRightInd w:val="0"/>
              <w:snapToGrid w:val="0"/>
              <w:jc w:val="center"/>
              <w:outlineLvl w:val="5"/>
              <w:rPr>
                <w:rFonts w:ascii="Times New Roman" w:hAnsi="Times New Roman" w:cs="Times New Roman"/>
                <w:b/>
                <w:color w:val="auto"/>
                <w:kern w:val="0"/>
                <w:sz w:val="24"/>
                <w:szCs w:val="24"/>
                <w:highlight w:val="none"/>
                <w:u w:val="single"/>
              </w:rPr>
            </w:pPr>
            <w:r>
              <w:rPr>
                <w:rFonts w:ascii="Times New Roman" w:hAnsi="Times New Roman" w:cs="Times New Roman"/>
                <w:b/>
                <w:color w:val="auto"/>
                <w:kern w:val="0"/>
                <w:sz w:val="24"/>
                <w:szCs w:val="24"/>
                <w:highlight w:val="none"/>
                <w:u w:val="single"/>
              </w:rPr>
              <w:t>表4.</w:t>
            </w:r>
            <w:r>
              <w:rPr>
                <w:rFonts w:hint="eastAsia" w:cs="Times New Roman"/>
                <w:b/>
                <w:color w:val="auto"/>
                <w:kern w:val="0"/>
                <w:sz w:val="24"/>
                <w:szCs w:val="24"/>
                <w:highlight w:val="none"/>
                <w:u w:val="single"/>
                <w:lang w:val="en-US" w:eastAsia="zh-CN"/>
              </w:rPr>
              <w:t>2-4</w:t>
            </w:r>
            <w:r>
              <w:rPr>
                <w:rFonts w:ascii="Times New Roman" w:hAnsi="Times New Roman" w:cs="Times New Roman"/>
                <w:b/>
                <w:color w:val="auto"/>
                <w:kern w:val="0"/>
                <w:sz w:val="24"/>
                <w:szCs w:val="24"/>
                <w:highlight w:val="none"/>
                <w:u w:val="single"/>
              </w:rPr>
              <w:t xml:space="preserve"> 储罐区污染物产生情况一览表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6"/>
              <w:gridCol w:w="1201"/>
              <w:gridCol w:w="927"/>
              <w:gridCol w:w="1111"/>
              <w:gridCol w:w="782"/>
              <w:gridCol w:w="802"/>
              <w:gridCol w:w="803"/>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676" w:type="dxa"/>
                  <w:vMerge w:val="restart"/>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序号</w:t>
                  </w:r>
                </w:p>
              </w:tc>
              <w:tc>
                <w:tcPr>
                  <w:tcW w:w="1201" w:type="dxa"/>
                  <w:vMerge w:val="restart"/>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设备名称</w:t>
                  </w:r>
                </w:p>
              </w:tc>
              <w:tc>
                <w:tcPr>
                  <w:tcW w:w="927" w:type="dxa"/>
                  <w:vMerge w:val="restart"/>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储存物料</w:t>
                  </w:r>
                </w:p>
              </w:tc>
              <w:tc>
                <w:tcPr>
                  <w:tcW w:w="1111" w:type="dxa"/>
                  <w:vMerge w:val="restart"/>
                  <w:noWrap w:val="0"/>
                  <w:vAlign w:val="center"/>
                </w:tcPr>
                <w:p>
                  <w:pPr>
                    <w:widowControl/>
                    <w:overflowPunct w:val="0"/>
                    <w:adjustRightInd w:val="0"/>
                    <w:snapToGrid w:val="0"/>
                    <w:jc w:val="center"/>
                    <w:rPr>
                      <w:rFonts w:hint="eastAsia" w:ascii="Times New Roman" w:hAnsi="Times New Roman" w:eastAsia="宋体" w:cs="Times New Roman"/>
                      <w:color w:val="auto"/>
                      <w:kern w:val="0"/>
                      <w:szCs w:val="20"/>
                      <w:highlight w:val="none"/>
                      <w:u w:val="single"/>
                      <w:lang w:eastAsia="zh-CN"/>
                    </w:rPr>
                  </w:pPr>
                  <w:r>
                    <w:rPr>
                      <w:rFonts w:hint="eastAsia" w:cs="Times New Roman"/>
                      <w:color w:val="auto"/>
                      <w:kern w:val="0"/>
                      <w:szCs w:val="20"/>
                      <w:highlight w:val="none"/>
                      <w:u w:val="single"/>
                      <w:lang w:eastAsia="zh-CN"/>
                    </w:rPr>
                    <w:t>尺寸</w:t>
                  </w:r>
                </w:p>
              </w:tc>
              <w:tc>
                <w:tcPr>
                  <w:tcW w:w="782" w:type="dxa"/>
                  <w:vMerge w:val="restart"/>
                  <w:noWrap w:val="0"/>
                  <w:vAlign w:val="center"/>
                </w:tcPr>
                <w:p>
                  <w:pPr>
                    <w:widowControl/>
                    <w:overflowPunct w:val="0"/>
                    <w:adjustRightInd w:val="0"/>
                    <w:snapToGrid w:val="0"/>
                    <w:jc w:val="center"/>
                    <w:rPr>
                      <w:rFonts w:hint="default" w:ascii="Times New Roman" w:hAnsi="Times New Roman" w:eastAsia="宋体" w:cs="Times New Roman"/>
                      <w:color w:val="auto"/>
                      <w:kern w:val="0"/>
                      <w:szCs w:val="20"/>
                      <w:highlight w:val="none"/>
                      <w:u w:val="single"/>
                      <w:lang w:val="en-US" w:eastAsia="zh-CN"/>
                    </w:rPr>
                  </w:pPr>
                  <w:r>
                    <w:rPr>
                      <w:rFonts w:hint="eastAsia" w:cs="Times New Roman"/>
                      <w:color w:val="auto"/>
                      <w:kern w:val="0"/>
                      <w:szCs w:val="20"/>
                      <w:highlight w:val="none"/>
                      <w:u w:val="single"/>
                      <w:lang w:eastAsia="zh-CN"/>
                    </w:rPr>
                    <w:t>容积</w:t>
                  </w:r>
                  <w:r>
                    <w:rPr>
                      <w:rFonts w:hint="eastAsia" w:cs="Times New Roman"/>
                      <w:color w:val="auto"/>
                      <w:kern w:val="0"/>
                      <w:szCs w:val="20"/>
                      <w:highlight w:val="none"/>
                      <w:u w:val="single"/>
                      <w:lang w:val="en-US" w:eastAsia="zh-CN"/>
                    </w:rPr>
                    <w:t>m</w:t>
                  </w:r>
                  <w:r>
                    <w:rPr>
                      <w:rFonts w:hint="eastAsia" w:cs="Times New Roman"/>
                      <w:color w:val="auto"/>
                      <w:kern w:val="0"/>
                      <w:szCs w:val="20"/>
                      <w:highlight w:val="none"/>
                      <w:u w:val="single"/>
                      <w:vertAlign w:val="superscript"/>
                      <w:lang w:val="en-US" w:eastAsia="zh-CN"/>
                    </w:rPr>
                    <w:t>3</w:t>
                  </w:r>
                </w:p>
              </w:tc>
              <w:tc>
                <w:tcPr>
                  <w:tcW w:w="802" w:type="dxa"/>
                  <w:vMerge w:val="restart"/>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污染物</w:t>
                  </w:r>
                </w:p>
              </w:tc>
              <w:tc>
                <w:tcPr>
                  <w:tcW w:w="803" w:type="dxa"/>
                  <w:vMerge w:val="restart"/>
                  <w:noWrap w:val="0"/>
                  <w:vAlign w:val="center"/>
                </w:tcPr>
                <w:p>
                  <w:pPr>
                    <w:widowControl/>
                    <w:overflowPunct w:val="0"/>
                    <w:adjustRightInd w:val="0"/>
                    <w:snapToGrid w:val="0"/>
                    <w:jc w:val="center"/>
                    <w:rPr>
                      <w:rFonts w:hint="default" w:ascii="Times New Roman" w:hAnsi="Times New Roman" w:eastAsia="宋体" w:cs="Times New Roman"/>
                      <w:color w:val="auto"/>
                      <w:kern w:val="0"/>
                      <w:szCs w:val="20"/>
                      <w:highlight w:val="none"/>
                      <w:u w:val="single"/>
                      <w:lang w:val="en-US" w:eastAsia="zh-CN"/>
                    </w:rPr>
                  </w:pPr>
                  <w:r>
                    <w:rPr>
                      <w:rFonts w:hint="eastAsia" w:cs="Times New Roman"/>
                      <w:color w:val="auto"/>
                      <w:kern w:val="0"/>
                      <w:szCs w:val="20"/>
                      <w:highlight w:val="none"/>
                      <w:u w:val="single"/>
                      <w:lang w:eastAsia="zh-CN"/>
                    </w:rPr>
                    <w:t>周转量</w:t>
                  </w:r>
                  <w:r>
                    <w:rPr>
                      <w:rFonts w:hint="eastAsia" w:cs="Times New Roman"/>
                      <w:color w:val="auto"/>
                      <w:kern w:val="0"/>
                      <w:szCs w:val="20"/>
                      <w:highlight w:val="none"/>
                      <w:u w:val="single"/>
                      <w:lang w:val="en-US" w:eastAsia="zh-CN"/>
                    </w:rPr>
                    <w:t>t</w:t>
                  </w:r>
                </w:p>
              </w:tc>
              <w:tc>
                <w:tcPr>
                  <w:tcW w:w="1634" w:type="dxa"/>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676"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1201"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927"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1111"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782"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802"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803" w:type="dxa"/>
                  <w:vMerge w:val="continue"/>
                  <w:noWrap w:val="0"/>
                  <w:vAlign w:val="center"/>
                </w:tcPr>
                <w:p>
                  <w:pPr>
                    <w:widowControl/>
                    <w:overflowPunct w:val="0"/>
                    <w:adjustRightInd w:val="0"/>
                    <w:snapToGrid w:val="0"/>
                    <w:jc w:val="center"/>
                    <w:rPr>
                      <w:rFonts w:ascii="Times New Roman" w:hAnsi="Times New Roman" w:cs="Times New Roman"/>
                      <w:color w:val="auto"/>
                      <w:kern w:val="0"/>
                      <w:szCs w:val="20"/>
                      <w:highlight w:val="none"/>
                      <w:u w:val="single"/>
                    </w:rPr>
                  </w:pPr>
                </w:p>
              </w:tc>
              <w:tc>
                <w:tcPr>
                  <w:tcW w:w="1634" w:type="dxa"/>
                  <w:noWrap w:val="0"/>
                  <w:vAlign w:val="center"/>
                </w:tcPr>
                <w:p>
                  <w:pPr>
                    <w:widowControl/>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大呼吸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676" w:type="dxa"/>
                  <w:noWrap w:val="0"/>
                  <w:vAlign w:val="center"/>
                </w:tcPr>
                <w:p>
                  <w:pPr>
                    <w:widowControl/>
                    <w:adjustRightInd w:val="0"/>
                    <w:snapToGrid w:val="0"/>
                    <w:jc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szCs w:val="20"/>
                      <w:highlight w:val="none"/>
                      <w:u w:val="single"/>
                    </w:rPr>
                    <w:t>1</w:t>
                  </w:r>
                </w:p>
              </w:tc>
              <w:tc>
                <w:tcPr>
                  <w:tcW w:w="1201" w:type="dxa"/>
                  <w:noWrap w:val="0"/>
                  <w:vAlign w:val="center"/>
                </w:tcPr>
                <w:p>
                  <w:pPr>
                    <w:spacing w:line="287" w:lineRule="atLeast"/>
                    <w:jc w:val="center"/>
                    <w:textAlignment w:val="center"/>
                    <w:rPr>
                      <w:rFonts w:ascii="Times New Roman" w:hAnsi="Times New Roman" w:cs="Times New Roman"/>
                      <w:color w:val="auto"/>
                      <w:kern w:val="0"/>
                      <w:szCs w:val="20"/>
                      <w:highlight w:val="none"/>
                      <w:u w:val="single"/>
                    </w:rPr>
                  </w:pPr>
                  <w:r>
                    <w:rPr>
                      <w:rFonts w:ascii="Times New Roman" w:hAnsi="Times New Roman" w:cs="Times New Roman"/>
                      <w:color w:val="auto"/>
                      <w:kern w:val="0"/>
                      <w:highlight w:val="none"/>
                      <w:u w:val="single"/>
                    </w:rPr>
                    <w:t>储罐</w:t>
                  </w:r>
                </w:p>
              </w:tc>
              <w:tc>
                <w:tcPr>
                  <w:tcW w:w="927" w:type="dxa"/>
                  <w:noWrap w:val="0"/>
                  <w:vAlign w:val="center"/>
                </w:tcPr>
                <w:p>
                  <w:pPr>
                    <w:widowControl/>
                    <w:jc w:val="center"/>
                    <w:rPr>
                      <w:rFonts w:hint="eastAsia" w:ascii="Times New Roman" w:hAnsi="Times New Roman" w:eastAsia="宋体" w:cs="Times New Roman"/>
                      <w:color w:val="auto"/>
                      <w:kern w:val="0"/>
                      <w:szCs w:val="20"/>
                      <w:highlight w:val="none"/>
                      <w:u w:val="single"/>
                      <w:lang w:eastAsia="zh-CN"/>
                    </w:rPr>
                  </w:pPr>
                  <w:r>
                    <w:rPr>
                      <w:rFonts w:hint="eastAsia" w:cs="Times New Roman"/>
                      <w:color w:val="auto"/>
                      <w:kern w:val="0"/>
                      <w:highlight w:val="none"/>
                      <w:u w:val="single"/>
                      <w:lang w:eastAsia="zh-CN"/>
                    </w:rPr>
                    <w:t>硫酸</w:t>
                  </w:r>
                </w:p>
              </w:tc>
              <w:tc>
                <w:tcPr>
                  <w:tcW w:w="1111" w:type="dxa"/>
                  <w:noWrap w:val="0"/>
                  <w:vAlign w:val="center"/>
                </w:tcPr>
                <w:p>
                  <w:pPr>
                    <w:widowControl/>
                    <w:jc w:val="center"/>
                    <w:rPr>
                      <w:rFonts w:hint="eastAsia" w:cs="Times New Roman"/>
                      <w:color w:val="auto"/>
                      <w:kern w:val="0"/>
                      <w:highlight w:val="none"/>
                      <w:u w:val="single"/>
                      <w:lang w:eastAsia="zh-CN"/>
                    </w:rPr>
                  </w:pPr>
                  <w:r>
                    <w:rPr>
                      <w:rFonts w:ascii="Times New Roman" w:hAnsi="Times New Roman" w:cs="Times New Roman"/>
                      <w:color w:val="auto"/>
                      <w:kern w:val="0"/>
                      <w:highlight w:val="none"/>
                      <w:u w:val="single"/>
                    </w:rPr>
                    <w:t>φ</w:t>
                  </w:r>
                  <w:r>
                    <w:rPr>
                      <w:rFonts w:hint="eastAsia" w:cs="Times New Roman"/>
                      <w:color w:val="auto"/>
                      <w:kern w:val="0"/>
                      <w:highlight w:val="none"/>
                      <w:u w:val="single"/>
                      <w:lang w:val="en-US" w:eastAsia="zh-CN"/>
                    </w:rPr>
                    <w:t>2.4</w:t>
                  </w:r>
                  <w:r>
                    <w:rPr>
                      <w:rFonts w:ascii="Times New Roman" w:hAnsi="Times New Roman" w:cs="Times New Roman"/>
                      <w:color w:val="auto"/>
                      <w:kern w:val="0"/>
                      <w:highlight w:val="none"/>
                      <w:u w:val="single"/>
                    </w:rPr>
                    <w:t>×</w:t>
                  </w:r>
                  <w:r>
                    <w:rPr>
                      <w:rFonts w:hint="eastAsia" w:cs="Times New Roman"/>
                      <w:color w:val="auto"/>
                      <w:kern w:val="0"/>
                      <w:highlight w:val="none"/>
                      <w:u w:val="single"/>
                      <w:lang w:val="en-US" w:eastAsia="zh-CN"/>
                    </w:rPr>
                    <w:t>5</w:t>
                  </w:r>
                </w:p>
              </w:tc>
              <w:tc>
                <w:tcPr>
                  <w:tcW w:w="782" w:type="dxa"/>
                  <w:noWrap w:val="0"/>
                  <w:vAlign w:val="center"/>
                </w:tcPr>
                <w:p>
                  <w:pPr>
                    <w:widowControl/>
                    <w:jc w:val="center"/>
                    <w:rPr>
                      <w:rFonts w:hint="default" w:cs="Times New Roman"/>
                      <w:color w:val="auto"/>
                      <w:kern w:val="0"/>
                      <w:highlight w:val="none"/>
                      <w:u w:val="single"/>
                      <w:lang w:val="en-US" w:eastAsia="zh-CN"/>
                    </w:rPr>
                  </w:pPr>
                  <w:r>
                    <w:rPr>
                      <w:rFonts w:hint="eastAsia" w:cs="Times New Roman"/>
                      <w:color w:val="auto"/>
                      <w:kern w:val="0"/>
                      <w:highlight w:val="none"/>
                      <w:u w:val="single"/>
                      <w:lang w:val="en-US" w:eastAsia="zh-CN"/>
                    </w:rPr>
                    <w:t>20</w:t>
                  </w:r>
                </w:p>
              </w:tc>
              <w:tc>
                <w:tcPr>
                  <w:tcW w:w="802" w:type="dxa"/>
                  <w:noWrap w:val="0"/>
                  <w:vAlign w:val="center"/>
                </w:tcPr>
                <w:p>
                  <w:pPr>
                    <w:widowControl/>
                    <w:jc w:val="center"/>
                    <w:rPr>
                      <w:rFonts w:hint="eastAsia" w:ascii="Times New Roman" w:hAnsi="Times New Roman" w:eastAsia="宋体" w:cs="Times New Roman"/>
                      <w:color w:val="auto"/>
                      <w:kern w:val="0"/>
                      <w:szCs w:val="20"/>
                      <w:highlight w:val="none"/>
                      <w:u w:val="single"/>
                      <w:lang w:eastAsia="zh-CN"/>
                    </w:rPr>
                  </w:pPr>
                  <w:r>
                    <w:rPr>
                      <w:rFonts w:hint="eastAsia" w:cs="Times New Roman"/>
                      <w:color w:val="auto"/>
                      <w:kern w:val="0"/>
                      <w:szCs w:val="20"/>
                      <w:highlight w:val="none"/>
                      <w:u w:val="single"/>
                      <w:lang w:eastAsia="zh-CN"/>
                    </w:rPr>
                    <w:t>硫酸雾</w:t>
                  </w:r>
                </w:p>
              </w:tc>
              <w:tc>
                <w:tcPr>
                  <w:tcW w:w="803" w:type="dxa"/>
                  <w:noWrap w:val="0"/>
                  <w:vAlign w:val="center"/>
                </w:tcPr>
                <w:p>
                  <w:pPr>
                    <w:widowControl/>
                    <w:jc w:val="center"/>
                    <w:rPr>
                      <w:rFonts w:hint="default" w:cs="Times New Roman"/>
                      <w:color w:val="auto"/>
                      <w:kern w:val="0"/>
                      <w:szCs w:val="20"/>
                      <w:highlight w:val="none"/>
                      <w:u w:val="single"/>
                      <w:lang w:val="en-US" w:eastAsia="zh-CN"/>
                    </w:rPr>
                  </w:pPr>
                  <w:r>
                    <w:rPr>
                      <w:rFonts w:hint="eastAsia" w:cs="Times New Roman"/>
                      <w:color w:val="auto"/>
                      <w:kern w:val="0"/>
                      <w:szCs w:val="20"/>
                      <w:highlight w:val="none"/>
                      <w:u w:val="single"/>
                      <w:lang w:val="en-US" w:eastAsia="zh-CN"/>
                    </w:rPr>
                    <w:t>8.4</w:t>
                  </w:r>
                </w:p>
              </w:tc>
              <w:tc>
                <w:tcPr>
                  <w:tcW w:w="1634" w:type="dxa"/>
                  <w:noWrap w:val="0"/>
                  <w:vAlign w:val="center"/>
                </w:tcPr>
                <w:p>
                  <w:pPr>
                    <w:widowControl/>
                    <w:jc w:val="center"/>
                    <w:textAlignment w:val="center"/>
                    <w:rPr>
                      <w:rFonts w:hint="default" w:ascii="Times New Roman" w:hAnsi="Times New Roman" w:eastAsia="宋体" w:cs="Times New Roman"/>
                      <w:color w:val="auto"/>
                      <w:kern w:val="0"/>
                      <w:szCs w:val="20"/>
                      <w:highlight w:val="none"/>
                      <w:u w:val="single"/>
                      <w:lang w:val="en-US" w:eastAsia="zh-CN"/>
                    </w:rPr>
                  </w:pPr>
                  <w:r>
                    <w:rPr>
                      <w:rFonts w:hint="eastAsia" w:cs="Times New Roman"/>
                      <w:color w:val="auto"/>
                      <w:kern w:val="0"/>
                      <w:highlight w:val="none"/>
                      <w:u w:val="single"/>
                      <w:lang w:val="en-US" w:eastAsia="zh-CN" w:bidi="ar"/>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676" w:type="dxa"/>
                  <w:noWrap w:val="0"/>
                  <w:vAlign w:val="center"/>
                </w:tcPr>
                <w:p>
                  <w:pPr>
                    <w:widowControl/>
                    <w:adjustRightInd w:val="0"/>
                    <w:snapToGrid w:val="0"/>
                    <w:jc w:val="center"/>
                    <w:rPr>
                      <w:rFonts w:hint="eastAsia" w:ascii="Times New Roman" w:hAnsi="Times New Roman" w:eastAsia="宋体" w:cs="Times New Roman"/>
                      <w:color w:val="auto"/>
                      <w:kern w:val="0"/>
                      <w:szCs w:val="20"/>
                      <w:highlight w:val="none"/>
                      <w:u w:val="single"/>
                      <w:lang w:val="en-US" w:eastAsia="zh-CN"/>
                    </w:rPr>
                  </w:pPr>
                  <w:r>
                    <w:rPr>
                      <w:rFonts w:hint="eastAsia" w:cs="Times New Roman"/>
                      <w:color w:val="auto"/>
                      <w:kern w:val="0"/>
                      <w:szCs w:val="20"/>
                      <w:highlight w:val="none"/>
                      <w:u w:val="single"/>
                      <w:lang w:val="en-US" w:eastAsia="zh-CN"/>
                    </w:rPr>
                    <w:t>2</w:t>
                  </w:r>
                </w:p>
              </w:tc>
              <w:tc>
                <w:tcPr>
                  <w:tcW w:w="1201" w:type="dxa"/>
                  <w:noWrap w:val="0"/>
                  <w:vAlign w:val="center"/>
                </w:tcPr>
                <w:p>
                  <w:pPr>
                    <w:spacing w:line="287" w:lineRule="atLeast"/>
                    <w:jc w:val="center"/>
                    <w:textAlignment w:val="center"/>
                    <w:rPr>
                      <w:rFonts w:hint="eastAsia" w:ascii="Times New Roman" w:hAnsi="Times New Roman" w:eastAsia="宋体" w:cs="Times New Roman"/>
                      <w:color w:val="auto"/>
                      <w:kern w:val="0"/>
                      <w:highlight w:val="none"/>
                      <w:u w:val="single"/>
                      <w:lang w:eastAsia="zh-CN"/>
                    </w:rPr>
                  </w:pPr>
                  <w:r>
                    <w:rPr>
                      <w:rFonts w:hint="eastAsia" w:cs="Times New Roman"/>
                      <w:color w:val="auto"/>
                      <w:kern w:val="0"/>
                      <w:highlight w:val="none"/>
                      <w:u w:val="single"/>
                      <w:lang w:eastAsia="zh-CN"/>
                    </w:rPr>
                    <w:t>高位罐</w:t>
                  </w:r>
                </w:p>
              </w:tc>
              <w:tc>
                <w:tcPr>
                  <w:tcW w:w="927" w:type="dxa"/>
                  <w:noWrap w:val="0"/>
                  <w:vAlign w:val="center"/>
                </w:tcPr>
                <w:p>
                  <w:pPr>
                    <w:widowControl/>
                    <w:jc w:val="center"/>
                    <w:rPr>
                      <w:rFonts w:hint="eastAsia" w:cs="Times New Roman"/>
                      <w:color w:val="auto"/>
                      <w:kern w:val="0"/>
                      <w:highlight w:val="none"/>
                      <w:u w:val="single"/>
                      <w:lang w:eastAsia="zh-CN"/>
                    </w:rPr>
                  </w:pPr>
                  <w:r>
                    <w:rPr>
                      <w:rFonts w:hint="eastAsia" w:cs="Times New Roman"/>
                      <w:color w:val="auto"/>
                      <w:kern w:val="0"/>
                      <w:highlight w:val="none"/>
                      <w:u w:val="single"/>
                      <w:lang w:eastAsia="zh-CN"/>
                    </w:rPr>
                    <w:t>硫酸</w:t>
                  </w:r>
                </w:p>
              </w:tc>
              <w:tc>
                <w:tcPr>
                  <w:tcW w:w="1111" w:type="dxa"/>
                  <w:noWrap w:val="0"/>
                  <w:vAlign w:val="center"/>
                </w:tcPr>
                <w:p>
                  <w:pPr>
                    <w:widowControl/>
                    <w:jc w:val="center"/>
                    <w:rPr>
                      <w:rFonts w:hint="eastAsia" w:cs="Times New Roman"/>
                      <w:color w:val="auto"/>
                      <w:kern w:val="0"/>
                      <w:highlight w:val="none"/>
                      <w:u w:val="single"/>
                      <w:lang w:eastAsia="zh-CN"/>
                    </w:rPr>
                  </w:pPr>
                  <w:r>
                    <w:rPr>
                      <w:rFonts w:ascii="Times New Roman" w:hAnsi="Times New Roman" w:cs="Times New Roman"/>
                      <w:color w:val="auto"/>
                      <w:kern w:val="0"/>
                      <w:highlight w:val="none"/>
                      <w:u w:val="single"/>
                    </w:rPr>
                    <w:t>φ</w:t>
                  </w:r>
                  <w:r>
                    <w:rPr>
                      <w:rFonts w:hint="eastAsia" w:cs="Times New Roman"/>
                      <w:color w:val="auto"/>
                      <w:kern w:val="0"/>
                      <w:highlight w:val="none"/>
                      <w:u w:val="single"/>
                      <w:lang w:val="en-US" w:eastAsia="zh-CN"/>
                    </w:rPr>
                    <w:t>1.2</w:t>
                  </w:r>
                  <w:r>
                    <w:rPr>
                      <w:rFonts w:ascii="Times New Roman" w:hAnsi="Times New Roman" w:cs="Times New Roman"/>
                      <w:color w:val="auto"/>
                      <w:kern w:val="0"/>
                      <w:highlight w:val="none"/>
                      <w:u w:val="single"/>
                    </w:rPr>
                    <w:t>×</w:t>
                  </w:r>
                  <w:r>
                    <w:rPr>
                      <w:rFonts w:hint="eastAsia" w:cs="Times New Roman"/>
                      <w:color w:val="auto"/>
                      <w:kern w:val="0"/>
                      <w:highlight w:val="none"/>
                      <w:u w:val="single"/>
                      <w:lang w:val="en-US" w:eastAsia="zh-CN"/>
                    </w:rPr>
                    <w:t>5.6</w:t>
                  </w:r>
                </w:p>
              </w:tc>
              <w:tc>
                <w:tcPr>
                  <w:tcW w:w="782" w:type="dxa"/>
                  <w:noWrap w:val="0"/>
                  <w:vAlign w:val="center"/>
                </w:tcPr>
                <w:p>
                  <w:pPr>
                    <w:widowControl/>
                    <w:jc w:val="center"/>
                    <w:rPr>
                      <w:rFonts w:hint="default" w:cs="Times New Roman"/>
                      <w:color w:val="auto"/>
                      <w:kern w:val="0"/>
                      <w:highlight w:val="none"/>
                      <w:u w:val="single"/>
                      <w:lang w:val="en-US" w:eastAsia="zh-CN"/>
                    </w:rPr>
                  </w:pPr>
                  <w:r>
                    <w:rPr>
                      <w:rFonts w:hint="eastAsia" w:cs="Times New Roman"/>
                      <w:color w:val="auto"/>
                      <w:kern w:val="0"/>
                      <w:highlight w:val="none"/>
                      <w:u w:val="single"/>
                      <w:lang w:val="en-US" w:eastAsia="zh-CN"/>
                    </w:rPr>
                    <w:t>6</w:t>
                  </w:r>
                </w:p>
              </w:tc>
              <w:tc>
                <w:tcPr>
                  <w:tcW w:w="802" w:type="dxa"/>
                  <w:noWrap w:val="0"/>
                  <w:vAlign w:val="center"/>
                </w:tcPr>
                <w:p>
                  <w:pPr>
                    <w:widowControl/>
                    <w:jc w:val="center"/>
                    <w:rPr>
                      <w:rFonts w:hint="eastAsia" w:cs="Times New Roman"/>
                      <w:color w:val="auto"/>
                      <w:kern w:val="0"/>
                      <w:szCs w:val="20"/>
                      <w:highlight w:val="none"/>
                      <w:u w:val="single"/>
                      <w:lang w:eastAsia="zh-CN"/>
                    </w:rPr>
                  </w:pPr>
                  <w:r>
                    <w:rPr>
                      <w:rFonts w:hint="eastAsia" w:cs="Times New Roman"/>
                      <w:color w:val="auto"/>
                      <w:kern w:val="0"/>
                      <w:szCs w:val="20"/>
                      <w:highlight w:val="none"/>
                      <w:u w:val="single"/>
                      <w:lang w:eastAsia="zh-CN"/>
                    </w:rPr>
                    <w:t>硫酸雾</w:t>
                  </w:r>
                </w:p>
              </w:tc>
              <w:tc>
                <w:tcPr>
                  <w:tcW w:w="803" w:type="dxa"/>
                  <w:noWrap w:val="0"/>
                  <w:vAlign w:val="center"/>
                </w:tcPr>
                <w:p>
                  <w:pPr>
                    <w:widowControl/>
                    <w:jc w:val="center"/>
                    <w:rPr>
                      <w:rFonts w:hint="default" w:cs="Times New Roman"/>
                      <w:color w:val="auto"/>
                      <w:kern w:val="0"/>
                      <w:szCs w:val="20"/>
                      <w:highlight w:val="none"/>
                      <w:u w:val="single"/>
                      <w:lang w:val="en-US" w:eastAsia="zh-CN"/>
                    </w:rPr>
                  </w:pPr>
                  <w:r>
                    <w:rPr>
                      <w:rFonts w:hint="eastAsia" w:cs="Times New Roman"/>
                      <w:color w:val="auto"/>
                      <w:kern w:val="0"/>
                      <w:szCs w:val="20"/>
                      <w:highlight w:val="none"/>
                      <w:u w:val="single"/>
                      <w:lang w:val="en-US" w:eastAsia="zh-CN"/>
                    </w:rPr>
                    <w:t>8.4</w:t>
                  </w:r>
                </w:p>
              </w:tc>
              <w:tc>
                <w:tcPr>
                  <w:tcW w:w="1634" w:type="dxa"/>
                  <w:noWrap w:val="0"/>
                  <w:vAlign w:val="center"/>
                </w:tcPr>
                <w:p>
                  <w:pPr>
                    <w:widowControl/>
                    <w:jc w:val="center"/>
                    <w:textAlignment w:val="center"/>
                    <w:rPr>
                      <w:rFonts w:hint="default" w:cs="Times New Roman"/>
                      <w:color w:val="auto"/>
                      <w:kern w:val="0"/>
                      <w:highlight w:val="none"/>
                      <w:u w:val="single"/>
                      <w:lang w:val="en-US" w:eastAsia="zh-CN" w:bidi="ar"/>
                    </w:rPr>
                  </w:pPr>
                  <w:r>
                    <w:rPr>
                      <w:rFonts w:hint="eastAsia" w:cs="Times New Roman"/>
                      <w:color w:val="auto"/>
                      <w:kern w:val="0"/>
                      <w:highlight w:val="none"/>
                      <w:u w:val="single"/>
                      <w:lang w:val="en-US" w:eastAsia="zh-CN" w:bidi="ar"/>
                    </w:rPr>
                    <w:t>0.00002</w:t>
                  </w:r>
                </w:p>
              </w:tc>
            </w:tr>
          </w:tbl>
          <w:p>
            <w:pPr>
              <w:pStyle w:val="62"/>
              <w:bidi w:val="0"/>
              <w:rPr>
                <w:rFonts w:hint="default" w:ascii="Times New Roman" w:hAnsi="Times New Roman" w:eastAsia="宋体" w:cs="宋体"/>
                <w:color w:val="auto"/>
                <w:sz w:val="24"/>
                <w:szCs w:val="24"/>
                <w:highlight w:val="none"/>
                <w:u w:val="single"/>
                <w:lang w:val="en-US" w:eastAsia="zh-CN"/>
              </w:rPr>
            </w:pPr>
            <w:r>
              <w:rPr>
                <w:rFonts w:hint="eastAsia" w:cs="宋体"/>
                <w:color w:val="auto"/>
                <w:sz w:val="24"/>
                <w:szCs w:val="24"/>
                <w:highlight w:val="none"/>
                <w:u w:val="single"/>
                <w:lang w:val="en-US" w:eastAsia="zh-CN"/>
              </w:rPr>
              <w:t>本项目储罐区产生的硫酸雾量为0.00004t/a，呈无组织排放。</w:t>
            </w:r>
          </w:p>
          <w:p>
            <w:pPr>
              <w:pStyle w:val="62"/>
              <w:bidi w:val="0"/>
              <w:rPr>
                <w:rFonts w:hint="default" w:ascii="Times New Roman" w:hAnsi="Times New Roman" w:eastAsia="宋体" w:cs="宋体"/>
                <w:color w:val="auto"/>
                <w:sz w:val="24"/>
                <w:szCs w:val="24"/>
                <w:highlight w:val="none"/>
                <w:u w:val="single"/>
                <w:lang w:val="en-US" w:eastAsia="zh-CN"/>
              </w:rPr>
            </w:pPr>
            <w:r>
              <w:rPr>
                <w:rFonts w:hint="eastAsia" w:ascii="Times New Roman" w:hAnsi="Times New Roman" w:eastAsia="宋体" w:cs="宋体"/>
                <w:color w:val="auto"/>
                <w:sz w:val="24"/>
                <w:szCs w:val="24"/>
                <w:highlight w:val="none"/>
                <w:u w:val="single"/>
                <w:lang w:val="en-US" w:eastAsia="zh-CN"/>
              </w:rPr>
              <w:t>（3）</w:t>
            </w:r>
            <w:r>
              <w:rPr>
                <w:rFonts w:hint="eastAsia" w:cs="宋体"/>
                <w:color w:val="auto"/>
                <w:sz w:val="24"/>
                <w:szCs w:val="24"/>
                <w:highlight w:val="none"/>
                <w:u w:val="single"/>
                <w:lang w:val="en-US" w:eastAsia="zh-CN"/>
              </w:rPr>
              <w:t>配料粉尘</w:t>
            </w:r>
          </w:p>
          <w:p>
            <w:pPr>
              <w:pStyle w:val="62"/>
              <w:bidi w:val="0"/>
              <w:rPr>
                <w:rFonts w:hint="default" w:ascii="Times New Roman" w:hAnsi="Times New Roman" w:eastAsia="宋体" w:cs="宋体"/>
                <w:color w:val="auto"/>
                <w:sz w:val="24"/>
                <w:szCs w:val="24"/>
                <w:highlight w:val="none"/>
                <w:u w:val="none"/>
                <w:lang w:val="en-US" w:eastAsia="zh-CN"/>
              </w:rPr>
            </w:pPr>
            <w:r>
              <w:rPr>
                <w:rFonts w:hint="default" w:ascii="Times New Roman" w:hAnsi="Times New Roman" w:eastAsia="宋体" w:cs="宋体"/>
                <w:color w:val="auto"/>
                <w:sz w:val="24"/>
                <w:szCs w:val="24"/>
                <w:highlight w:val="none"/>
                <w:u w:val="none"/>
                <w:lang w:val="en-US" w:eastAsia="zh-CN"/>
              </w:rPr>
              <w:t>药芯焊丝、特种电焊条生产配料过程中会有少量粉尘产生，根据《第二次全国污染源普查工业污染源产排污系数手册》，本项目配粉粉尘产生源强参照其“3024轻质建筑材料制品制造行业--物料输送储存工序产污系数”，为0.197千克/吨。</w:t>
            </w:r>
          </w:p>
          <w:p>
            <w:pPr>
              <w:pStyle w:val="62"/>
              <w:bidi w:val="0"/>
              <w:rPr>
                <w:rFonts w:hint="default" w:ascii="Times New Roman" w:hAnsi="Times New Roman" w:eastAsia="宋体" w:cs="宋体"/>
                <w:color w:val="auto"/>
                <w:sz w:val="24"/>
                <w:szCs w:val="24"/>
                <w:highlight w:val="none"/>
                <w:u w:val="single"/>
                <w:lang w:val="en-US" w:eastAsia="zh-CN"/>
              </w:rPr>
            </w:pPr>
            <w:r>
              <w:rPr>
                <w:rFonts w:hint="eastAsia" w:cs="宋体"/>
                <w:color w:val="auto"/>
                <w:sz w:val="24"/>
                <w:szCs w:val="24"/>
                <w:highlight w:val="none"/>
                <w:u w:val="single"/>
                <w:lang w:val="en-US" w:eastAsia="zh-CN"/>
              </w:rPr>
              <w:t>药芯焊丝矿粉年用量为3780t/a，特种电焊材矿粉年用量为2300t/a，颗粒物分别产生量为0.745t/a、0.453t/a，</w:t>
            </w:r>
            <w:r>
              <w:rPr>
                <w:rFonts w:hint="default" w:ascii="Times New Roman" w:hAnsi="Times New Roman" w:eastAsia="宋体" w:cs="宋体"/>
                <w:color w:val="auto"/>
                <w:sz w:val="24"/>
                <w:szCs w:val="24"/>
                <w:highlight w:val="none"/>
                <w:u w:val="single"/>
                <w:lang w:val="en-US" w:eastAsia="zh-CN"/>
              </w:rPr>
              <w:t>未能收集的粉尘按无组织排放，排放量约0.</w:t>
            </w:r>
            <w:r>
              <w:rPr>
                <w:rFonts w:hint="eastAsia" w:cs="宋体"/>
                <w:color w:val="auto"/>
                <w:sz w:val="24"/>
                <w:szCs w:val="24"/>
                <w:highlight w:val="none"/>
                <w:u w:val="single"/>
                <w:lang w:val="en-US" w:eastAsia="zh-CN"/>
              </w:rPr>
              <w:t>12t</w:t>
            </w:r>
            <w:r>
              <w:rPr>
                <w:rFonts w:hint="default" w:ascii="Times New Roman" w:hAnsi="Times New Roman" w:eastAsia="宋体" w:cs="宋体"/>
                <w:color w:val="auto"/>
                <w:sz w:val="24"/>
                <w:szCs w:val="24"/>
                <w:highlight w:val="none"/>
                <w:u w:val="single"/>
                <w:lang w:val="en-US" w:eastAsia="zh-CN"/>
              </w:rPr>
              <w:t>/a。</w:t>
            </w:r>
          </w:p>
          <w:p>
            <w:pPr>
              <w:autoSpaceDE w:val="0"/>
              <w:autoSpaceDN w:val="0"/>
              <w:adjustRightInd w:val="0"/>
              <w:spacing w:line="360" w:lineRule="auto"/>
              <w:ind w:firstLine="482" w:firstLineChars="200"/>
              <w:rPr>
                <w:rFonts w:hint="eastAsia" w:eastAsia="宋体"/>
                <w:b/>
                <w:bCs/>
                <w:color w:val="auto"/>
                <w:kern w:val="0"/>
                <w:sz w:val="24"/>
                <w:szCs w:val="24"/>
                <w:u w:val="none" w:color="auto"/>
                <w:lang w:eastAsia="zh-CN" w:bidi="ar"/>
              </w:rPr>
            </w:pPr>
            <w:r>
              <w:rPr>
                <w:rFonts w:hint="eastAsia"/>
                <w:b/>
                <w:bCs/>
                <w:color w:val="auto"/>
                <w:kern w:val="0"/>
                <w:sz w:val="24"/>
                <w:szCs w:val="24"/>
                <w:u w:val="none" w:color="auto"/>
                <w:lang w:bidi="ar"/>
              </w:rPr>
              <w:t>（</w:t>
            </w:r>
            <w:r>
              <w:rPr>
                <w:rFonts w:hint="eastAsia"/>
                <w:b/>
                <w:bCs/>
                <w:color w:val="auto"/>
                <w:kern w:val="0"/>
                <w:sz w:val="24"/>
                <w:szCs w:val="24"/>
                <w:u w:val="none" w:color="auto"/>
                <w:lang w:val="en-US" w:eastAsia="zh-CN" w:bidi="ar"/>
              </w:rPr>
              <w:t>4</w:t>
            </w:r>
            <w:r>
              <w:rPr>
                <w:rFonts w:hint="eastAsia"/>
                <w:b/>
                <w:bCs/>
                <w:color w:val="auto"/>
                <w:kern w:val="0"/>
                <w:sz w:val="24"/>
                <w:szCs w:val="24"/>
                <w:u w:val="none" w:color="auto"/>
                <w:lang w:bidi="ar"/>
              </w:rPr>
              <w:t>）磨头磨尾</w:t>
            </w:r>
            <w:r>
              <w:rPr>
                <w:rFonts w:hint="eastAsia"/>
                <w:b/>
                <w:bCs/>
                <w:color w:val="auto"/>
                <w:kern w:val="0"/>
                <w:sz w:val="24"/>
                <w:szCs w:val="24"/>
                <w:u w:val="none" w:color="auto"/>
                <w:lang w:eastAsia="zh-CN" w:bidi="ar"/>
              </w:rPr>
              <w:t>粉尘</w:t>
            </w:r>
          </w:p>
          <w:p>
            <w:pPr>
              <w:autoSpaceDE w:val="0"/>
              <w:autoSpaceDN w:val="0"/>
              <w:adjustRightInd w:val="0"/>
              <w:spacing w:line="360" w:lineRule="auto"/>
              <w:ind w:firstLine="480" w:firstLineChars="200"/>
              <w:rPr>
                <w:rFonts w:hint="eastAsia" w:cs="宋体"/>
                <w:color w:val="auto"/>
                <w:sz w:val="24"/>
                <w:szCs w:val="24"/>
                <w:highlight w:val="none"/>
                <w:u w:val="single"/>
                <w:lang w:val="en-US" w:eastAsia="zh-CN"/>
              </w:rPr>
            </w:pPr>
            <w:r>
              <w:rPr>
                <w:rFonts w:hint="eastAsia"/>
                <w:b w:val="0"/>
                <w:bCs w:val="0"/>
                <w:color w:val="auto"/>
                <w:kern w:val="0"/>
                <w:sz w:val="24"/>
                <w:szCs w:val="24"/>
                <w:u w:val="none" w:color="auto"/>
                <w:lang w:eastAsia="zh-CN" w:bidi="ar"/>
              </w:rPr>
              <w:t>特种电焊条磨头磨尾过程中会产生一定量的磨头磨尾粉尘，主要为‌焊条药皮等，参考《</w:t>
            </w:r>
            <w:r>
              <w:rPr>
                <w:rFonts w:hint="eastAsia"/>
                <w:b w:val="0"/>
                <w:bCs w:val="0"/>
                <w:color w:val="auto"/>
                <w:kern w:val="0"/>
                <w:sz w:val="24"/>
                <w:szCs w:val="24"/>
                <w:u w:val="none" w:color="auto"/>
                <w:lang w:val="en-US" w:eastAsia="zh-CN" w:bidi="ar"/>
              </w:rPr>
              <w:t>33</w:t>
            </w:r>
            <w:r>
              <w:rPr>
                <w:rFonts w:hint="eastAsia"/>
                <w:color w:val="auto"/>
                <w:kern w:val="0"/>
                <w:sz w:val="24"/>
                <w:u w:val="none" w:color="auto"/>
                <w:lang w:bidi="ar"/>
              </w:rPr>
              <w:t xml:space="preserve"> 金属制品业</w:t>
            </w:r>
            <w:r>
              <w:rPr>
                <w:rFonts w:hint="eastAsia"/>
                <w:color w:val="auto"/>
                <w:kern w:val="0"/>
                <w:sz w:val="24"/>
                <w:u w:val="none" w:color="auto"/>
                <w:lang w:eastAsia="zh-CN" w:bidi="ar"/>
              </w:rPr>
              <w:t>行业系数手册</w:t>
            </w:r>
            <w:r>
              <w:rPr>
                <w:rFonts w:hint="eastAsia"/>
                <w:b w:val="0"/>
                <w:bCs w:val="0"/>
                <w:color w:val="auto"/>
                <w:kern w:val="0"/>
                <w:sz w:val="24"/>
                <w:szCs w:val="24"/>
                <w:u w:val="none" w:color="auto"/>
                <w:lang w:eastAsia="zh-CN" w:bidi="ar"/>
              </w:rPr>
              <w:t>》中打磨工艺，产污系数为</w:t>
            </w:r>
            <w:r>
              <w:rPr>
                <w:rFonts w:hint="eastAsia"/>
                <w:b w:val="0"/>
                <w:bCs w:val="0"/>
                <w:color w:val="auto"/>
                <w:kern w:val="0"/>
                <w:sz w:val="24"/>
                <w:szCs w:val="24"/>
                <w:u w:val="none" w:color="auto"/>
                <w:lang w:val="en-US" w:eastAsia="zh-CN" w:bidi="ar"/>
              </w:rPr>
              <w:t>2.19</w:t>
            </w:r>
            <w:r>
              <w:rPr>
                <w:rFonts w:hint="default" w:ascii="Times New Roman" w:hAnsi="Times New Roman" w:eastAsia="宋体" w:cs="宋体"/>
                <w:color w:val="auto"/>
                <w:sz w:val="24"/>
                <w:szCs w:val="24"/>
                <w:highlight w:val="none"/>
                <w:u w:val="none"/>
                <w:lang w:val="en-US" w:eastAsia="zh-CN"/>
              </w:rPr>
              <w:t>千克/吨</w:t>
            </w:r>
            <w:r>
              <w:rPr>
                <w:rFonts w:hint="eastAsia" w:cs="宋体"/>
                <w:color w:val="auto"/>
                <w:sz w:val="24"/>
                <w:szCs w:val="24"/>
                <w:highlight w:val="none"/>
                <w:u w:val="none"/>
                <w:lang w:val="en-US" w:eastAsia="zh-CN"/>
              </w:rPr>
              <w:t>，约5000吨产品需进行</w:t>
            </w:r>
            <w:r>
              <w:rPr>
                <w:rFonts w:hint="eastAsia"/>
                <w:b w:val="0"/>
                <w:bCs w:val="0"/>
                <w:color w:val="auto"/>
                <w:kern w:val="0"/>
                <w:sz w:val="24"/>
                <w:szCs w:val="24"/>
                <w:u w:val="none" w:color="auto"/>
                <w:lang w:eastAsia="zh-CN" w:bidi="ar"/>
              </w:rPr>
              <w:t>磨头磨尾，</w:t>
            </w:r>
            <w:r>
              <w:rPr>
                <w:rFonts w:hint="eastAsia" w:cs="宋体"/>
                <w:color w:val="auto"/>
                <w:sz w:val="24"/>
                <w:szCs w:val="24"/>
                <w:highlight w:val="none"/>
                <w:u w:val="single"/>
                <w:lang w:val="en-US" w:eastAsia="zh-CN"/>
              </w:rPr>
              <w:t>颗粒物产生量为10.95t/a。</w:t>
            </w:r>
            <w:r>
              <w:rPr>
                <w:rFonts w:hint="default" w:ascii="Times New Roman" w:hAnsi="Times New Roman" w:eastAsia="宋体" w:cs="宋体"/>
                <w:color w:val="auto"/>
                <w:sz w:val="24"/>
                <w:szCs w:val="24"/>
                <w:highlight w:val="none"/>
                <w:u w:val="single"/>
                <w:lang w:val="en-US" w:eastAsia="zh-CN"/>
              </w:rPr>
              <w:t>未能收集的粉尘按无组织排放，排放量约</w:t>
            </w:r>
            <w:r>
              <w:rPr>
                <w:rFonts w:hint="eastAsia" w:cs="宋体"/>
                <w:color w:val="auto"/>
                <w:sz w:val="24"/>
                <w:szCs w:val="24"/>
                <w:highlight w:val="none"/>
                <w:u w:val="single"/>
                <w:lang w:val="en-US" w:eastAsia="zh-CN"/>
              </w:rPr>
              <w:t>1.095</w:t>
            </w:r>
            <w:r>
              <w:rPr>
                <w:rFonts w:hint="default" w:ascii="Times New Roman" w:hAnsi="Times New Roman" w:eastAsia="宋体" w:cs="宋体"/>
                <w:color w:val="auto"/>
                <w:sz w:val="24"/>
                <w:szCs w:val="24"/>
                <w:highlight w:val="none"/>
                <w:u w:val="single"/>
                <w:lang w:val="en-US" w:eastAsia="zh-CN"/>
              </w:rPr>
              <w:t>t/a。</w:t>
            </w:r>
          </w:p>
          <w:p>
            <w:pPr>
              <w:autoSpaceDE w:val="0"/>
              <w:autoSpaceDN w:val="0"/>
              <w:adjustRightInd w:val="0"/>
              <w:spacing w:line="360" w:lineRule="auto"/>
              <w:ind w:firstLine="480" w:firstLineChars="200"/>
              <w:rPr>
                <w:rFonts w:hint="eastAsia" w:eastAsia="宋体"/>
                <w:b w:val="0"/>
                <w:bCs w:val="0"/>
                <w:color w:val="auto"/>
                <w:kern w:val="0"/>
                <w:sz w:val="24"/>
                <w:szCs w:val="24"/>
                <w:u w:val="none" w:color="auto"/>
                <w:lang w:eastAsia="zh-CN" w:bidi="ar"/>
              </w:rPr>
            </w:pPr>
            <w:r>
              <w:rPr>
                <w:rFonts w:hint="eastAsia" w:cs="宋体"/>
                <w:color w:val="auto"/>
                <w:sz w:val="24"/>
                <w:szCs w:val="24"/>
                <w:highlight w:val="none"/>
                <w:u w:val="single"/>
                <w:lang w:val="en-US" w:eastAsia="zh-CN"/>
              </w:rPr>
              <w:t>磨头磨尾粉尘与配粉粉尘共用一套废气处理设施，</w:t>
            </w:r>
            <w:r>
              <w:rPr>
                <w:rFonts w:hint="default" w:ascii="Times New Roman" w:hAnsi="Times New Roman" w:eastAsia="宋体" w:cs="宋体"/>
                <w:color w:val="auto"/>
                <w:sz w:val="24"/>
                <w:szCs w:val="24"/>
                <w:highlight w:val="none"/>
                <w:u w:val="single"/>
                <w:lang w:val="en-US" w:eastAsia="zh-CN"/>
              </w:rPr>
              <w:t>集气罩收集（收集效率为90%），经收集后经布袋除尘器处理后再经15米排气筒高空排放，</w:t>
            </w:r>
            <w:r>
              <w:rPr>
                <w:rFonts w:hint="eastAsia" w:hAnsi="宋体"/>
                <w:color w:val="auto"/>
                <w:sz w:val="24"/>
                <w:szCs w:val="24"/>
                <w:u w:val="single"/>
                <w:lang w:val="en-US" w:eastAsia="zh-CN"/>
              </w:rPr>
              <w:t>设计风量为2000m</w:t>
            </w:r>
            <w:r>
              <w:rPr>
                <w:rFonts w:hint="eastAsia" w:hAnsi="宋体"/>
                <w:color w:val="auto"/>
                <w:sz w:val="24"/>
                <w:szCs w:val="24"/>
                <w:u w:val="single"/>
                <w:vertAlign w:val="superscript"/>
                <w:lang w:val="en-US" w:eastAsia="zh-CN"/>
              </w:rPr>
              <w:t>3</w:t>
            </w:r>
            <w:r>
              <w:rPr>
                <w:rFonts w:hint="eastAsia" w:hAnsi="宋体"/>
                <w:color w:val="auto"/>
                <w:sz w:val="24"/>
                <w:szCs w:val="24"/>
                <w:u w:val="single"/>
                <w:lang w:val="en-US" w:eastAsia="zh-CN"/>
              </w:rPr>
              <w:t>/h，</w:t>
            </w:r>
            <w:r>
              <w:rPr>
                <w:rFonts w:hint="default" w:ascii="Times New Roman" w:hAnsi="Times New Roman" w:eastAsia="宋体" w:cs="宋体"/>
                <w:color w:val="auto"/>
                <w:sz w:val="24"/>
                <w:szCs w:val="24"/>
                <w:highlight w:val="none"/>
                <w:u w:val="single"/>
                <w:lang w:val="en-US" w:eastAsia="zh-CN"/>
              </w:rPr>
              <w:t>除尘效率为98%。</w:t>
            </w:r>
          </w:p>
          <w:p>
            <w:pPr>
              <w:spacing w:line="240" w:lineRule="auto"/>
              <w:jc w:val="center"/>
              <w:rPr>
                <w:rFonts w:hint="eastAsia" w:ascii="Times New Roman" w:hAnsi="宋体" w:eastAsia="宋体" w:cs="Times New Roman"/>
                <w:b/>
                <w:bCs/>
                <w:color w:val="auto"/>
                <w:sz w:val="24"/>
                <w:szCs w:val="24"/>
                <w:lang w:val="en-US" w:eastAsia="zh-CN"/>
              </w:rPr>
            </w:pPr>
            <w:r>
              <w:rPr>
                <w:rFonts w:hint="eastAsia" w:ascii="Times New Roman" w:hAnsi="宋体" w:eastAsia="宋体" w:cs="Times New Roman"/>
                <w:b/>
                <w:bCs/>
                <w:color w:val="auto"/>
                <w:sz w:val="24"/>
                <w:szCs w:val="24"/>
                <w:lang w:val="en-US" w:eastAsia="zh-CN"/>
              </w:rPr>
              <w:t>表4.</w:t>
            </w:r>
            <w:r>
              <w:rPr>
                <w:rFonts w:hint="eastAsia" w:hAnsi="宋体" w:cs="Times New Roman"/>
                <w:b/>
                <w:bCs/>
                <w:color w:val="auto"/>
                <w:sz w:val="24"/>
                <w:szCs w:val="24"/>
                <w:lang w:val="en-US" w:eastAsia="zh-CN"/>
              </w:rPr>
              <w:t>2</w:t>
            </w:r>
            <w:r>
              <w:rPr>
                <w:rFonts w:hint="eastAsia" w:ascii="Times New Roman" w:hAnsi="宋体" w:eastAsia="宋体" w:cs="Times New Roman"/>
                <w:b/>
                <w:bCs/>
                <w:color w:val="auto"/>
                <w:sz w:val="24"/>
                <w:szCs w:val="24"/>
                <w:lang w:val="en-US" w:eastAsia="zh-CN"/>
              </w:rPr>
              <w:t>-</w:t>
            </w:r>
            <w:r>
              <w:rPr>
                <w:rFonts w:hint="eastAsia" w:hAnsi="宋体" w:cs="Times New Roman"/>
                <w:b/>
                <w:bCs/>
                <w:color w:val="auto"/>
                <w:sz w:val="24"/>
                <w:szCs w:val="24"/>
                <w:lang w:val="en-US" w:eastAsia="zh-CN"/>
              </w:rPr>
              <w:t>5  DA008排气筒</w:t>
            </w:r>
            <w:r>
              <w:rPr>
                <w:rFonts w:hint="eastAsia" w:ascii="Times New Roman" w:hAnsi="宋体" w:eastAsia="宋体" w:cs="Times New Roman"/>
                <w:b/>
                <w:bCs/>
                <w:color w:val="auto"/>
                <w:sz w:val="24"/>
                <w:szCs w:val="24"/>
                <w:lang w:val="en-US" w:eastAsia="zh-CN"/>
              </w:rPr>
              <w:t>产生及排放情况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900"/>
              <w:gridCol w:w="875"/>
              <w:gridCol w:w="915"/>
              <w:gridCol w:w="916"/>
              <w:gridCol w:w="819"/>
              <w:gridCol w:w="836"/>
              <w:gridCol w:w="81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noWrap w:val="0"/>
                  <w:vAlign w:val="center"/>
                </w:tcPr>
                <w:p>
                  <w:pPr>
                    <w:adjustRightInd w:val="0"/>
                    <w:snapToGrid w:val="0"/>
                    <w:jc w:val="center"/>
                    <w:rPr>
                      <w:b/>
                      <w:color w:val="auto"/>
                      <w:szCs w:val="21"/>
                      <w:u w:val="none"/>
                    </w:rPr>
                  </w:pPr>
                  <w:r>
                    <w:rPr>
                      <w:b/>
                      <w:color w:val="auto"/>
                      <w:szCs w:val="21"/>
                      <w:u w:val="none"/>
                      <w:lang w:bidi="ar"/>
                    </w:rPr>
                    <w:t>产污环节</w:t>
                  </w:r>
                </w:p>
              </w:tc>
              <w:tc>
                <w:tcPr>
                  <w:tcW w:w="900" w:type="dxa"/>
                  <w:noWrap w:val="0"/>
                  <w:vAlign w:val="center"/>
                </w:tcPr>
                <w:p>
                  <w:pPr>
                    <w:adjustRightInd w:val="0"/>
                    <w:snapToGrid w:val="0"/>
                    <w:jc w:val="center"/>
                    <w:rPr>
                      <w:rFonts w:hint="eastAsia"/>
                      <w:b/>
                      <w:color w:val="auto"/>
                      <w:szCs w:val="21"/>
                      <w:u w:val="none"/>
                    </w:rPr>
                  </w:pPr>
                  <w:r>
                    <w:rPr>
                      <w:rFonts w:hint="eastAsia"/>
                      <w:b/>
                      <w:color w:val="auto"/>
                      <w:szCs w:val="21"/>
                      <w:u w:val="none"/>
                      <w:lang w:bidi="ar"/>
                    </w:rPr>
                    <w:t>污染物</w:t>
                  </w:r>
                </w:p>
              </w:tc>
              <w:tc>
                <w:tcPr>
                  <w:tcW w:w="875" w:type="dxa"/>
                  <w:noWrap w:val="0"/>
                  <w:vAlign w:val="center"/>
                </w:tcPr>
                <w:p>
                  <w:pPr>
                    <w:adjustRightInd w:val="0"/>
                    <w:snapToGrid w:val="0"/>
                    <w:jc w:val="center"/>
                    <w:rPr>
                      <w:b/>
                      <w:color w:val="auto"/>
                      <w:szCs w:val="21"/>
                      <w:u w:val="none"/>
                    </w:rPr>
                  </w:pPr>
                  <w:r>
                    <w:rPr>
                      <w:rFonts w:hint="eastAsia"/>
                      <w:b/>
                      <w:color w:val="auto"/>
                      <w:szCs w:val="21"/>
                      <w:u w:val="none"/>
                    </w:rPr>
                    <w:t>产生量t/a</w:t>
                  </w:r>
                </w:p>
              </w:tc>
              <w:tc>
                <w:tcPr>
                  <w:tcW w:w="915" w:type="dxa"/>
                  <w:noWrap w:val="0"/>
                  <w:vAlign w:val="center"/>
                </w:tcPr>
                <w:p>
                  <w:pPr>
                    <w:adjustRightInd w:val="0"/>
                    <w:snapToGrid w:val="0"/>
                    <w:jc w:val="center"/>
                    <w:rPr>
                      <w:rFonts w:hint="eastAsia" w:eastAsia="宋体"/>
                      <w:b/>
                      <w:color w:val="auto"/>
                      <w:szCs w:val="21"/>
                      <w:u w:val="none"/>
                      <w:lang w:eastAsia="zh-CN"/>
                    </w:rPr>
                  </w:pPr>
                  <w:r>
                    <w:rPr>
                      <w:rFonts w:hint="eastAsia"/>
                      <w:b/>
                      <w:bCs/>
                      <w:color w:val="auto"/>
                      <w:u w:val="none"/>
                      <w:lang w:eastAsia="zh-CN"/>
                    </w:rPr>
                    <w:t>收集效率</w:t>
                  </w:r>
                </w:p>
              </w:tc>
              <w:tc>
                <w:tcPr>
                  <w:tcW w:w="916" w:type="dxa"/>
                  <w:noWrap w:val="0"/>
                  <w:vAlign w:val="center"/>
                </w:tcPr>
                <w:p>
                  <w:pPr>
                    <w:adjustRightInd w:val="0"/>
                    <w:snapToGrid w:val="0"/>
                    <w:jc w:val="center"/>
                    <w:rPr>
                      <w:rFonts w:hint="eastAsia"/>
                      <w:b/>
                      <w:color w:val="auto"/>
                      <w:szCs w:val="21"/>
                      <w:u w:val="none"/>
                      <w:lang w:eastAsia="zh-CN"/>
                    </w:rPr>
                  </w:pPr>
                  <w:r>
                    <w:rPr>
                      <w:rFonts w:hint="eastAsia"/>
                      <w:b/>
                      <w:color w:val="auto"/>
                      <w:szCs w:val="21"/>
                      <w:u w:val="none"/>
                      <w:lang w:eastAsia="zh-CN"/>
                    </w:rPr>
                    <w:t>处理</w:t>
                  </w:r>
                </w:p>
                <w:p>
                  <w:pPr>
                    <w:adjustRightInd w:val="0"/>
                    <w:snapToGrid w:val="0"/>
                    <w:jc w:val="center"/>
                    <w:rPr>
                      <w:rFonts w:hint="eastAsia" w:eastAsia="宋体"/>
                      <w:b/>
                      <w:color w:val="auto"/>
                      <w:szCs w:val="21"/>
                      <w:u w:val="none"/>
                      <w:lang w:eastAsia="zh-CN"/>
                    </w:rPr>
                  </w:pPr>
                  <w:r>
                    <w:rPr>
                      <w:rFonts w:hint="eastAsia"/>
                      <w:b/>
                      <w:color w:val="auto"/>
                      <w:szCs w:val="21"/>
                      <w:u w:val="none"/>
                      <w:lang w:eastAsia="zh-CN"/>
                    </w:rPr>
                    <w:t>效率</w:t>
                  </w:r>
                </w:p>
              </w:tc>
              <w:tc>
                <w:tcPr>
                  <w:tcW w:w="819" w:type="dxa"/>
                  <w:noWrap w:val="0"/>
                  <w:vAlign w:val="center"/>
                </w:tcPr>
                <w:p>
                  <w:pPr>
                    <w:adjustRightInd w:val="0"/>
                    <w:snapToGrid w:val="0"/>
                    <w:jc w:val="center"/>
                    <w:rPr>
                      <w:rFonts w:hint="eastAsia"/>
                      <w:b/>
                      <w:color w:val="auto"/>
                      <w:szCs w:val="21"/>
                      <w:u w:val="none"/>
                      <w:lang w:bidi="ar"/>
                    </w:rPr>
                  </w:pPr>
                  <w:r>
                    <w:rPr>
                      <w:rFonts w:hint="eastAsia"/>
                      <w:b/>
                      <w:color w:val="auto"/>
                      <w:szCs w:val="21"/>
                      <w:u w:val="none"/>
                      <w:lang w:bidi="ar"/>
                    </w:rPr>
                    <w:t>排放量t/a</w:t>
                  </w:r>
                </w:p>
              </w:tc>
              <w:tc>
                <w:tcPr>
                  <w:tcW w:w="836" w:type="dxa"/>
                  <w:noWrap w:val="0"/>
                  <w:vAlign w:val="center"/>
                </w:tcPr>
                <w:p>
                  <w:pPr>
                    <w:adjustRightInd w:val="0"/>
                    <w:snapToGrid w:val="0"/>
                    <w:jc w:val="center"/>
                    <w:rPr>
                      <w:rFonts w:hint="eastAsia"/>
                      <w:b/>
                      <w:color w:val="auto"/>
                      <w:szCs w:val="21"/>
                      <w:u w:val="none"/>
                    </w:rPr>
                  </w:pPr>
                  <w:r>
                    <w:rPr>
                      <w:rFonts w:hint="eastAsia"/>
                      <w:b/>
                      <w:color w:val="auto"/>
                      <w:szCs w:val="21"/>
                      <w:u w:val="none"/>
                    </w:rPr>
                    <w:t>排放速率kg/h</w:t>
                  </w:r>
                </w:p>
              </w:tc>
              <w:tc>
                <w:tcPr>
                  <w:tcW w:w="814" w:type="dxa"/>
                  <w:noWrap w:val="0"/>
                  <w:vAlign w:val="center"/>
                </w:tcPr>
                <w:p>
                  <w:pPr>
                    <w:adjustRightInd w:val="0"/>
                    <w:snapToGrid w:val="0"/>
                    <w:jc w:val="center"/>
                    <w:rPr>
                      <w:rFonts w:hint="eastAsia"/>
                      <w:b/>
                      <w:color w:val="auto"/>
                      <w:szCs w:val="21"/>
                      <w:u w:val="none"/>
                    </w:rPr>
                  </w:pPr>
                  <w:r>
                    <w:rPr>
                      <w:rFonts w:hint="eastAsia"/>
                      <w:b/>
                      <w:color w:val="auto"/>
                      <w:szCs w:val="21"/>
                      <w:u w:val="none"/>
                    </w:rPr>
                    <w:t>排放浓度mg/m</w:t>
                  </w:r>
                  <w:r>
                    <w:rPr>
                      <w:rFonts w:hint="eastAsia"/>
                      <w:b/>
                      <w:color w:val="auto"/>
                      <w:szCs w:val="21"/>
                      <w:u w:val="none"/>
                      <w:vertAlign w:val="superscript"/>
                    </w:rPr>
                    <w:t>3</w:t>
                  </w:r>
                </w:p>
              </w:tc>
              <w:tc>
                <w:tcPr>
                  <w:tcW w:w="1021" w:type="dxa"/>
                  <w:noWrap w:val="0"/>
                  <w:vAlign w:val="center"/>
                </w:tcPr>
                <w:p>
                  <w:pPr>
                    <w:adjustRightInd w:val="0"/>
                    <w:snapToGrid w:val="0"/>
                    <w:jc w:val="center"/>
                    <w:rPr>
                      <w:rFonts w:hint="default" w:eastAsia="宋体"/>
                      <w:b/>
                      <w:color w:val="auto"/>
                      <w:szCs w:val="21"/>
                      <w:u w:val="none"/>
                      <w:lang w:val="en-US" w:eastAsia="zh-CN"/>
                    </w:rPr>
                  </w:pPr>
                  <w:r>
                    <w:rPr>
                      <w:rFonts w:hint="eastAsia"/>
                      <w:b/>
                      <w:color w:val="auto"/>
                      <w:szCs w:val="21"/>
                      <w:u w:val="no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u w:val="none"/>
                      <w:lang w:eastAsia="zh-CN"/>
                    </w:rPr>
                  </w:pPr>
                  <w:r>
                    <w:rPr>
                      <w:rFonts w:hint="eastAsia" w:cs="Times New Roman"/>
                      <w:color w:val="auto"/>
                      <w:szCs w:val="21"/>
                      <w:highlight w:val="none"/>
                      <w:u w:val="none"/>
                      <w:lang w:eastAsia="zh-CN"/>
                    </w:rPr>
                    <w:t>配粉、</w:t>
                  </w:r>
                  <w:r>
                    <w:rPr>
                      <w:rFonts w:hint="eastAsia" w:ascii="Times New Roman" w:hAnsi="Times New Roman" w:eastAsia="宋体" w:cs="Times New Roman"/>
                      <w:color w:val="auto"/>
                      <w:szCs w:val="21"/>
                      <w:highlight w:val="none"/>
                      <w:u w:val="none"/>
                      <w:lang w:eastAsia="zh-CN"/>
                    </w:rPr>
                    <w:t>磨头磨尾</w:t>
                  </w:r>
                </w:p>
              </w:tc>
              <w:tc>
                <w:tcPr>
                  <w:tcW w:w="900"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颗粒物</w:t>
                  </w:r>
                </w:p>
              </w:tc>
              <w:tc>
                <w:tcPr>
                  <w:tcW w:w="8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lang w:val="en-US" w:eastAsia="zh-CN" w:bidi="ar"/>
                    </w:rPr>
                  </w:pPr>
                  <w:r>
                    <w:rPr>
                      <w:rFonts w:hint="eastAsia" w:cs="Times New Roman"/>
                      <w:i w:val="0"/>
                      <w:iCs w:val="0"/>
                      <w:color w:val="auto"/>
                      <w:kern w:val="0"/>
                      <w:sz w:val="21"/>
                      <w:szCs w:val="21"/>
                      <w:u w:val="single"/>
                      <w:lang w:val="en-US" w:eastAsia="zh-CN" w:bidi="ar"/>
                    </w:rPr>
                    <w:t>12.148</w:t>
                  </w:r>
                </w:p>
              </w:tc>
              <w:tc>
                <w:tcPr>
                  <w:tcW w:w="9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90%</w:t>
                  </w:r>
                </w:p>
              </w:tc>
              <w:tc>
                <w:tcPr>
                  <w:tcW w:w="9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98%</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w:t>
                  </w:r>
                  <w:r>
                    <w:rPr>
                      <w:rFonts w:hint="eastAsia" w:cs="Times New Roman"/>
                      <w:i w:val="0"/>
                      <w:iCs w:val="0"/>
                      <w:color w:val="auto"/>
                      <w:kern w:val="0"/>
                      <w:sz w:val="21"/>
                      <w:szCs w:val="21"/>
                      <w:u w:val="single"/>
                      <w:lang w:val="en-US" w:eastAsia="zh-CN" w:bidi="ar"/>
                    </w:rPr>
                    <w:t>219</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0.0</w:t>
                  </w:r>
                  <w:r>
                    <w:rPr>
                      <w:rFonts w:hint="eastAsia" w:cs="Times New Roman"/>
                      <w:i w:val="0"/>
                      <w:iCs w:val="0"/>
                      <w:color w:val="auto"/>
                      <w:kern w:val="0"/>
                      <w:sz w:val="21"/>
                      <w:szCs w:val="21"/>
                      <w:u w:val="single"/>
                      <w:lang w:val="en-US" w:eastAsia="zh-CN" w:bidi="ar"/>
                    </w:rPr>
                    <w:t>28</w:t>
                  </w:r>
                </w:p>
              </w:tc>
              <w:tc>
                <w:tcPr>
                  <w:tcW w:w="814"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u w:val="single"/>
                      <w:lang w:val="en-US" w:eastAsia="zh-CN" w:bidi="ar"/>
                    </w:rPr>
                  </w:pPr>
                  <w:r>
                    <w:rPr>
                      <w:rFonts w:hint="eastAsia" w:cs="Times New Roman"/>
                      <w:i w:val="0"/>
                      <w:iCs w:val="0"/>
                      <w:color w:val="auto"/>
                      <w:kern w:val="0"/>
                      <w:sz w:val="21"/>
                      <w:szCs w:val="21"/>
                      <w:u w:val="single"/>
                      <w:lang w:val="en-US" w:eastAsia="zh-CN" w:bidi="ar"/>
                    </w:rPr>
                    <w:t>13.805</w:t>
                  </w:r>
                </w:p>
              </w:tc>
              <w:tc>
                <w:tcPr>
                  <w:tcW w:w="10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有组织/DA008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00" w:type="dxa"/>
                  <w:vMerge w:val="continue"/>
                  <w:noWrap w:val="0"/>
                  <w:vAlign w:val="center"/>
                </w:tcPr>
                <w:p>
                  <w:pPr>
                    <w:adjustRightInd w:val="0"/>
                    <w:snapToGrid w:val="0"/>
                    <w:jc w:val="center"/>
                    <w:rPr>
                      <w:rFonts w:hint="eastAsia" w:ascii="Times New Roman" w:hAnsi="Times New Roman" w:cs="Times New Roman"/>
                      <w:color w:val="auto"/>
                      <w:szCs w:val="21"/>
                      <w:highlight w:val="none"/>
                      <w:u w:val="none"/>
                      <w:lang w:val="en-US" w:eastAsia="zh-CN"/>
                    </w:rPr>
                  </w:pPr>
                </w:p>
              </w:tc>
              <w:tc>
                <w:tcPr>
                  <w:tcW w:w="875" w:type="dxa"/>
                  <w:noWrap w:val="0"/>
                  <w:vAlign w:val="center"/>
                </w:tcPr>
                <w:p>
                  <w:pPr>
                    <w:jc w:val="center"/>
                    <w:rPr>
                      <w:rFonts w:hint="default" w:ascii="Times New Roman" w:hAnsi="Times New Roman" w:cs="Times New Roman"/>
                      <w:color w:val="auto"/>
                      <w:kern w:val="0"/>
                      <w:szCs w:val="21"/>
                      <w:highlight w:val="none"/>
                      <w:u w:val="single"/>
                      <w:lang w:val="en-US" w:eastAsia="zh-CN" w:bidi="ar"/>
                    </w:rPr>
                  </w:pPr>
                  <w:r>
                    <w:rPr>
                      <w:rFonts w:hint="eastAsia" w:ascii="Times New Roman" w:hAnsi="Times New Roman" w:cs="Times New Roman"/>
                      <w:color w:val="auto"/>
                      <w:kern w:val="0"/>
                      <w:szCs w:val="21"/>
                      <w:highlight w:val="none"/>
                      <w:u w:val="single"/>
                      <w:lang w:val="en-US" w:eastAsia="zh-CN" w:bidi="ar"/>
                    </w:rPr>
                    <w:t>/</w:t>
                  </w:r>
                </w:p>
              </w:tc>
              <w:tc>
                <w:tcPr>
                  <w:tcW w:w="915" w:type="dxa"/>
                  <w:noWrap w:val="0"/>
                  <w:vAlign w:val="center"/>
                </w:tcPr>
                <w:p>
                  <w:pPr>
                    <w:jc w:val="center"/>
                    <w:rPr>
                      <w:rFonts w:hint="default" w:ascii="Times New Roman" w:hAnsi="Times New Roman" w:cs="Times New Roman"/>
                      <w:color w:val="auto"/>
                      <w:kern w:val="0"/>
                      <w:szCs w:val="21"/>
                      <w:highlight w:val="none"/>
                      <w:u w:val="single"/>
                      <w:lang w:val="en-US" w:eastAsia="zh-CN" w:bidi="ar"/>
                    </w:rPr>
                  </w:pPr>
                  <w:r>
                    <w:rPr>
                      <w:rFonts w:hint="eastAsia" w:ascii="Times New Roman" w:hAnsi="Times New Roman" w:cs="Times New Roman"/>
                      <w:color w:val="auto"/>
                      <w:kern w:val="0"/>
                      <w:szCs w:val="21"/>
                      <w:highlight w:val="none"/>
                      <w:u w:val="single"/>
                      <w:lang w:val="en-US" w:eastAsia="zh-CN" w:bidi="ar"/>
                    </w:rPr>
                    <w:t>/</w:t>
                  </w:r>
                </w:p>
              </w:tc>
              <w:tc>
                <w:tcPr>
                  <w:tcW w:w="916" w:type="dxa"/>
                  <w:noWrap w:val="0"/>
                  <w:vAlign w:val="center"/>
                </w:tcPr>
                <w:p>
                  <w:pPr>
                    <w:jc w:val="center"/>
                    <w:rPr>
                      <w:rFonts w:hint="default" w:ascii="Times New Roman" w:hAnsi="Times New Roman" w:cs="Times New Roman"/>
                      <w:i w:val="0"/>
                      <w:iCs w:val="0"/>
                      <w:color w:val="auto"/>
                      <w:kern w:val="0"/>
                      <w:sz w:val="21"/>
                      <w:szCs w:val="21"/>
                      <w:highlight w:val="none"/>
                      <w:u w:val="single"/>
                      <w:lang w:val="en-US" w:eastAsia="zh-CN" w:bidi="ar"/>
                    </w:rPr>
                  </w:pPr>
                  <w:r>
                    <w:rPr>
                      <w:rFonts w:hint="eastAsia" w:ascii="Times New Roman" w:hAnsi="Times New Roman" w:cs="Times New Roman"/>
                      <w:i w:val="0"/>
                      <w:iCs w:val="0"/>
                      <w:color w:val="auto"/>
                      <w:kern w:val="0"/>
                      <w:sz w:val="21"/>
                      <w:szCs w:val="21"/>
                      <w:highlight w:val="none"/>
                      <w:u w:val="singl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eastAsia" w:cs="Times New Roman"/>
                      <w:i w:val="0"/>
                      <w:iCs w:val="0"/>
                      <w:color w:val="auto"/>
                      <w:kern w:val="0"/>
                      <w:sz w:val="21"/>
                      <w:szCs w:val="21"/>
                      <w:u w:val="single"/>
                      <w:lang w:val="en-US" w:eastAsia="zh-CN" w:bidi="ar"/>
                    </w:rPr>
                    <w:t>1.215</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w:t>
                  </w:r>
                  <w:r>
                    <w:rPr>
                      <w:rFonts w:hint="eastAsia" w:cs="Times New Roman"/>
                      <w:i w:val="0"/>
                      <w:iCs w:val="0"/>
                      <w:color w:val="auto"/>
                      <w:kern w:val="0"/>
                      <w:sz w:val="21"/>
                      <w:szCs w:val="21"/>
                      <w:u w:val="single"/>
                      <w:lang w:val="en-US" w:eastAsia="zh-CN" w:bidi="ar"/>
                    </w:rPr>
                    <w:t>153</w:t>
                  </w:r>
                </w:p>
              </w:tc>
              <w:tc>
                <w:tcPr>
                  <w:tcW w:w="814" w:type="dxa"/>
                  <w:noWrap w:val="0"/>
                  <w:vAlign w:val="center"/>
                </w:tcPr>
                <w:p>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w:t>
                  </w:r>
                </w:p>
              </w:tc>
              <w:tc>
                <w:tcPr>
                  <w:tcW w:w="102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无组织</w:t>
                  </w:r>
                </w:p>
              </w:tc>
            </w:tr>
          </w:tbl>
          <w:p>
            <w:pPr>
              <w:autoSpaceDE w:val="0"/>
              <w:autoSpaceDN w:val="0"/>
              <w:adjustRightInd w:val="0"/>
              <w:spacing w:line="360" w:lineRule="auto"/>
              <w:ind w:firstLine="482" w:firstLineChars="200"/>
              <w:rPr>
                <w:rFonts w:hint="default" w:eastAsia="宋体"/>
                <w:b/>
                <w:bCs/>
                <w:color w:val="auto"/>
                <w:kern w:val="0"/>
                <w:sz w:val="24"/>
                <w:szCs w:val="24"/>
                <w:u w:val="none" w:color="auto"/>
                <w:lang w:val="en-US" w:eastAsia="zh-CN" w:bidi="ar"/>
              </w:rPr>
            </w:pPr>
            <w:r>
              <w:rPr>
                <w:rFonts w:hint="eastAsia"/>
                <w:b/>
                <w:bCs/>
                <w:color w:val="auto"/>
                <w:kern w:val="0"/>
                <w:sz w:val="24"/>
                <w:szCs w:val="24"/>
                <w:u w:val="none" w:color="auto"/>
                <w:lang w:val="en-US" w:eastAsia="zh-CN" w:bidi="ar"/>
              </w:rPr>
              <w:t>（5）注塑废气</w:t>
            </w:r>
          </w:p>
          <w:p>
            <w:pPr>
              <w:autoSpaceDE w:val="0"/>
              <w:autoSpaceDN w:val="0"/>
              <w:adjustRightInd w:val="0"/>
              <w:spacing w:line="360" w:lineRule="auto"/>
              <w:ind w:firstLineChars="200"/>
              <w:rPr>
                <w:rFonts w:hint="default"/>
                <w:color w:val="auto"/>
                <w:szCs w:val="22"/>
                <w:lang w:val="en-US" w:eastAsia="zh-CN"/>
              </w:rPr>
            </w:pPr>
            <w:r>
              <w:rPr>
                <w:rFonts w:hint="eastAsia"/>
                <w:b w:val="0"/>
                <w:bCs w:val="0"/>
                <w:color w:val="auto"/>
                <w:kern w:val="0"/>
                <w:sz w:val="24"/>
                <w:szCs w:val="24"/>
                <w:u w:val="none" w:color="auto"/>
                <w:lang w:bidi="ar"/>
              </w:rPr>
              <w:t>项目绕盘注塑使用的原料为聚苯乙烯(P</w:t>
            </w:r>
            <w:r>
              <w:rPr>
                <w:rFonts w:hint="eastAsia"/>
                <w:b w:val="0"/>
                <w:bCs w:val="0"/>
                <w:color w:val="auto"/>
                <w:kern w:val="0"/>
                <w:sz w:val="24"/>
                <w:szCs w:val="24"/>
                <w:u w:val="none" w:color="auto"/>
                <w:lang w:val="en-US" w:eastAsia="zh-CN" w:bidi="ar"/>
              </w:rPr>
              <w:t>S</w:t>
            </w:r>
            <w:r>
              <w:rPr>
                <w:rFonts w:hint="eastAsia"/>
                <w:b w:val="0"/>
                <w:bCs w:val="0"/>
                <w:color w:val="auto"/>
                <w:kern w:val="0"/>
                <w:sz w:val="24"/>
                <w:szCs w:val="24"/>
                <w:u w:val="none" w:color="auto"/>
                <w:lang w:bidi="ar"/>
              </w:rPr>
              <w:t>)塑料，加热温度</w:t>
            </w:r>
            <w:r>
              <w:rPr>
                <w:rFonts w:hint="eastAsia"/>
                <w:b w:val="0"/>
                <w:bCs w:val="0"/>
                <w:color w:val="auto"/>
                <w:kern w:val="0"/>
                <w:sz w:val="24"/>
                <w:szCs w:val="24"/>
                <w:u w:val="none" w:color="auto"/>
                <w:lang w:val="en-US" w:eastAsia="zh-CN" w:bidi="ar"/>
              </w:rPr>
              <w:t>200-220</w:t>
            </w:r>
            <w:r>
              <w:rPr>
                <w:rFonts w:hint="eastAsia"/>
                <w:b w:val="0"/>
                <w:bCs w:val="0"/>
                <w:color w:val="auto"/>
                <w:kern w:val="0"/>
                <w:sz w:val="24"/>
                <w:szCs w:val="24"/>
                <w:u w:val="none" w:color="auto"/>
                <w:lang w:bidi="ar"/>
              </w:rPr>
              <w:t>℃，温度在此范围内塑料会发生分解</w:t>
            </w:r>
            <w:r>
              <w:rPr>
                <w:rFonts w:hint="eastAsia"/>
                <w:color w:val="auto"/>
                <w:lang w:eastAsia="zh-CN"/>
              </w:rPr>
              <w:t>，</w:t>
            </w:r>
            <w:r>
              <w:rPr>
                <w:rFonts w:hint="eastAsia" w:ascii="Times New Roman" w:hAnsi="Times New Roman" w:eastAsia="宋体" w:cs="Times New Roman"/>
                <w:color w:val="auto"/>
                <w:kern w:val="0"/>
                <w:sz w:val="24"/>
                <w:szCs w:val="24"/>
                <w:u w:val="none" w:color="auto"/>
                <w:lang w:eastAsia="zh-CN" w:bidi="ar"/>
              </w:rPr>
              <w:t>项目</w:t>
            </w:r>
            <w:r>
              <w:rPr>
                <w:rFonts w:hint="eastAsia" w:ascii="Times New Roman" w:hAnsi="Times New Roman" w:eastAsia="宋体" w:cs="Times New Roman"/>
                <w:color w:val="auto"/>
                <w:kern w:val="0"/>
                <w:sz w:val="24"/>
                <w:szCs w:val="24"/>
                <w:u w:val="none" w:color="auto"/>
                <w:lang w:val="en-US" w:eastAsia="zh-CN" w:bidi="ar"/>
              </w:rPr>
              <w:t>不使用发泡剂。</w:t>
            </w:r>
            <w:r>
              <w:rPr>
                <w:rFonts w:hint="eastAsia" w:ascii="Times New Roman" w:hAnsi="Times New Roman" w:eastAsia="宋体" w:cs="Times New Roman"/>
                <w:b w:val="0"/>
                <w:bCs w:val="0"/>
                <w:color w:val="auto"/>
                <w:kern w:val="0"/>
                <w:sz w:val="24"/>
                <w:szCs w:val="24"/>
                <w:u w:val="none" w:color="auto"/>
                <w:lang w:bidi="ar"/>
              </w:rPr>
              <w:t>根据《排放源统计调查产排污核算方法和系</w:t>
            </w:r>
            <w:r>
              <w:rPr>
                <w:rFonts w:hint="eastAsia"/>
                <w:b w:val="0"/>
                <w:bCs w:val="0"/>
                <w:color w:val="auto"/>
                <w:kern w:val="0"/>
                <w:sz w:val="24"/>
                <w:szCs w:val="24"/>
                <w:u w:val="none" w:color="auto"/>
                <w:lang w:bidi="ar"/>
              </w:rPr>
              <w:t>数手册--塑料制品行业系数手册》，中“2922塑料板、管、型材制造行业产污系数表”，挤出过程有机废气(以非甲烷总烃计)产污系数为1</w:t>
            </w:r>
            <w:r>
              <w:rPr>
                <w:rFonts w:hint="eastAsia" w:ascii="Times New Roman" w:hAnsi="Times New Roman" w:eastAsia="宋体" w:cs="Times New Roman"/>
                <w:b w:val="0"/>
                <w:bCs w:val="0"/>
                <w:color w:val="auto"/>
                <w:kern w:val="0"/>
                <w:sz w:val="24"/>
                <w:szCs w:val="24"/>
                <w:u w:val="none" w:color="auto"/>
                <w:lang w:bidi="ar"/>
              </w:rPr>
              <w:t>.5kg/t产品。</w:t>
            </w:r>
            <w:r>
              <w:rPr>
                <w:rFonts w:hint="eastAsia" w:ascii="Times New Roman" w:hAnsi="Times New Roman" w:eastAsia="宋体" w:cs="Times New Roman"/>
                <w:b w:val="0"/>
                <w:bCs w:val="0"/>
                <w:color w:val="auto"/>
                <w:kern w:val="0"/>
                <w:sz w:val="24"/>
                <w:szCs w:val="24"/>
                <w:u w:val="none" w:color="auto"/>
                <w:lang w:val="en-US" w:eastAsia="zh-CN" w:bidi="ar"/>
              </w:rPr>
              <w:t>塑料盘</w:t>
            </w:r>
            <w:r>
              <w:rPr>
                <w:rFonts w:hint="eastAsia" w:ascii="Times New Roman" w:hAnsi="Times New Roman" w:eastAsia="宋体" w:cs="Times New Roman"/>
                <w:b w:val="0"/>
                <w:bCs w:val="0"/>
                <w:color w:val="auto"/>
                <w:kern w:val="0"/>
                <w:sz w:val="24"/>
                <w:szCs w:val="24"/>
                <w:u w:val="none" w:color="auto"/>
                <w:lang w:bidi="ar"/>
              </w:rPr>
              <w:t>年生产量约</w:t>
            </w:r>
            <w:r>
              <w:rPr>
                <w:rFonts w:hint="eastAsia" w:ascii="Times New Roman" w:hAnsi="Times New Roman" w:eastAsia="宋体" w:cs="Times New Roman"/>
                <w:b w:val="0"/>
                <w:bCs w:val="0"/>
                <w:color w:val="auto"/>
                <w:kern w:val="0"/>
                <w:sz w:val="24"/>
                <w:szCs w:val="24"/>
                <w:u w:val="none" w:color="auto"/>
                <w:lang w:val="en-US" w:eastAsia="zh-CN" w:bidi="ar"/>
              </w:rPr>
              <w:t>30</w:t>
            </w:r>
            <w:r>
              <w:rPr>
                <w:rFonts w:hint="eastAsia" w:ascii="Times New Roman" w:hAnsi="Times New Roman" w:eastAsia="宋体" w:cs="Times New Roman"/>
                <w:b w:val="0"/>
                <w:bCs w:val="0"/>
                <w:color w:val="auto"/>
                <w:kern w:val="0"/>
                <w:sz w:val="24"/>
                <w:szCs w:val="24"/>
                <w:u w:val="none" w:color="auto"/>
                <w:lang w:bidi="ar"/>
              </w:rPr>
              <w:t>00吨，则非甲烷总烃产生量约</w:t>
            </w:r>
            <w:r>
              <w:rPr>
                <w:rFonts w:hint="eastAsia" w:ascii="Times New Roman" w:hAnsi="Times New Roman" w:eastAsia="宋体" w:cs="Times New Roman"/>
                <w:b w:val="0"/>
                <w:bCs w:val="0"/>
                <w:color w:val="auto"/>
                <w:kern w:val="0"/>
                <w:sz w:val="24"/>
                <w:szCs w:val="24"/>
                <w:u w:val="none" w:color="auto"/>
                <w:lang w:val="en-US" w:eastAsia="zh-CN" w:bidi="ar"/>
              </w:rPr>
              <w:t>4.5</w:t>
            </w:r>
            <w:r>
              <w:rPr>
                <w:rFonts w:hint="eastAsia" w:ascii="Times New Roman" w:hAnsi="Times New Roman" w:eastAsia="宋体" w:cs="Times New Roman"/>
                <w:b w:val="0"/>
                <w:bCs w:val="0"/>
                <w:color w:val="auto"/>
                <w:kern w:val="0"/>
                <w:sz w:val="24"/>
                <w:szCs w:val="24"/>
                <w:u w:val="none" w:color="auto"/>
                <w:lang w:bidi="ar"/>
              </w:rPr>
              <w:t>t</w:t>
            </w:r>
            <w:r>
              <w:rPr>
                <w:rFonts w:hint="eastAsia" w:ascii="Times New Roman" w:hAnsi="Times New Roman" w:eastAsia="宋体" w:cs="Times New Roman"/>
                <w:b w:val="0"/>
                <w:bCs w:val="0"/>
                <w:color w:val="auto"/>
                <w:kern w:val="0"/>
                <w:sz w:val="24"/>
                <w:szCs w:val="24"/>
                <w:u w:val="none" w:color="auto"/>
                <w:lang w:val="en-US" w:eastAsia="zh-CN" w:bidi="ar"/>
              </w:rPr>
              <w:t>/</w:t>
            </w:r>
            <w:r>
              <w:rPr>
                <w:rFonts w:hint="eastAsia" w:ascii="Times New Roman" w:hAnsi="Times New Roman" w:eastAsia="宋体" w:cs="Times New Roman"/>
                <w:b w:val="0"/>
                <w:bCs w:val="0"/>
                <w:color w:val="auto"/>
                <w:kern w:val="0"/>
                <w:sz w:val="24"/>
                <w:szCs w:val="24"/>
                <w:u w:val="none" w:color="auto"/>
                <w:lang w:bidi="ar"/>
              </w:rPr>
              <w:t>a。</w:t>
            </w:r>
          </w:p>
          <w:p>
            <w:pPr>
              <w:autoSpaceDE w:val="0"/>
              <w:autoSpaceDN w:val="0"/>
              <w:adjustRightInd w:val="0"/>
              <w:spacing w:line="360" w:lineRule="auto"/>
              <w:ind w:firstLineChars="200"/>
              <w:rPr>
                <w:rFonts w:hint="eastAsia" w:ascii="Times New Roman" w:hAnsi="Times New Roman" w:eastAsia="宋体" w:cs="Times New Roman"/>
                <w:color w:val="auto"/>
                <w:kern w:val="0"/>
                <w:sz w:val="24"/>
                <w:szCs w:val="24"/>
                <w:u w:val="none" w:color="auto"/>
                <w:lang w:eastAsia="zh-CN" w:bidi="ar"/>
              </w:rPr>
            </w:pPr>
            <w:r>
              <w:rPr>
                <w:rFonts w:hint="eastAsia" w:ascii="Times New Roman" w:hAnsi="Times New Roman" w:eastAsia="宋体" w:cs="Times New Roman"/>
                <w:color w:val="auto"/>
                <w:kern w:val="0"/>
                <w:sz w:val="24"/>
                <w:szCs w:val="24"/>
                <w:u w:val="none" w:color="auto"/>
                <w:lang w:eastAsia="zh-CN" w:bidi="ar"/>
              </w:rPr>
              <w:t>参考《气相色谱</w:t>
            </w:r>
            <w:r>
              <w:rPr>
                <w:rFonts w:hint="eastAsia" w:ascii="Times New Roman" w:hAnsi="Times New Roman" w:eastAsia="宋体" w:cs="Times New Roman"/>
                <w:color w:val="auto"/>
                <w:kern w:val="0"/>
                <w:sz w:val="24"/>
                <w:szCs w:val="24"/>
                <w:u w:val="none" w:color="auto"/>
                <w:lang w:val="en-US" w:eastAsia="zh-CN" w:bidi="ar"/>
              </w:rPr>
              <w:t>-质谱法分析聚苯乙烯加热分解产物</w:t>
            </w:r>
            <w:r>
              <w:rPr>
                <w:rFonts w:hint="eastAsia" w:ascii="Times New Roman" w:hAnsi="Times New Roman" w:eastAsia="宋体" w:cs="Times New Roman"/>
                <w:color w:val="auto"/>
                <w:kern w:val="0"/>
                <w:sz w:val="24"/>
                <w:szCs w:val="24"/>
                <w:u w:val="none" w:color="auto"/>
                <w:lang w:eastAsia="zh-CN" w:bidi="ar"/>
              </w:rPr>
              <w:t>》文献内容，不同温度条件下聚苯乙烯的加热分解产物的种类和浓度实验结果汇总如下：</w:t>
            </w:r>
          </w:p>
          <w:p>
            <w:pPr>
              <w:pStyle w:val="37"/>
              <w:spacing w:before="0" w:after="0"/>
              <w:rPr>
                <w:rFonts w:hint="eastAsia"/>
                <w:color w:val="auto"/>
                <w:sz w:val="24"/>
                <w:szCs w:val="24"/>
              </w:rPr>
            </w:pPr>
            <w:r>
              <w:rPr>
                <w:rFonts w:hint="eastAsia" w:ascii="Times New Roman" w:hAnsi="宋体" w:eastAsia="宋体" w:cs="Times New Roman"/>
                <w:b/>
                <w:bCs/>
                <w:color w:val="auto"/>
                <w:kern w:val="2"/>
                <w:sz w:val="24"/>
                <w:szCs w:val="24"/>
              </w:rPr>
              <w:t>表</w:t>
            </w:r>
            <w:r>
              <w:rPr>
                <w:rFonts w:hint="eastAsia" w:ascii="Times New Roman" w:hAnsi="宋体" w:eastAsia="宋体" w:cs="Times New Roman"/>
                <w:b/>
                <w:bCs/>
                <w:color w:val="auto"/>
                <w:kern w:val="2"/>
                <w:sz w:val="24"/>
                <w:szCs w:val="24"/>
                <w:lang w:val="en-US" w:eastAsia="zh-CN"/>
              </w:rPr>
              <w:t>4.2-6</w:t>
            </w:r>
            <w:r>
              <w:rPr>
                <w:rFonts w:hint="eastAsia" w:ascii="Times New Roman" w:hAnsi="宋体" w:eastAsia="宋体" w:cs="Times New Roman"/>
                <w:b/>
                <w:bCs/>
                <w:color w:val="auto"/>
                <w:kern w:val="2"/>
                <w:sz w:val="24"/>
                <w:szCs w:val="24"/>
                <w:lang w:eastAsia="zh-CN"/>
              </w:rPr>
              <w:t>不同温度条件下聚苯乙烯的加热分解产物的种类和浓度（</w:t>
            </w:r>
            <w:r>
              <w:rPr>
                <w:rFonts w:hint="eastAsia" w:ascii="Times New Roman" w:hAnsi="宋体" w:eastAsia="宋体" w:cs="Times New Roman"/>
                <w:b/>
                <w:bCs/>
                <w:color w:val="auto"/>
                <w:kern w:val="2"/>
                <w:sz w:val="24"/>
                <w:szCs w:val="24"/>
                <w:lang w:val="en-US" w:eastAsia="zh-CN"/>
              </w:rPr>
              <w:t>mg/m</w:t>
            </w:r>
            <w:r>
              <w:rPr>
                <w:rFonts w:hint="eastAsia" w:ascii="Times New Roman" w:hAnsi="宋体" w:eastAsia="宋体" w:cs="Times New Roman"/>
                <w:b/>
                <w:bCs/>
                <w:color w:val="auto"/>
                <w:kern w:val="2"/>
                <w:sz w:val="24"/>
                <w:szCs w:val="24"/>
                <w:vertAlign w:val="superscript"/>
                <w:lang w:val="en-US" w:eastAsia="zh-CN"/>
              </w:rPr>
              <w:t>3</w:t>
            </w:r>
            <w:r>
              <w:rPr>
                <w:rFonts w:hint="eastAsia" w:ascii="Times New Roman" w:hAnsi="宋体" w:eastAsia="宋体" w:cs="Times New Roman"/>
                <w:b/>
                <w:bCs/>
                <w:color w:val="auto"/>
                <w:kern w:val="2"/>
                <w:sz w:val="24"/>
                <w:szCs w:val="24"/>
                <w:lang w:eastAsia="zh-CN"/>
              </w:rPr>
              <w:t>）</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674"/>
              <w:gridCol w:w="982"/>
              <w:gridCol w:w="982"/>
              <w:gridCol w:w="925"/>
              <w:gridCol w:w="1039"/>
              <w:gridCol w:w="982"/>
              <w:gridCol w:w="982"/>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054" w:type="dxa"/>
                  <w:gridSpan w:val="2"/>
                  <w:noWrap w:val="0"/>
                  <w:vAlign w:val="center"/>
                </w:tcPr>
                <w:p>
                  <w:pPr>
                    <w:autoSpaceDN w:val="0"/>
                    <w:spacing w:line="240" w:lineRule="auto"/>
                    <w:jc w:val="center"/>
                    <w:rPr>
                      <w:rFonts w:hint="eastAsia" w:eastAsia="宋体"/>
                      <w:b/>
                      <w:bCs/>
                      <w:color w:val="auto"/>
                      <w:sz w:val="21"/>
                      <w:szCs w:val="21"/>
                      <w:lang w:eastAsia="zh-CN"/>
                    </w:rPr>
                  </w:pPr>
                  <w:r>
                    <w:rPr>
                      <w:rFonts w:hint="eastAsia"/>
                      <w:b/>
                      <w:bCs/>
                      <w:color w:val="auto"/>
                      <w:sz w:val="21"/>
                      <w:szCs w:val="21"/>
                      <w:lang w:eastAsia="zh-CN"/>
                    </w:rPr>
                    <w:t>加热分解产物</w:t>
                  </w:r>
                </w:p>
              </w:tc>
              <w:tc>
                <w:tcPr>
                  <w:tcW w:w="982" w:type="dxa"/>
                  <w:noWrap w:val="0"/>
                  <w:vAlign w:val="center"/>
                </w:tcPr>
                <w:p>
                  <w:pPr>
                    <w:autoSpaceDN w:val="0"/>
                    <w:spacing w:line="240" w:lineRule="auto"/>
                    <w:jc w:val="center"/>
                    <w:rPr>
                      <w:rFonts w:hint="eastAsia" w:eastAsia="宋体"/>
                      <w:b/>
                      <w:bCs/>
                      <w:color w:val="auto"/>
                      <w:sz w:val="21"/>
                      <w:szCs w:val="21"/>
                      <w:shd w:val="clear" w:color="auto" w:fill="FFFFFF"/>
                      <w:lang w:eastAsia="zh-CN"/>
                    </w:rPr>
                  </w:pPr>
                  <w:r>
                    <w:rPr>
                      <w:rFonts w:hint="eastAsia"/>
                      <w:b/>
                      <w:bCs/>
                      <w:color w:val="auto"/>
                      <w:sz w:val="21"/>
                      <w:szCs w:val="21"/>
                      <w:shd w:val="clear" w:color="auto" w:fill="FFFFFF"/>
                      <w:lang w:eastAsia="zh-CN"/>
                    </w:rPr>
                    <w:t>苯</w:t>
                  </w:r>
                </w:p>
              </w:tc>
              <w:tc>
                <w:tcPr>
                  <w:tcW w:w="982" w:type="dxa"/>
                  <w:noWrap w:val="0"/>
                  <w:vAlign w:val="center"/>
                </w:tcPr>
                <w:p>
                  <w:pPr>
                    <w:autoSpaceDN w:val="0"/>
                    <w:spacing w:line="240" w:lineRule="auto"/>
                    <w:jc w:val="center"/>
                    <w:rPr>
                      <w:rFonts w:hint="eastAsia" w:eastAsia="宋体"/>
                      <w:b/>
                      <w:bCs/>
                      <w:color w:val="auto"/>
                      <w:sz w:val="21"/>
                      <w:szCs w:val="21"/>
                      <w:lang w:eastAsia="zh-CN"/>
                    </w:rPr>
                  </w:pPr>
                  <w:r>
                    <w:rPr>
                      <w:rFonts w:hint="eastAsia"/>
                      <w:b/>
                      <w:bCs/>
                      <w:color w:val="auto"/>
                      <w:sz w:val="21"/>
                      <w:szCs w:val="21"/>
                      <w:lang w:eastAsia="zh-CN"/>
                    </w:rPr>
                    <w:t>甲苯</w:t>
                  </w:r>
                </w:p>
              </w:tc>
              <w:tc>
                <w:tcPr>
                  <w:tcW w:w="925" w:type="dxa"/>
                  <w:noWrap w:val="0"/>
                  <w:vAlign w:val="center"/>
                </w:tcPr>
                <w:p>
                  <w:pPr>
                    <w:autoSpaceDN w:val="0"/>
                    <w:spacing w:line="240" w:lineRule="auto"/>
                    <w:jc w:val="center"/>
                    <w:rPr>
                      <w:rFonts w:hint="eastAsia" w:eastAsia="宋体"/>
                      <w:b/>
                      <w:bCs/>
                      <w:color w:val="auto"/>
                      <w:sz w:val="21"/>
                      <w:szCs w:val="21"/>
                      <w:shd w:val="clear" w:color="auto" w:fill="FFFFFF"/>
                      <w:lang w:eastAsia="zh-CN"/>
                    </w:rPr>
                  </w:pPr>
                  <w:r>
                    <w:rPr>
                      <w:rFonts w:hint="eastAsia"/>
                      <w:b/>
                      <w:bCs/>
                      <w:color w:val="auto"/>
                      <w:sz w:val="21"/>
                      <w:szCs w:val="21"/>
                      <w:shd w:val="clear" w:color="auto" w:fill="FFFFFF"/>
                      <w:lang w:eastAsia="zh-CN"/>
                    </w:rPr>
                    <w:t>乙苯</w:t>
                  </w:r>
                </w:p>
              </w:tc>
              <w:tc>
                <w:tcPr>
                  <w:tcW w:w="1039" w:type="dxa"/>
                  <w:noWrap w:val="0"/>
                  <w:vAlign w:val="center"/>
                </w:tcPr>
                <w:p>
                  <w:pPr>
                    <w:autoSpaceDN w:val="0"/>
                    <w:spacing w:line="240" w:lineRule="auto"/>
                    <w:jc w:val="center"/>
                    <w:rPr>
                      <w:rFonts w:hint="eastAsia" w:eastAsia="宋体"/>
                      <w:b/>
                      <w:bCs/>
                      <w:color w:val="auto"/>
                      <w:sz w:val="21"/>
                      <w:szCs w:val="21"/>
                      <w:shd w:val="clear" w:color="auto" w:fill="FFFFFF"/>
                      <w:lang w:eastAsia="zh-CN"/>
                    </w:rPr>
                  </w:pPr>
                  <w:r>
                    <w:rPr>
                      <w:rFonts w:hint="eastAsia"/>
                      <w:b/>
                      <w:bCs/>
                      <w:color w:val="auto"/>
                      <w:sz w:val="21"/>
                      <w:szCs w:val="21"/>
                      <w:shd w:val="clear" w:color="auto" w:fill="FFFFFF"/>
                      <w:lang w:eastAsia="zh-CN"/>
                    </w:rPr>
                    <w:t>对二甲苯</w:t>
                  </w:r>
                </w:p>
              </w:tc>
              <w:tc>
                <w:tcPr>
                  <w:tcW w:w="982"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间二甲苯</w:t>
                  </w:r>
                </w:p>
              </w:tc>
              <w:tc>
                <w:tcPr>
                  <w:tcW w:w="982"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邻二甲苯</w:t>
                  </w:r>
                </w:p>
              </w:tc>
              <w:tc>
                <w:tcPr>
                  <w:tcW w:w="988"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restart"/>
                  <w:noWrap w:val="0"/>
                  <w:vAlign w:val="center"/>
                </w:tcPr>
                <w:p>
                  <w:pPr>
                    <w:wordWrap w:val="0"/>
                    <w:adjustRightInd w:val="0"/>
                    <w:snapToGrid w:val="0"/>
                    <w:spacing w:line="240" w:lineRule="atLeast"/>
                    <w:jc w:val="center"/>
                    <w:rPr>
                      <w:rFonts w:hint="eastAsia" w:eastAsia="宋体"/>
                      <w:color w:val="auto"/>
                      <w:sz w:val="21"/>
                      <w:szCs w:val="21"/>
                      <w:lang w:eastAsia="zh-CN"/>
                    </w:rPr>
                  </w:pPr>
                  <w:r>
                    <w:rPr>
                      <w:rFonts w:hint="eastAsia"/>
                      <w:color w:val="auto"/>
                      <w:sz w:val="21"/>
                      <w:szCs w:val="21"/>
                      <w:lang w:eastAsia="zh-CN"/>
                    </w:rPr>
                    <w:t>温度℃</w:t>
                  </w: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80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0.11</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0.08</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未检出</w:t>
                  </w:r>
                </w:p>
              </w:tc>
              <w:tc>
                <w:tcPr>
                  <w:tcW w:w="1039"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2"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2"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8"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100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0.16</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0.14</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未检出</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0.88</w:t>
                  </w:r>
                </w:p>
              </w:tc>
              <w:tc>
                <w:tcPr>
                  <w:tcW w:w="982"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2"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8"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120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0.21</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0.20</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未检出</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1.27</w:t>
                  </w:r>
                </w:p>
              </w:tc>
              <w:tc>
                <w:tcPr>
                  <w:tcW w:w="982"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0.34</w:t>
                  </w:r>
                </w:p>
              </w:tc>
              <w:tc>
                <w:tcPr>
                  <w:tcW w:w="988" w:type="dxa"/>
                  <w:noWrap w:val="0"/>
                  <w:vAlign w:val="center"/>
                </w:tcPr>
                <w:p>
                  <w:pPr>
                    <w:autoSpaceDN w:val="0"/>
                    <w:spacing w:line="240" w:lineRule="auto"/>
                    <w:jc w:val="center"/>
                    <w:rPr>
                      <w:rFonts w:hint="eastAsia" w:ascii="Times New Roman" w:hAnsi="Times New Roman" w:eastAsia="宋体"/>
                      <w:color w:val="auto"/>
                      <w:kern w:val="2"/>
                      <w:sz w:val="21"/>
                      <w:szCs w:val="21"/>
                      <w:lang w:val="en-US" w:eastAsia="zh-CN" w:bidi="ar-SA"/>
                    </w:rPr>
                  </w:pPr>
                  <w:r>
                    <w:rPr>
                      <w:rFonts w:hint="eastAsia"/>
                      <w:color w:val="auto"/>
                      <w:kern w:val="2"/>
                      <w:sz w:val="21"/>
                      <w:szCs w:val="21"/>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140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0.24</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0.22</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0.18</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2.62</w:t>
                  </w:r>
                </w:p>
              </w:tc>
              <w:tc>
                <w:tcPr>
                  <w:tcW w:w="982"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未检出</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0.88</w:t>
                  </w:r>
                </w:p>
              </w:tc>
              <w:tc>
                <w:tcPr>
                  <w:tcW w:w="988"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160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1.22</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0.73</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0.38</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5.62</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0.14</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1.38</w:t>
                  </w:r>
                </w:p>
              </w:tc>
              <w:tc>
                <w:tcPr>
                  <w:tcW w:w="988"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180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2.98</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1.24</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0.66</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8.23</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0.38</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3.18</w:t>
                  </w:r>
                </w:p>
              </w:tc>
              <w:tc>
                <w:tcPr>
                  <w:tcW w:w="988"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200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4.12</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2.28</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1.06</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10.12</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0.74</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4.88</w:t>
                  </w:r>
                </w:p>
              </w:tc>
              <w:tc>
                <w:tcPr>
                  <w:tcW w:w="988"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eastAsia="宋体"/>
                      <w:b/>
                      <w:bCs/>
                      <w:color w:val="auto"/>
                      <w:sz w:val="21"/>
                      <w:szCs w:val="21"/>
                      <w:lang w:val="en-US" w:eastAsia="zh-CN"/>
                    </w:rPr>
                  </w:pPr>
                  <w:r>
                    <w:rPr>
                      <w:rFonts w:hint="eastAsia"/>
                      <w:b/>
                      <w:bCs/>
                      <w:color w:val="auto"/>
                      <w:sz w:val="21"/>
                      <w:szCs w:val="21"/>
                      <w:lang w:val="en-US" w:eastAsia="zh-CN"/>
                    </w:rPr>
                    <w:t>220</w:t>
                  </w:r>
                </w:p>
              </w:tc>
              <w:tc>
                <w:tcPr>
                  <w:tcW w:w="982"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6.78</w:t>
                  </w:r>
                </w:p>
              </w:tc>
              <w:tc>
                <w:tcPr>
                  <w:tcW w:w="982"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3.42</w:t>
                  </w:r>
                </w:p>
              </w:tc>
              <w:tc>
                <w:tcPr>
                  <w:tcW w:w="925"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1.31</w:t>
                  </w:r>
                </w:p>
              </w:tc>
              <w:tc>
                <w:tcPr>
                  <w:tcW w:w="1039"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12.74</w:t>
                  </w:r>
                </w:p>
              </w:tc>
              <w:tc>
                <w:tcPr>
                  <w:tcW w:w="982"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0.98</w:t>
                  </w:r>
                </w:p>
              </w:tc>
              <w:tc>
                <w:tcPr>
                  <w:tcW w:w="982"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6.38</w:t>
                  </w:r>
                </w:p>
              </w:tc>
              <w:tc>
                <w:tcPr>
                  <w:tcW w:w="988" w:type="dxa"/>
                  <w:noWrap w:val="0"/>
                  <w:vAlign w:val="center"/>
                </w:tcPr>
                <w:p>
                  <w:pPr>
                    <w:autoSpaceDN w:val="0"/>
                    <w:spacing w:line="240" w:lineRule="auto"/>
                    <w:jc w:val="center"/>
                    <w:rPr>
                      <w:rFonts w:hint="default"/>
                      <w:b/>
                      <w:bCs/>
                      <w:color w:val="auto"/>
                      <w:kern w:val="2"/>
                      <w:sz w:val="21"/>
                      <w:szCs w:val="21"/>
                      <w:lang w:val="en-US" w:eastAsia="zh-CN" w:bidi="ar-SA"/>
                    </w:rPr>
                  </w:pPr>
                  <w:r>
                    <w:rPr>
                      <w:rFonts w:hint="eastAsia"/>
                      <w:b/>
                      <w:bCs/>
                      <w:color w:val="auto"/>
                      <w:kern w:val="2"/>
                      <w:sz w:val="21"/>
                      <w:szCs w:val="21"/>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color w:val="auto"/>
                      <w:sz w:val="21"/>
                      <w:szCs w:val="21"/>
                      <w:lang w:val="en-US" w:eastAsia="zh-CN"/>
                    </w:rPr>
                  </w:pPr>
                  <w:r>
                    <w:rPr>
                      <w:rFonts w:hint="eastAsia"/>
                      <w:color w:val="auto"/>
                      <w:sz w:val="21"/>
                      <w:szCs w:val="21"/>
                      <w:lang w:val="en-US" w:eastAsia="zh-CN"/>
                    </w:rPr>
                    <w:t>240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9.10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6.82</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2.56</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14.11</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1.56</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8.24</w:t>
                  </w:r>
                </w:p>
              </w:tc>
              <w:tc>
                <w:tcPr>
                  <w:tcW w:w="988"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0" w:type="dxa"/>
                  <w:vMerge w:val="continue"/>
                  <w:noWrap w:val="0"/>
                  <w:vAlign w:val="center"/>
                </w:tcPr>
                <w:p>
                  <w:pPr>
                    <w:wordWrap w:val="0"/>
                    <w:adjustRightInd w:val="0"/>
                    <w:snapToGrid w:val="0"/>
                    <w:spacing w:line="240" w:lineRule="atLeast"/>
                    <w:jc w:val="center"/>
                    <w:rPr>
                      <w:rFonts w:hint="eastAsia"/>
                      <w:color w:val="auto"/>
                      <w:sz w:val="21"/>
                      <w:szCs w:val="21"/>
                    </w:rPr>
                  </w:pPr>
                </w:p>
              </w:tc>
              <w:tc>
                <w:tcPr>
                  <w:tcW w:w="674" w:type="dxa"/>
                  <w:noWrap w:val="0"/>
                  <w:vAlign w:val="center"/>
                </w:tcPr>
                <w:p>
                  <w:pPr>
                    <w:wordWrap w:val="0"/>
                    <w:adjustRightInd w:val="0"/>
                    <w:snapToGrid w:val="0"/>
                    <w:spacing w:line="240" w:lineRule="atLeast"/>
                    <w:jc w:val="center"/>
                    <w:rPr>
                      <w:rFonts w:hint="default"/>
                      <w:color w:val="auto"/>
                      <w:sz w:val="21"/>
                      <w:szCs w:val="21"/>
                      <w:lang w:val="en-US" w:eastAsia="zh-CN"/>
                    </w:rPr>
                  </w:pPr>
                  <w:r>
                    <w:rPr>
                      <w:rFonts w:hint="eastAsia"/>
                      <w:color w:val="auto"/>
                      <w:sz w:val="21"/>
                      <w:szCs w:val="21"/>
                      <w:lang w:val="en-US" w:eastAsia="zh-CN"/>
                    </w:rPr>
                    <w:t>260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12.60</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9.22</w:t>
                  </w:r>
                </w:p>
              </w:tc>
              <w:tc>
                <w:tcPr>
                  <w:tcW w:w="925"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5.81</w:t>
                  </w:r>
                </w:p>
              </w:tc>
              <w:tc>
                <w:tcPr>
                  <w:tcW w:w="1039"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17.16</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3.42</w:t>
                  </w:r>
                </w:p>
              </w:tc>
              <w:tc>
                <w:tcPr>
                  <w:tcW w:w="982"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10.62</w:t>
                  </w:r>
                </w:p>
              </w:tc>
              <w:tc>
                <w:tcPr>
                  <w:tcW w:w="988"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4.22</w:t>
                  </w:r>
                </w:p>
              </w:tc>
            </w:tr>
          </w:tbl>
          <w:p>
            <w:pPr>
              <w:autoSpaceDE w:val="0"/>
              <w:autoSpaceDN w:val="0"/>
              <w:adjustRightInd w:val="0"/>
              <w:spacing w:line="360" w:lineRule="auto"/>
              <w:ind w:firstLineChars="200"/>
              <w:rPr>
                <w:rFonts w:hint="eastAsia" w:ascii="Times New Roman" w:hAnsi="Times New Roman" w:eastAsia="宋体" w:cs="Times New Roman"/>
                <w:color w:val="auto"/>
                <w:kern w:val="0"/>
                <w:sz w:val="24"/>
                <w:szCs w:val="24"/>
                <w:u w:val="none" w:color="auto"/>
                <w:lang w:val="en-US" w:eastAsia="zh-CN" w:bidi="ar"/>
              </w:rPr>
            </w:pPr>
            <w:r>
              <w:rPr>
                <w:rFonts w:hint="eastAsia" w:ascii="Times New Roman" w:hAnsi="Times New Roman" w:eastAsia="宋体" w:cs="Times New Roman"/>
                <w:color w:val="auto"/>
                <w:kern w:val="0"/>
                <w:sz w:val="24"/>
                <w:szCs w:val="24"/>
                <w:u w:val="none" w:color="auto"/>
                <w:lang w:eastAsia="zh-CN" w:bidi="ar"/>
              </w:rPr>
              <w:t>该实验是在相同容积下测得的各污染物浓度，因此污染物浓度比等于质量比。根据前文叙述，本项目注塑工艺</w:t>
            </w:r>
            <w:r>
              <w:rPr>
                <w:rFonts w:hint="eastAsia" w:cs="Times New Roman"/>
                <w:color w:val="auto"/>
                <w:kern w:val="0"/>
                <w:sz w:val="24"/>
                <w:szCs w:val="24"/>
                <w:u w:val="none" w:color="auto"/>
                <w:lang w:eastAsia="zh-CN" w:bidi="ar"/>
              </w:rPr>
              <w:t>最高</w:t>
            </w:r>
            <w:r>
              <w:rPr>
                <w:rFonts w:hint="eastAsia" w:ascii="Times New Roman" w:hAnsi="Times New Roman" w:eastAsia="宋体" w:cs="Times New Roman"/>
                <w:color w:val="auto"/>
                <w:kern w:val="0"/>
                <w:sz w:val="24"/>
                <w:szCs w:val="24"/>
                <w:u w:val="none" w:color="auto"/>
                <w:lang w:eastAsia="zh-CN" w:bidi="ar"/>
              </w:rPr>
              <w:t>温度</w:t>
            </w:r>
            <w:r>
              <w:rPr>
                <w:rFonts w:hint="eastAsia" w:cs="Times New Roman"/>
                <w:color w:val="auto"/>
                <w:kern w:val="0"/>
                <w:sz w:val="24"/>
                <w:szCs w:val="24"/>
                <w:u w:val="none" w:color="auto"/>
                <w:lang w:eastAsia="zh-CN" w:bidi="ar"/>
              </w:rPr>
              <w:t>为</w:t>
            </w:r>
            <w:r>
              <w:rPr>
                <w:rFonts w:hint="eastAsia" w:ascii="Times New Roman" w:hAnsi="Times New Roman" w:eastAsia="宋体" w:cs="Times New Roman"/>
                <w:color w:val="auto"/>
                <w:kern w:val="0"/>
                <w:sz w:val="24"/>
                <w:szCs w:val="24"/>
                <w:u w:val="none" w:color="auto"/>
                <w:lang w:val="en-US" w:eastAsia="zh-CN" w:bidi="ar"/>
              </w:rPr>
              <w:t>220℃，注塑工序挥发性有机物产生总量约4.5t/a，经计算得项目有机废气污染物产生情况如下：</w:t>
            </w:r>
          </w:p>
          <w:p>
            <w:pPr>
              <w:pStyle w:val="37"/>
              <w:spacing w:before="0" w:after="0"/>
              <w:rPr>
                <w:rFonts w:hint="eastAsia" w:ascii="Times New Roman" w:hAnsi="宋体" w:eastAsia="宋体" w:cs="Times New Roman"/>
                <w:b/>
                <w:bCs/>
                <w:color w:val="auto"/>
                <w:kern w:val="2"/>
                <w:sz w:val="24"/>
                <w:szCs w:val="24"/>
              </w:rPr>
            </w:pPr>
            <w:r>
              <w:rPr>
                <w:rFonts w:hint="eastAsia" w:ascii="Times New Roman" w:hAnsi="宋体" w:eastAsia="宋体" w:cs="Times New Roman"/>
                <w:b/>
                <w:bCs/>
                <w:color w:val="auto"/>
                <w:kern w:val="2"/>
                <w:sz w:val="24"/>
                <w:szCs w:val="24"/>
              </w:rPr>
              <w:t>表</w:t>
            </w:r>
            <w:r>
              <w:rPr>
                <w:rFonts w:hint="eastAsia" w:ascii="Times New Roman" w:hAnsi="宋体" w:eastAsia="宋体" w:cs="Times New Roman"/>
                <w:b/>
                <w:bCs/>
                <w:color w:val="auto"/>
                <w:kern w:val="2"/>
                <w:sz w:val="24"/>
                <w:szCs w:val="24"/>
                <w:lang w:val="en-US" w:eastAsia="zh-CN"/>
              </w:rPr>
              <w:t>4.2-7项目有机废气各污染物产生情况</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308"/>
              <w:gridCol w:w="934"/>
              <w:gridCol w:w="934"/>
              <w:gridCol w:w="934"/>
              <w:gridCol w:w="776"/>
              <w:gridCol w:w="840"/>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blHeader/>
                <w:jc w:val="center"/>
              </w:trPr>
              <w:tc>
                <w:tcPr>
                  <w:tcW w:w="887"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加热分解产物</w:t>
                  </w:r>
                </w:p>
              </w:tc>
              <w:tc>
                <w:tcPr>
                  <w:tcW w:w="1308"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项目</w:t>
                  </w:r>
                </w:p>
              </w:tc>
              <w:tc>
                <w:tcPr>
                  <w:tcW w:w="934"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苯</w:t>
                  </w:r>
                </w:p>
              </w:tc>
              <w:tc>
                <w:tcPr>
                  <w:tcW w:w="934"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甲苯</w:t>
                  </w:r>
                </w:p>
              </w:tc>
              <w:tc>
                <w:tcPr>
                  <w:tcW w:w="934" w:type="dxa"/>
                  <w:noWrap w:val="0"/>
                  <w:vAlign w:val="center"/>
                </w:tcPr>
                <w:p>
                  <w:pPr>
                    <w:autoSpaceDN w:val="0"/>
                    <w:spacing w:line="240" w:lineRule="auto"/>
                    <w:jc w:val="center"/>
                    <w:rPr>
                      <w:rFonts w:hint="eastAsia" w:eastAsia="宋体"/>
                      <w:b/>
                      <w:bCs/>
                      <w:color w:val="auto"/>
                      <w:sz w:val="21"/>
                      <w:szCs w:val="21"/>
                      <w:shd w:val="clear" w:color="auto" w:fill="FFFFFF"/>
                      <w:lang w:eastAsia="zh-CN"/>
                    </w:rPr>
                  </w:pPr>
                  <w:r>
                    <w:rPr>
                      <w:rFonts w:hint="eastAsia"/>
                      <w:b/>
                      <w:bCs/>
                      <w:color w:val="auto"/>
                      <w:sz w:val="21"/>
                      <w:szCs w:val="21"/>
                      <w:shd w:val="clear" w:color="auto" w:fill="FFFFFF"/>
                      <w:lang w:eastAsia="zh-CN"/>
                    </w:rPr>
                    <w:t>乙苯</w:t>
                  </w:r>
                </w:p>
              </w:tc>
              <w:tc>
                <w:tcPr>
                  <w:tcW w:w="776" w:type="dxa"/>
                  <w:noWrap w:val="0"/>
                  <w:vAlign w:val="center"/>
                </w:tcPr>
                <w:p>
                  <w:pPr>
                    <w:autoSpaceDN w:val="0"/>
                    <w:spacing w:line="240" w:lineRule="auto"/>
                    <w:jc w:val="center"/>
                    <w:rPr>
                      <w:rFonts w:hint="eastAsia" w:eastAsia="宋体"/>
                      <w:b/>
                      <w:bCs/>
                      <w:color w:val="auto"/>
                      <w:sz w:val="21"/>
                      <w:szCs w:val="21"/>
                      <w:shd w:val="clear" w:color="auto" w:fill="FFFFFF"/>
                      <w:lang w:eastAsia="zh-CN"/>
                    </w:rPr>
                  </w:pPr>
                  <w:r>
                    <w:rPr>
                      <w:rFonts w:hint="eastAsia"/>
                      <w:b/>
                      <w:bCs/>
                      <w:color w:val="auto"/>
                      <w:sz w:val="21"/>
                      <w:szCs w:val="21"/>
                      <w:shd w:val="clear" w:color="auto" w:fill="FFFFFF"/>
                      <w:lang w:eastAsia="zh-CN"/>
                    </w:rPr>
                    <w:t>二甲苯</w:t>
                  </w:r>
                </w:p>
              </w:tc>
              <w:tc>
                <w:tcPr>
                  <w:tcW w:w="840" w:type="dxa"/>
                  <w:noWrap w:val="0"/>
                  <w:vAlign w:val="center"/>
                </w:tcPr>
                <w:p>
                  <w:pPr>
                    <w:autoSpaceDN w:val="0"/>
                    <w:spacing w:line="240" w:lineRule="auto"/>
                    <w:jc w:val="center"/>
                    <w:rPr>
                      <w:rFonts w:hint="eastAsia"/>
                      <w:b/>
                      <w:bCs/>
                      <w:color w:val="auto"/>
                      <w:sz w:val="21"/>
                      <w:szCs w:val="21"/>
                      <w:shd w:val="clear" w:color="auto" w:fill="FFFFFF"/>
                      <w:lang w:eastAsia="zh-CN"/>
                    </w:rPr>
                  </w:pPr>
                  <w:r>
                    <w:rPr>
                      <w:rFonts w:hint="eastAsia"/>
                      <w:b/>
                      <w:bCs/>
                      <w:color w:val="auto"/>
                      <w:sz w:val="21"/>
                      <w:szCs w:val="21"/>
                      <w:shd w:val="clear" w:color="auto" w:fill="FFFFFF"/>
                      <w:lang w:eastAsia="zh-CN"/>
                    </w:rPr>
                    <w:t>苯乙烯</w:t>
                  </w:r>
                </w:p>
              </w:tc>
              <w:tc>
                <w:tcPr>
                  <w:tcW w:w="1321" w:type="dxa"/>
                  <w:noWrap w:val="0"/>
                  <w:vAlign w:val="center"/>
                </w:tcPr>
                <w:p>
                  <w:pPr>
                    <w:autoSpaceDN w:val="0"/>
                    <w:spacing w:line="240" w:lineRule="auto"/>
                    <w:jc w:val="center"/>
                    <w:rPr>
                      <w:rFonts w:hint="eastAsia"/>
                      <w:b/>
                      <w:bCs/>
                      <w:color w:val="auto"/>
                      <w:sz w:val="21"/>
                      <w:szCs w:val="21"/>
                      <w:shd w:val="clear" w:color="auto" w:fill="FFFFFF"/>
                      <w:lang w:val="en-US" w:eastAsia="zh-CN"/>
                    </w:rPr>
                  </w:pPr>
                  <w:r>
                    <w:rPr>
                      <w:rFonts w:hint="eastAsia"/>
                      <w:b/>
                      <w:bCs/>
                      <w:color w:val="auto"/>
                      <w:sz w:val="21"/>
                      <w:szCs w:val="21"/>
                      <w:shd w:val="clear" w:color="auto" w:fill="FFFFFF"/>
                      <w:lang w:val="en-US" w:eastAsia="zh-CN"/>
                    </w:rPr>
                    <w:t>合计</w:t>
                  </w:r>
                </w:p>
                <w:p>
                  <w:pPr>
                    <w:autoSpaceDN w:val="0"/>
                    <w:spacing w:line="240" w:lineRule="auto"/>
                    <w:jc w:val="center"/>
                    <w:rPr>
                      <w:rFonts w:hint="default"/>
                      <w:b/>
                      <w:bCs/>
                      <w:color w:val="auto"/>
                      <w:sz w:val="21"/>
                      <w:szCs w:val="21"/>
                      <w:shd w:val="clear" w:color="auto" w:fill="FFFFFF"/>
                      <w:lang w:val="en-US" w:eastAsia="zh-CN"/>
                    </w:rPr>
                  </w:pPr>
                  <w:r>
                    <w:rPr>
                      <w:rFonts w:hint="eastAsia"/>
                      <w:b/>
                      <w:bCs/>
                      <w:color w:val="auto"/>
                      <w:sz w:val="21"/>
                      <w:szCs w:val="21"/>
                      <w:shd w:val="clear" w:color="auto" w:fill="FFFFFF"/>
                      <w:lang w:val="en-US" w:eastAsia="zh-CN"/>
                    </w:rPr>
                    <w:t>（以非甲烷总烃计）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87" w:type="dxa"/>
                  <w:vMerge w:val="restart"/>
                  <w:noWrap w:val="0"/>
                  <w:vAlign w:val="center"/>
                </w:tcPr>
                <w:p>
                  <w:pPr>
                    <w:wordWrap w:val="0"/>
                    <w:adjustRightInd w:val="0"/>
                    <w:snapToGrid w:val="0"/>
                    <w:spacing w:line="240" w:lineRule="auto"/>
                    <w:jc w:val="center"/>
                    <w:rPr>
                      <w:rFonts w:hint="eastAsia" w:eastAsia="宋体"/>
                      <w:color w:val="auto"/>
                      <w:sz w:val="21"/>
                      <w:szCs w:val="21"/>
                      <w:lang w:eastAsia="zh-CN"/>
                    </w:rPr>
                  </w:pPr>
                  <w:r>
                    <w:rPr>
                      <w:rFonts w:hint="eastAsia"/>
                      <w:color w:val="auto"/>
                      <w:sz w:val="21"/>
                      <w:szCs w:val="21"/>
                      <w:lang w:eastAsia="zh-CN"/>
                    </w:rPr>
                    <w:t>温度</w:t>
                  </w:r>
                </w:p>
                <w:p>
                  <w:pPr>
                    <w:wordWrap w:val="0"/>
                    <w:adjustRightInd w:val="0"/>
                    <w:snapToGrid w:val="0"/>
                    <w:spacing w:line="240" w:lineRule="auto"/>
                    <w:jc w:val="center"/>
                    <w:rPr>
                      <w:rFonts w:hint="default" w:ascii="Times New Roman" w:hAnsi="Times New Roman" w:eastAsia="宋体"/>
                      <w:color w:val="auto"/>
                      <w:kern w:val="2"/>
                      <w:sz w:val="21"/>
                      <w:szCs w:val="21"/>
                      <w:lang w:val="en-US" w:eastAsia="zh-CN" w:bidi="ar-SA"/>
                    </w:rPr>
                  </w:pPr>
                  <w:r>
                    <w:rPr>
                      <w:rFonts w:hint="eastAsia"/>
                      <w:color w:val="auto"/>
                      <w:sz w:val="21"/>
                      <w:szCs w:val="21"/>
                      <w:lang w:val="en-US" w:eastAsia="zh-CN"/>
                    </w:rPr>
                    <w:t>220℃</w:t>
                  </w:r>
                </w:p>
              </w:tc>
              <w:tc>
                <w:tcPr>
                  <w:tcW w:w="1308" w:type="dxa"/>
                  <w:noWrap w:val="0"/>
                  <w:vAlign w:val="center"/>
                </w:tcPr>
                <w:p>
                  <w:pPr>
                    <w:wordWrap w:val="0"/>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产生系数%</w:t>
                  </w:r>
                </w:p>
              </w:tc>
              <w:tc>
                <w:tcPr>
                  <w:tcW w:w="934"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20.71</w:t>
                  </w:r>
                </w:p>
              </w:tc>
              <w:tc>
                <w:tcPr>
                  <w:tcW w:w="934"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10.45</w:t>
                  </w:r>
                </w:p>
              </w:tc>
              <w:tc>
                <w:tcPr>
                  <w:tcW w:w="934"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4.00</w:t>
                  </w:r>
                </w:p>
              </w:tc>
              <w:tc>
                <w:tcPr>
                  <w:tcW w:w="776"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61.39</w:t>
                  </w:r>
                </w:p>
              </w:tc>
              <w:tc>
                <w:tcPr>
                  <w:tcW w:w="840"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3.45</w:t>
                  </w:r>
                </w:p>
              </w:tc>
              <w:tc>
                <w:tcPr>
                  <w:tcW w:w="1321" w:type="dxa"/>
                  <w:noWrap w:val="0"/>
                  <w:vAlign w:val="center"/>
                </w:tcPr>
                <w:p>
                  <w:pPr>
                    <w:autoSpaceDN w:val="0"/>
                    <w:spacing w:line="240" w:lineRule="auto"/>
                    <w:jc w:val="center"/>
                    <w:rPr>
                      <w:rFonts w:hint="eastAsia"/>
                      <w:color w:val="auto"/>
                      <w:kern w:val="2"/>
                      <w:sz w:val="21"/>
                      <w:szCs w:val="21"/>
                      <w:lang w:val="en-US" w:eastAsia="zh-CN" w:bidi="ar-SA"/>
                    </w:rPr>
                  </w:pPr>
                  <w:r>
                    <w:rPr>
                      <w:rFonts w:hint="eastAsia"/>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87" w:type="dxa"/>
                  <w:vMerge w:val="continue"/>
                  <w:noWrap w:val="0"/>
                  <w:vAlign w:val="center"/>
                </w:tcPr>
                <w:p>
                  <w:pPr>
                    <w:wordWrap w:val="0"/>
                    <w:adjustRightInd w:val="0"/>
                    <w:snapToGrid w:val="0"/>
                    <w:spacing w:line="240" w:lineRule="auto"/>
                    <w:jc w:val="center"/>
                    <w:rPr>
                      <w:rFonts w:hint="eastAsia"/>
                      <w:color w:val="auto"/>
                      <w:sz w:val="21"/>
                      <w:szCs w:val="21"/>
                      <w:lang w:val="en-US" w:eastAsia="zh-CN"/>
                    </w:rPr>
                  </w:pPr>
                </w:p>
              </w:tc>
              <w:tc>
                <w:tcPr>
                  <w:tcW w:w="1308" w:type="dxa"/>
                  <w:noWrap w:val="0"/>
                  <w:vAlign w:val="center"/>
                </w:tcPr>
                <w:p>
                  <w:pPr>
                    <w:wordWrap w:val="0"/>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产生量t/a</w:t>
                  </w:r>
                </w:p>
              </w:tc>
              <w:tc>
                <w:tcPr>
                  <w:tcW w:w="934" w:type="dxa"/>
                  <w:noWrap w:val="0"/>
                  <w:vAlign w:val="center"/>
                </w:tcPr>
                <w:p>
                  <w:pPr>
                    <w:keepNext w:val="0"/>
                    <w:keepLines w:val="0"/>
                    <w:widowControl/>
                    <w:suppressLineNumbers w:val="0"/>
                    <w:jc w:val="center"/>
                    <w:textAlignment w:val="center"/>
                    <w:rPr>
                      <w:rFonts w:hint="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0.932</w:t>
                  </w:r>
                </w:p>
              </w:tc>
              <w:tc>
                <w:tcPr>
                  <w:tcW w:w="934" w:type="dxa"/>
                  <w:noWrap w:val="0"/>
                  <w:vAlign w:val="center"/>
                </w:tcPr>
                <w:p>
                  <w:pPr>
                    <w:keepNext w:val="0"/>
                    <w:keepLines w:val="0"/>
                    <w:widowControl/>
                    <w:suppressLineNumbers w:val="0"/>
                    <w:jc w:val="center"/>
                    <w:textAlignment w:val="center"/>
                    <w:rPr>
                      <w:rFonts w:hint="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0.470</w:t>
                  </w:r>
                </w:p>
              </w:tc>
              <w:tc>
                <w:tcPr>
                  <w:tcW w:w="934" w:type="dxa"/>
                  <w:noWrap w:val="0"/>
                  <w:vAlign w:val="center"/>
                </w:tcPr>
                <w:p>
                  <w:pPr>
                    <w:keepNext w:val="0"/>
                    <w:keepLines w:val="0"/>
                    <w:widowControl/>
                    <w:suppressLineNumbers w:val="0"/>
                    <w:jc w:val="center"/>
                    <w:textAlignment w:val="center"/>
                    <w:rPr>
                      <w:rFonts w:hint="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0.180</w:t>
                  </w:r>
                </w:p>
              </w:tc>
              <w:tc>
                <w:tcPr>
                  <w:tcW w:w="776" w:type="dxa"/>
                  <w:noWrap w:val="0"/>
                  <w:vAlign w:val="center"/>
                </w:tcPr>
                <w:p>
                  <w:pPr>
                    <w:keepNext w:val="0"/>
                    <w:keepLines w:val="0"/>
                    <w:widowControl/>
                    <w:suppressLineNumbers w:val="0"/>
                    <w:jc w:val="center"/>
                    <w:textAlignment w:val="center"/>
                    <w:rPr>
                      <w:rFonts w:hint="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2.763</w:t>
                  </w:r>
                </w:p>
              </w:tc>
              <w:tc>
                <w:tcPr>
                  <w:tcW w:w="840" w:type="dxa"/>
                  <w:noWrap w:val="0"/>
                  <w:vAlign w:val="center"/>
                </w:tcPr>
                <w:p>
                  <w:pPr>
                    <w:keepNext w:val="0"/>
                    <w:keepLines w:val="0"/>
                    <w:widowControl/>
                    <w:suppressLineNumbers w:val="0"/>
                    <w:jc w:val="center"/>
                    <w:textAlignment w:val="center"/>
                    <w:rPr>
                      <w:rFonts w:hint="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1321" w:type="dxa"/>
                  <w:noWrap w:val="0"/>
                  <w:vAlign w:val="center"/>
                </w:tcPr>
                <w:p>
                  <w:pPr>
                    <w:autoSpaceDN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4.5</w:t>
                  </w:r>
                </w:p>
              </w:tc>
            </w:tr>
          </w:tbl>
          <w:p>
            <w:pPr>
              <w:autoSpaceDE w:val="0"/>
              <w:autoSpaceDN w:val="0"/>
              <w:adjustRightInd w:val="0"/>
              <w:spacing w:line="360" w:lineRule="auto"/>
              <w:ind w:firstLine="480" w:firstLineChars="200"/>
              <w:rPr>
                <w:rFonts w:hint="eastAsia" w:ascii="Times New Roman" w:hAnsi="Times New Roman" w:eastAsia="宋体" w:cs="Times New Roman"/>
                <w:color w:val="auto"/>
                <w:kern w:val="0"/>
                <w:sz w:val="24"/>
                <w:u w:val="none" w:color="auto"/>
                <w:lang w:bidi="ar"/>
              </w:rPr>
            </w:pPr>
            <w:r>
              <w:rPr>
                <w:rFonts w:hint="eastAsia" w:ascii="Times New Roman" w:hAnsi="Times New Roman" w:eastAsia="宋体" w:cs="Times New Roman"/>
                <w:color w:val="auto"/>
                <w:kern w:val="0"/>
                <w:sz w:val="24"/>
                <w:u w:val="none" w:color="auto"/>
                <w:lang w:bidi="ar"/>
              </w:rPr>
              <w:t>项目采用的注塑机为封闭式，侧边可开启，用于工人操作，仅顶部有一处排气口，项目在注塑机顶部开口处设集气罩</w:t>
            </w:r>
            <w:r>
              <w:rPr>
                <w:rFonts w:hint="eastAsia" w:cs="Times New Roman"/>
                <w:color w:val="auto"/>
                <w:kern w:val="0"/>
                <w:sz w:val="24"/>
                <w:u w:val="none" w:color="auto"/>
                <w:lang w:eastAsia="zh-CN" w:bidi="ar"/>
              </w:rPr>
              <w:t>，</w:t>
            </w:r>
            <w:r>
              <w:rPr>
                <w:rFonts w:hint="eastAsia" w:ascii="Times New Roman" w:hAnsi="Times New Roman" w:eastAsia="宋体" w:cs="Times New Roman"/>
                <w:color w:val="auto"/>
                <w:kern w:val="0"/>
                <w:sz w:val="24"/>
                <w:u w:val="none" w:color="auto"/>
                <w:lang w:bidi="ar"/>
              </w:rPr>
              <w:t>收集挤出和开模产生的有机废气</w:t>
            </w:r>
            <w:r>
              <w:rPr>
                <w:rFonts w:hint="eastAsia" w:ascii="Times New Roman" w:hAnsi="Times New Roman" w:eastAsia="宋体" w:cs="Times New Roman"/>
                <w:color w:val="auto"/>
                <w:kern w:val="0"/>
                <w:sz w:val="24"/>
                <w:u w:val="none" w:color="auto"/>
                <w:lang w:eastAsia="zh-CN" w:bidi="ar"/>
              </w:rPr>
              <w:t>，</w:t>
            </w:r>
            <w:r>
              <w:rPr>
                <w:rFonts w:hint="default" w:ascii="Times New Roman" w:hAnsi="Times New Roman" w:eastAsia="宋体" w:cs="宋体"/>
                <w:color w:val="auto"/>
                <w:sz w:val="24"/>
                <w:szCs w:val="24"/>
                <w:highlight w:val="none"/>
                <w:u w:val="none"/>
                <w:lang w:val="en-US" w:eastAsia="zh-CN"/>
              </w:rPr>
              <w:t>注塑工序年工作时间约</w:t>
            </w:r>
            <w:r>
              <w:rPr>
                <w:rFonts w:hint="eastAsia" w:cs="宋体"/>
                <w:color w:val="auto"/>
                <w:sz w:val="24"/>
                <w:szCs w:val="24"/>
                <w:highlight w:val="none"/>
                <w:u w:val="none"/>
                <w:lang w:val="en-US" w:eastAsia="zh-CN"/>
              </w:rPr>
              <w:t>7920</w:t>
            </w:r>
            <w:r>
              <w:rPr>
                <w:rFonts w:hint="default" w:ascii="Times New Roman" w:hAnsi="Times New Roman" w:eastAsia="宋体" w:cs="宋体"/>
                <w:color w:val="auto"/>
                <w:sz w:val="24"/>
                <w:szCs w:val="24"/>
                <w:highlight w:val="none"/>
                <w:u w:val="none"/>
                <w:lang w:val="en-US" w:eastAsia="zh-CN"/>
              </w:rPr>
              <w:t>h，有组织收集率以</w:t>
            </w:r>
            <w:r>
              <w:rPr>
                <w:rFonts w:hint="eastAsia" w:cs="宋体"/>
                <w:color w:val="auto"/>
                <w:sz w:val="24"/>
                <w:szCs w:val="24"/>
                <w:highlight w:val="none"/>
                <w:u w:val="none"/>
                <w:lang w:val="en-US" w:eastAsia="zh-CN"/>
              </w:rPr>
              <w:t>8</w:t>
            </w:r>
            <w:r>
              <w:rPr>
                <w:rFonts w:hint="default" w:ascii="Times New Roman" w:hAnsi="Times New Roman" w:eastAsia="宋体" w:cs="宋体"/>
                <w:color w:val="auto"/>
                <w:sz w:val="24"/>
                <w:szCs w:val="24"/>
                <w:highlight w:val="none"/>
                <w:u w:val="none"/>
                <w:lang w:val="en-US" w:eastAsia="zh-CN"/>
              </w:rPr>
              <w:t>0%计，</w:t>
            </w:r>
            <w:r>
              <w:rPr>
                <w:rFonts w:hint="eastAsia" w:ascii="Times New Roman" w:hAnsi="Times New Roman" w:eastAsia="宋体" w:cs="宋体"/>
                <w:color w:val="auto"/>
                <w:sz w:val="24"/>
                <w:szCs w:val="24"/>
                <w:highlight w:val="none"/>
                <w:u w:val="none"/>
                <w:lang w:val="en-US" w:eastAsia="zh-CN"/>
              </w:rPr>
              <w:t>经</w:t>
            </w:r>
            <w:r>
              <w:rPr>
                <w:rFonts w:hint="eastAsia" w:cs="宋体"/>
                <w:color w:val="auto"/>
                <w:sz w:val="24"/>
                <w:szCs w:val="24"/>
                <w:highlight w:val="none"/>
                <w:u w:val="none"/>
                <w:lang w:val="en-US" w:eastAsia="zh-CN"/>
              </w:rPr>
              <w:t>两级</w:t>
            </w:r>
            <w:r>
              <w:rPr>
                <w:rFonts w:hint="default" w:ascii="Times New Roman" w:hAnsi="Times New Roman" w:eastAsia="宋体" w:cs="宋体"/>
                <w:color w:val="auto"/>
                <w:sz w:val="24"/>
                <w:szCs w:val="24"/>
                <w:highlight w:val="none"/>
                <w:u w:val="none"/>
                <w:lang w:val="en-US" w:eastAsia="zh-CN"/>
              </w:rPr>
              <w:t>活性炭吸附装置</w:t>
            </w:r>
            <w:r>
              <w:rPr>
                <w:rFonts w:hint="eastAsia" w:ascii="Times New Roman" w:hAnsi="Times New Roman" w:eastAsia="宋体" w:cs="宋体"/>
                <w:color w:val="auto"/>
                <w:sz w:val="24"/>
                <w:szCs w:val="24"/>
                <w:highlight w:val="none"/>
                <w:u w:val="none"/>
                <w:lang w:val="en-US" w:eastAsia="zh-CN"/>
              </w:rPr>
              <w:t>+15m高排气筒排放，</w:t>
            </w:r>
            <w:r>
              <w:rPr>
                <w:rFonts w:hint="default" w:ascii="Times New Roman" w:hAnsi="Times New Roman" w:eastAsia="宋体" w:cs="宋体"/>
                <w:color w:val="auto"/>
                <w:sz w:val="24"/>
                <w:szCs w:val="24"/>
                <w:highlight w:val="none"/>
                <w:u w:val="none"/>
                <w:lang w:val="en-US" w:eastAsia="zh-CN"/>
              </w:rPr>
              <w:t>吸附效率以</w:t>
            </w:r>
            <w:r>
              <w:rPr>
                <w:rFonts w:hint="eastAsia" w:cs="宋体"/>
                <w:color w:val="auto"/>
                <w:sz w:val="24"/>
                <w:szCs w:val="24"/>
                <w:highlight w:val="none"/>
                <w:u w:val="none"/>
                <w:lang w:val="en-US" w:eastAsia="zh-CN"/>
              </w:rPr>
              <w:t>70</w:t>
            </w:r>
            <w:r>
              <w:rPr>
                <w:rFonts w:hint="default" w:ascii="Times New Roman" w:hAnsi="Times New Roman" w:eastAsia="宋体" w:cs="宋体"/>
                <w:color w:val="auto"/>
                <w:sz w:val="24"/>
                <w:szCs w:val="24"/>
                <w:highlight w:val="none"/>
                <w:u w:val="none"/>
                <w:lang w:val="en-US" w:eastAsia="zh-CN"/>
              </w:rPr>
              <w:t>%计，</w:t>
            </w:r>
            <w:r>
              <w:rPr>
                <w:rFonts w:hint="eastAsia" w:hAnsi="宋体"/>
                <w:color w:val="auto"/>
                <w:sz w:val="24"/>
                <w:szCs w:val="24"/>
                <w:lang w:val="en-US" w:eastAsia="zh-CN"/>
              </w:rPr>
              <w:t>设计风量为18000m</w:t>
            </w:r>
            <w:r>
              <w:rPr>
                <w:rFonts w:hint="eastAsia" w:hAnsi="宋体"/>
                <w:color w:val="auto"/>
                <w:sz w:val="24"/>
                <w:szCs w:val="24"/>
                <w:vertAlign w:val="superscript"/>
                <w:lang w:val="en-US" w:eastAsia="zh-CN"/>
              </w:rPr>
              <w:t>3</w:t>
            </w:r>
            <w:r>
              <w:rPr>
                <w:rFonts w:hint="eastAsia" w:hAnsi="宋体"/>
                <w:color w:val="auto"/>
                <w:sz w:val="24"/>
                <w:szCs w:val="24"/>
                <w:lang w:val="en-US" w:eastAsia="zh-CN"/>
              </w:rPr>
              <w:t>/h，</w:t>
            </w:r>
            <w:r>
              <w:rPr>
                <w:rFonts w:hint="default" w:ascii="Times New Roman" w:hAnsi="Times New Roman" w:eastAsia="宋体" w:cs="宋体"/>
                <w:color w:val="auto"/>
                <w:sz w:val="24"/>
                <w:szCs w:val="24"/>
                <w:highlight w:val="none"/>
                <w:u w:val="none"/>
                <w:lang w:val="en-US" w:eastAsia="zh-CN"/>
              </w:rPr>
              <w:t>未收集部分无组织排放，则非甲烷总烃产排情况见下表。</w:t>
            </w:r>
          </w:p>
          <w:p>
            <w:pPr>
              <w:spacing w:line="240" w:lineRule="auto"/>
              <w:jc w:val="center"/>
              <w:rPr>
                <w:rFonts w:hint="eastAsia" w:ascii="Times New Roman" w:hAnsi="宋体" w:eastAsia="宋体" w:cs="Times New Roman"/>
                <w:b/>
                <w:bCs/>
                <w:color w:val="auto"/>
                <w:sz w:val="24"/>
                <w:szCs w:val="24"/>
                <w:lang w:val="en-US" w:eastAsia="zh-CN"/>
              </w:rPr>
            </w:pPr>
            <w:r>
              <w:rPr>
                <w:rFonts w:hint="eastAsia" w:ascii="Times New Roman" w:hAnsi="宋体" w:eastAsia="宋体" w:cs="Times New Roman"/>
                <w:b/>
                <w:bCs/>
                <w:color w:val="auto"/>
                <w:sz w:val="24"/>
                <w:szCs w:val="24"/>
                <w:lang w:val="en-US" w:eastAsia="zh-CN"/>
              </w:rPr>
              <w:t>表4.</w:t>
            </w:r>
            <w:r>
              <w:rPr>
                <w:rFonts w:hint="eastAsia" w:hAnsi="宋体" w:cs="Times New Roman"/>
                <w:b/>
                <w:bCs/>
                <w:color w:val="auto"/>
                <w:sz w:val="24"/>
                <w:szCs w:val="24"/>
                <w:lang w:val="en-US" w:eastAsia="zh-CN"/>
              </w:rPr>
              <w:t>2</w:t>
            </w:r>
            <w:r>
              <w:rPr>
                <w:rFonts w:hint="eastAsia" w:ascii="Times New Roman" w:hAnsi="宋体" w:eastAsia="宋体" w:cs="Times New Roman"/>
                <w:b/>
                <w:bCs/>
                <w:color w:val="auto"/>
                <w:sz w:val="24"/>
                <w:szCs w:val="24"/>
                <w:lang w:val="en-US" w:eastAsia="zh-CN"/>
              </w:rPr>
              <w:t>-</w:t>
            </w:r>
            <w:r>
              <w:rPr>
                <w:rFonts w:hint="eastAsia" w:hAnsi="宋体" w:cs="Times New Roman"/>
                <w:b/>
                <w:bCs/>
                <w:color w:val="auto"/>
                <w:sz w:val="24"/>
                <w:szCs w:val="24"/>
                <w:lang w:val="en-US" w:eastAsia="zh-CN"/>
              </w:rPr>
              <w:t>8</w:t>
            </w:r>
            <w:r>
              <w:rPr>
                <w:rFonts w:hint="eastAsia" w:ascii="Times New Roman" w:hAnsi="宋体" w:eastAsia="宋体" w:cs="Times New Roman"/>
                <w:b/>
                <w:bCs/>
                <w:color w:val="auto"/>
                <w:sz w:val="24"/>
                <w:szCs w:val="24"/>
                <w:lang w:val="en-US" w:eastAsia="zh-CN"/>
              </w:rPr>
              <w:t>注塑废气产生及排放情况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998"/>
              <w:gridCol w:w="777"/>
              <w:gridCol w:w="915"/>
              <w:gridCol w:w="916"/>
              <w:gridCol w:w="819"/>
              <w:gridCol w:w="836"/>
              <w:gridCol w:w="874"/>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noWrap w:val="0"/>
                  <w:vAlign w:val="center"/>
                </w:tcPr>
                <w:p>
                  <w:pPr>
                    <w:adjustRightInd w:val="0"/>
                    <w:snapToGrid w:val="0"/>
                    <w:jc w:val="center"/>
                    <w:rPr>
                      <w:b/>
                      <w:color w:val="auto"/>
                      <w:szCs w:val="21"/>
                      <w:u w:val="none"/>
                    </w:rPr>
                  </w:pPr>
                  <w:r>
                    <w:rPr>
                      <w:b/>
                      <w:color w:val="auto"/>
                      <w:szCs w:val="21"/>
                      <w:u w:val="none"/>
                      <w:lang w:bidi="ar"/>
                    </w:rPr>
                    <w:t>产污环节</w:t>
                  </w:r>
                </w:p>
              </w:tc>
              <w:tc>
                <w:tcPr>
                  <w:tcW w:w="998" w:type="dxa"/>
                  <w:noWrap w:val="0"/>
                  <w:vAlign w:val="center"/>
                </w:tcPr>
                <w:p>
                  <w:pPr>
                    <w:adjustRightInd w:val="0"/>
                    <w:snapToGrid w:val="0"/>
                    <w:jc w:val="center"/>
                    <w:rPr>
                      <w:rFonts w:hint="eastAsia"/>
                      <w:b/>
                      <w:color w:val="auto"/>
                      <w:szCs w:val="21"/>
                      <w:u w:val="none"/>
                    </w:rPr>
                  </w:pPr>
                  <w:r>
                    <w:rPr>
                      <w:rFonts w:hint="eastAsia"/>
                      <w:b/>
                      <w:color w:val="auto"/>
                      <w:szCs w:val="21"/>
                      <w:u w:val="none"/>
                      <w:lang w:bidi="ar"/>
                    </w:rPr>
                    <w:t>污染物</w:t>
                  </w:r>
                </w:p>
              </w:tc>
              <w:tc>
                <w:tcPr>
                  <w:tcW w:w="777" w:type="dxa"/>
                  <w:noWrap w:val="0"/>
                  <w:vAlign w:val="center"/>
                </w:tcPr>
                <w:p>
                  <w:pPr>
                    <w:adjustRightInd w:val="0"/>
                    <w:snapToGrid w:val="0"/>
                    <w:jc w:val="center"/>
                    <w:rPr>
                      <w:b/>
                      <w:color w:val="auto"/>
                      <w:szCs w:val="21"/>
                      <w:u w:val="none"/>
                    </w:rPr>
                  </w:pPr>
                  <w:r>
                    <w:rPr>
                      <w:rFonts w:hint="eastAsia"/>
                      <w:b/>
                      <w:color w:val="auto"/>
                      <w:szCs w:val="21"/>
                      <w:u w:val="none"/>
                    </w:rPr>
                    <w:t>产生量t/a</w:t>
                  </w:r>
                </w:p>
              </w:tc>
              <w:tc>
                <w:tcPr>
                  <w:tcW w:w="915" w:type="dxa"/>
                  <w:noWrap w:val="0"/>
                  <w:vAlign w:val="center"/>
                </w:tcPr>
                <w:p>
                  <w:pPr>
                    <w:adjustRightInd w:val="0"/>
                    <w:snapToGrid w:val="0"/>
                    <w:jc w:val="center"/>
                    <w:rPr>
                      <w:rFonts w:hint="eastAsia" w:eastAsia="宋体"/>
                      <w:b/>
                      <w:color w:val="auto"/>
                      <w:szCs w:val="21"/>
                      <w:u w:val="none"/>
                      <w:lang w:eastAsia="zh-CN"/>
                    </w:rPr>
                  </w:pPr>
                  <w:r>
                    <w:rPr>
                      <w:rFonts w:hint="eastAsia"/>
                      <w:b/>
                      <w:bCs/>
                      <w:color w:val="auto"/>
                      <w:u w:val="none"/>
                      <w:lang w:eastAsia="zh-CN"/>
                    </w:rPr>
                    <w:t>收集效率</w:t>
                  </w:r>
                </w:p>
              </w:tc>
              <w:tc>
                <w:tcPr>
                  <w:tcW w:w="916" w:type="dxa"/>
                  <w:noWrap w:val="0"/>
                  <w:vAlign w:val="center"/>
                </w:tcPr>
                <w:p>
                  <w:pPr>
                    <w:adjustRightInd w:val="0"/>
                    <w:snapToGrid w:val="0"/>
                    <w:jc w:val="center"/>
                    <w:rPr>
                      <w:rFonts w:hint="eastAsia"/>
                      <w:b/>
                      <w:color w:val="auto"/>
                      <w:szCs w:val="21"/>
                      <w:u w:val="none"/>
                      <w:lang w:eastAsia="zh-CN"/>
                    </w:rPr>
                  </w:pPr>
                  <w:r>
                    <w:rPr>
                      <w:rFonts w:hint="eastAsia"/>
                      <w:b/>
                      <w:color w:val="auto"/>
                      <w:szCs w:val="21"/>
                      <w:u w:val="none"/>
                      <w:lang w:eastAsia="zh-CN"/>
                    </w:rPr>
                    <w:t>处理</w:t>
                  </w:r>
                </w:p>
                <w:p>
                  <w:pPr>
                    <w:adjustRightInd w:val="0"/>
                    <w:snapToGrid w:val="0"/>
                    <w:jc w:val="center"/>
                    <w:rPr>
                      <w:rFonts w:hint="eastAsia" w:eastAsia="宋体"/>
                      <w:b/>
                      <w:color w:val="auto"/>
                      <w:szCs w:val="21"/>
                      <w:u w:val="none"/>
                      <w:lang w:eastAsia="zh-CN"/>
                    </w:rPr>
                  </w:pPr>
                  <w:r>
                    <w:rPr>
                      <w:rFonts w:hint="eastAsia"/>
                      <w:b/>
                      <w:color w:val="auto"/>
                      <w:szCs w:val="21"/>
                      <w:u w:val="none"/>
                      <w:lang w:eastAsia="zh-CN"/>
                    </w:rPr>
                    <w:t>效率</w:t>
                  </w:r>
                </w:p>
              </w:tc>
              <w:tc>
                <w:tcPr>
                  <w:tcW w:w="819" w:type="dxa"/>
                  <w:noWrap w:val="0"/>
                  <w:vAlign w:val="center"/>
                </w:tcPr>
                <w:p>
                  <w:pPr>
                    <w:adjustRightInd w:val="0"/>
                    <w:snapToGrid w:val="0"/>
                    <w:jc w:val="center"/>
                    <w:rPr>
                      <w:rFonts w:hint="eastAsia"/>
                      <w:b/>
                      <w:color w:val="auto"/>
                      <w:szCs w:val="21"/>
                      <w:u w:val="none"/>
                      <w:lang w:bidi="ar"/>
                    </w:rPr>
                  </w:pPr>
                  <w:r>
                    <w:rPr>
                      <w:rFonts w:hint="eastAsia"/>
                      <w:b/>
                      <w:color w:val="auto"/>
                      <w:szCs w:val="21"/>
                      <w:u w:val="none"/>
                      <w:lang w:bidi="ar"/>
                    </w:rPr>
                    <w:t>排放量t/a</w:t>
                  </w:r>
                </w:p>
              </w:tc>
              <w:tc>
                <w:tcPr>
                  <w:tcW w:w="836" w:type="dxa"/>
                  <w:noWrap w:val="0"/>
                  <w:vAlign w:val="center"/>
                </w:tcPr>
                <w:p>
                  <w:pPr>
                    <w:adjustRightInd w:val="0"/>
                    <w:snapToGrid w:val="0"/>
                    <w:jc w:val="center"/>
                    <w:rPr>
                      <w:rFonts w:hint="eastAsia"/>
                      <w:b/>
                      <w:color w:val="auto"/>
                      <w:szCs w:val="21"/>
                      <w:u w:val="none"/>
                    </w:rPr>
                  </w:pPr>
                  <w:r>
                    <w:rPr>
                      <w:rFonts w:hint="eastAsia"/>
                      <w:b/>
                      <w:color w:val="auto"/>
                      <w:szCs w:val="21"/>
                      <w:u w:val="none"/>
                    </w:rPr>
                    <w:t>排放速率kg/h</w:t>
                  </w:r>
                </w:p>
              </w:tc>
              <w:tc>
                <w:tcPr>
                  <w:tcW w:w="874" w:type="dxa"/>
                  <w:noWrap w:val="0"/>
                  <w:vAlign w:val="center"/>
                </w:tcPr>
                <w:p>
                  <w:pPr>
                    <w:adjustRightInd w:val="0"/>
                    <w:snapToGrid w:val="0"/>
                    <w:jc w:val="center"/>
                    <w:rPr>
                      <w:rFonts w:hint="eastAsia"/>
                      <w:b/>
                      <w:color w:val="auto"/>
                      <w:szCs w:val="21"/>
                      <w:u w:val="none"/>
                    </w:rPr>
                  </w:pPr>
                  <w:r>
                    <w:rPr>
                      <w:rFonts w:hint="eastAsia"/>
                      <w:b/>
                      <w:color w:val="auto"/>
                      <w:szCs w:val="21"/>
                      <w:u w:val="none"/>
                    </w:rPr>
                    <w:t>排放浓度mg/m</w:t>
                  </w:r>
                  <w:r>
                    <w:rPr>
                      <w:rFonts w:hint="eastAsia"/>
                      <w:b/>
                      <w:color w:val="auto"/>
                      <w:szCs w:val="21"/>
                      <w:u w:val="none"/>
                      <w:vertAlign w:val="superscript"/>
                    </w:rPr>
                    <w:t>3</w:t>
                  </w:r>
                </w:p>
              </w:tc>
              <w:tc>
                <w:tcPr>
                  <w:tcW w:w="961" w:type="dxa"/>
                  <w:noWrap w:val="0"/>
                  <w:vAlign w:val="center"/>
                </w:tcPr>
                <w:p>
                  <w:pPr>
                    <w:adjustRightInd w:val="0"/>
                    <w:snapToGrid w:val="0"/>
                    <w:jc w:val="center"/>
                    <w:rPr>
                      <w:rFonts w:hint="default" w:eastAsia="宋体"/>
                      <w:b/>
                      <w:color w:val="auto"/>
                      <w:szCs w:val="21"/>
                      <w:u w:val="none"/>
                      <w:lang w:val="en-US" w:eastAsia="zh-CN"/>
                    </w:rPr>
                  </w:pPr>
                  <w:r>
                    <w:rPr>
                      <w:rFonts w:hint="eastAsia"/>
                      <w:b/>
                      <w:color w:val="auto"/>
                      <w:szCs w:val="21"/>
                      <w:u w:val="no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val="en-US" w:eastAsia="zh-CN"/>
                    </w:rPr>
                    <w:t>注塑</w:t>
                  </w: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lang w:val="en-US" w:eastAsia="zh-CN"/>
                    </w:rPr>
                    <w:t>非甲烷总烃</w:t>
                  </w:r>
                </w:p>
              </w:tc>
              <w:tc>
                <w:tcPr>
                  <w:tcW w:w="7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4.5</w:t>
                  </w:r>
                </w:p>
              </w:tc>
              <w:tc>
                <w:tcPr>
                  <w:tcW w:w="9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none"/>
                      <w:lang w:val="en-US" w:eastAsia="zh-CN" w:bidi="ar"/>
                    </w:rPr>
                  </w:pPr>
                  <w:r>
                    <w:rPr>
                      <w:rFonts w:hint="eastAsia" w:cs="Times New Roman"/>
                      <w:color w:val="auto"/>
                      <w:kern w:val="0"/>
                      <w:szCs w:val="21"/>
                      <w:highlight w:val="none"/>
                      <w:u w:val="none"/>
                      <w:lang w:val="en-US" w:eastAsia="zh-CN" w:bidi="ar"/>
                    </w:rPr>
                    <w:t>80</w:t>
                  </w:r>
                  <w:r>
                    <w:rPr>
                      <w:rFonts w:hint="default" w:ascii="Times New Roman" w:hAnsi="Times New Roman" w:eastAsia="宋体"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0.136</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7.576</w:t>
                  </w:r>
                </w:p>
              </w:tc>
              <w:tc>
                <w:tcPr>
                  <w:tcW w:w="96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有组织/DA009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val="en-US"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苯</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0.932</w:t>
                  </w:r>
                </w:p>
              </w:tc>
              <w:tc>
                <w:tcPr>
                  <w:tcW w:w="91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cs="Times New Roman"/>
                      <w:color w:val="auto"/>
                      <w:kern w:val="0"/>
                      <w:szCs w:val="21"/>
                      <w:highlight w:val="none"/>
                      <w:u w:val="none"/>
                      <w:lang w:val="en-US" w:eastAsia="zh-CN" w:bidi="ar"/>
                    </w:rPr>
                    <w:t>80</w:t>
                  </w:r>
                  <w:r>
                    <w:rPr>
                      <w:rFonts w:hint="default" w:ascii="Times New Roman" w:hAnsi="Times New Roman" w:eastAsia="宋体"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0.224</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1.569</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val="en-US"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甲苯</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0.470</w:t>
                  </w:r>
                </w:p>
              </w:tc>
              <w:tc>
                <w:tcPr>
                  <w:tcW w:w="91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cs="Times New Roman"/>
                      <w:color w:val="auto"/>
                      <w:kern w:val="0"/>
                      <w:szCs w:val="21"/>
                      <w:highlight w:val="none"/>
                      <w:u w:val="none"/>
                      <w:lang w:val="en-US" w:eastAsia="zh-CN" w:bidi="ar"/>
                    </w:rPr>
                    <w:t>80</w:t>
                  </w:r>
                  <w:r>
                    <w:rPr>
                      <w:rFonts w:hint="default" w:ascii="Times New Roman" w:hAnsi="Times New Roman" w:eastAsia="宋体"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0.113</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0.792</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val="en-US"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二甲苯</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2.763</w:t>
                  </w:r>
                </w:p>
              </w:tc>
              <w:tc>
                <w:tcPr>
                  <w:tcW w:w="91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cs="Times New Roman"/>
                      <w:color w:val="auto"/>
                      <w:kern w:val="0"/>
                      <w:szCs w:val="21"/>
                      <w:highlight w:val="none"/>
                      <w:u w:val="none"/>
                      <w:lang w:val="en-US" w:eastAsia="zh-CN" w:bidi="ar"/>
                    </w:rPr>
                    <w:t>80</w:t>
                  </w:r>
                  <w:r>
                    <w:rPr>
                      <w:rFonts w:hint="default" w:ascii="Times New Roman" w:hAnsi="Times New Roman" w:eastAsia="宋体"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0.663</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0.084</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4.651</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val="en-US"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乙苯</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0.180</w:t>
                  </w:r>
                </w:p>
              </w:tc>
              <w:tc>
                <w:tcPr>
                  <w:tcW w:w="91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cs="Times New Roman"/>
                      <w:color w:val="auto"/>
                      <w:kern w:val="0"/>
                      <w:szCs w:val="21"/>
                      <w:highlight w:val="none"/>
                      <w:u w:val="none"/>
                      <w:lang w:val="en-US" w:eastAsia="zh-CN" w:bidi="ar"/>
                    </w:rPr>
                    <w:t>80</w:t>
                  </w:r>
                  <w:r>
                    <w:rPr>
                      <w:rFonts w:hint="default" w:ascii="Times New Roman" w:hAnsi="Times New Roman" w:eastAsia="宋体"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0.043</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0.303</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val="en-US"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苯乙烯</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91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cs="Times New Roman"/>
                      <w:color w:val="auto"/>
                      <w:kern w:val="0"/>
                      <w:szCs w:val="21"/>
                      <w:highlight w:val="none"/>
                      <w:u w:val="none"/>
                      <w:lang w:val="en-US" w:eastAsia="zh-CN" w:bidi="ar"/>
                    </w:rPr>
                    <w:t>80</w:t>
                  </w:r>
                  <w:r>
                    <w:rPr>
                      <w:rFonts w:hint="default" w:ascii="Times New Roman" w:hAnsi="Times New Roman" w:eastAsia="宋体"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0.037</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0.261</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98" w:type="dxa"/>
                  <w:noWrap w:val="0"/>
                  <w:vAlign w:val="center"/>
                </w:tcPr>
                <w:p>
                  <w:pPr>
                    <w:adjustRightInd w:val="0"/>
                    <w:snapToGrid w:val="0"/>
                    <w:jc w:val="center"/>
                    <w:rPr>
                      <w:rFonts w:hint="eastAsia" w:ascii="Times New Roman" w:hAnsi="Times New Roman"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lang w:val="en-US" w:eastAsia="zh-CN"/>
                    </w:rPr>
                    <w:t>非甲烷总烃</w:t>
                  </w:r>
                </w:p>
              </w:tc>
              <w:tc>
                <w:tcPr>
                  <w:tcW w:w="77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5"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114</w:t>
                  </w:r>
                </w:p>
              </w:tc>
              <w:tc>
                <w:tcPr>
                  <w:tcW w:w="8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61" w:type="dxa"/>
                  <w:vMerge w:val="restart"/>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苯</w:t>
                  </w:r>
                </w:p>
              </w:tc>
              <w:tc>
                <w:tcPr>
                  <w:tcW w:w="777"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0.186</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87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甲苯</w:t>
                  </w:r>
                </w:p>
              </w:tc>
              <w:tc>
                <w:tcPr>
                  <w:tcW w:w="777"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87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二甲苯</w:t>
                  </w:r>
                </w:p>
              </w:tc>
              <w:tc>
                <w:tcPr>
                  <w:tcW w:w="777"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0.553</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0.070</w:t>
                  </w:r>
                </w:p>
              </w:tc>
              <w:tc>
                <w:tcPr>
                  <w:tcW w:w="87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乙苯</w:t>
                  </w:r>
                </w:p>
              </w:tc>
              <w:tc>
                <w:tcPr>
                  <w:tcW w:w="777"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0.036</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87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u w:val="none"/>
                      <w:lang w:eastAsia="zh-CN"/>
                    </w:rPr>
                  </w:pPr>
                </w:p>
              </w:tc>
              <w:tc>
                <w:tcPr>
                  <w:tcW w:w="998"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eastAsia" w:cs="Times New Roman"/>
                      <w:color w:val="auto"/>
                      <w:szCs w:val="21"/>
                      <w:highlight w:val="none"/>
                      <w:u w:val="none"/>
                      <w:lang w:val="en-US" w:eastAsia="zh-CN"/>
                    </w:rPr>
                    <w:t>苯乙烯</w:t>
                  </w:r>
                </w:p>
              </w:tc>
              <w:tc>
                <w:tcPr>
                  <w:tcW w:w="777"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5" w:type="dxa"/>
                  <w:noWrap w:val="0"/>
                  <w:vAlign w:val="center"/>
                </w:tcPr>
                <w:p>
                  <w:pPr>
                    <w:keepNext w:val="0"/>
                    <w:keepLines w:val="0"/>
                    <w:widowControl/>
                    <w:suppressLineNumbers w:val="0"/>
                    <w:jc w:val="center"/>
                    <w:textAlignment w:val="center"/>
                    <w:rPr>
                      <w:rFonts w:hint="eastAsia" w:ascii="Times New Roman" w:hAnsi="Times New Roman" w:cs="Times New Roman"/>
                      <w:color w:val="auto"/>
                      <w:kern w:val="0"/>
                      <w:szCs w:val="21"/>
                      <w:highlight w:val="none"/>
                      <w:u w:val="none"/>
                      <w:lang w:val="en-US" w:eastAsia="zh-CN" w:bidi="ar"/>
                    </w:rPr>
                  </w:pPr>
                  <w:r>
                    <w:rPr>
                      <w:rFonts w:hint="eastAsia" w:ascii="Times New Roman" w:hAnsi="Times New Roman" w:cs="Times New Roman"/>
                      <w:color w:val="auto"/>
                      <w:kern w:val="0"/>
                      <w:szCs w:val="21"/>
                      <w:highlight w:val="none"/>
                      <w:u w:val="none"/>
                      <w:lang w:val="en-US" w:eastAsia="zh-CN" w:bidi="ar"/>
                    </w:rPr>
                    <w:t>/</w:t>
                  </w:r>
                </w:p>
              </w:tc>
              <w:tc>
                <w:tcPr>
                  <w:tcW w:w="916" w:type="dxa"/>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0.031</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874"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61" w:type="dxa"/>
                  <w:vMerge w:val="continue"/>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r>
          </w:tbl>
          <w:p>
            <w:pPr>
              <w:autoSpaceDE w:val="0"/>
              <w:autoSpaceDN w:val="0"/>
              <w:adjustRightInd w:val="0"/>
              <w:spacing w:line="360" w:lineRule="auto"/>
              <w:ind w:firstLine="480" w:firstLineChars="200"/>
              <w:rPr>
                <w:rFonts w:hint="eastAsia"/>
                <w:b/>
                <w:bCs/>
                <w:color w:val="auto"/>
                <w:kern w:val="0"/>
                <w:sz w:val="24"/>
                <w:szCs w:val="24"/>
                <w:u w:val="none" w:color="auto"/>
                <w:lang w:eastAsia="zh-CN" w:bidi="ar"/>
              </w:rPr>
            </w:pPr>
            <w:r>
              <w:rPr>
                <w:rFonts w:hint="eastAsia"/>
                <w:color w:val="auto"/>
                <w:sz w:val="24"/>
                <w:szCs w:val="24"/>
                <w:u w:val="none" w:color="auto"/>
              </w:rPr>
              <w:t>项目</w:t>
            </w:r>
            <w:r>
              <w:rPr>
                <w:rFonts w:hint="eastAsia"/>
                <w:color w:val="auto"/>
                <w:sz w:val="24"/>
                <w:szCs w:val="24"/>
                <w:u w:val="none" w:color="auto"/>
                <w:lang w:val="en-US" w:eastAsia="zh-CN"/>
              </w:rPr>
              <w:t>注塑工序</w:t>
            </w:r>
            <w:r>
              <w:rPr>
                <w:rFonts w:hint="eastAsia"/>
                <w:color w:val="auto"/>
                <w:sz w:val="24"/>
                <w:szCs w:val="24"/>
                <w:u w:val="none" w:color="auto"/>
              </w:rPr>
              <w:t>除了会产生有机废气外，同时会伴有轻微异味产生，项目产生的臭气异味会与</w:t>
            </w:r>
            <w:r>
              <w:rPr>
                <w:rFonts w:hint="eastAsia"/>
                <w:color w:val="auto"/>
                <w:sz w:val="24"/>
                <w:szCs w:val="24"/>
                <w:u w:val="none" w:color="auto"/>
                <w:lang w:val="en-US" w:eastAsia="zh-CN"/>
              </w:rPr>
              <w:t>有机废气</w:t>
            </w:r>
            <w:r>
              <w:rPr>
                <w:rFonts w:hint="eastAsia"/>
                <w:color w:val="auto"/>
                <w:sz w:val="24"/>
                <w:szCs w:val="24"/>
                <w:u w:val="none" w:color="auto"/>
              </w:rPr>
              <w:t>一同收集至“</w:t>
            </w:r>
            <w:r>
              <w:rPr>
                <w:rFonts w:hint="eastAsia"/>
                <w:color w:val="auto"/>
                <w:sz w:val="24"/>
                <w:szCs w:val="24"/>
                <w:u w:val="none" w:color="auto"/>
                <w:lang w:val="en-US" w:eastAsia="zh-CN"/>
              </w:rPr>
              <w:t>两级</w:t>
            </w:r>
            <w:r>
              <w:rPr>
                <w:rFonts w:hint="eastAsia"/>
                <w:color w:val="auto"/>
                <w:sz w:val="24"/>
                <w:szCs w:val="24"/>
                <w:u w:val="none" w:color="auto"/>
              </w:rPr>
              <w:t>活性炭吸附装置</w:t>
            </w:r>
            <w:r>
              <w:rPr>
                <w:rFonts w:hint="eastAsia"/>
                <w:color w:val="auto"/>
                <w:sz w:val="24"/>
                <w:szCs w:val="24"/>
                <w:u w:val="none" w:color="auto"/>
                <w:lang w:eastAsia="zh-CN"/>
              </w:rPr>
              <w:t>”</w:t>
            </w:r>
            <w:r>
              <w:rPr>
                <w:rFonts w:hint="eastAsia"/>
                <w:color w:val="auto"/>
                <w:sz w:val="24"/>
                <w:szCs w:val="24"/>
                <w:u w:val="none" w:color="auto"/>
                <w:lang w:val="en-US" w:eastAsia="zh-CN"/>
              </w:rPr>
              <w:t>进行</w:t>
            </w:r>
            <w:r>
              <w:rPr>
                <w:rFonts w:hint="eastAsia"/>
                <w:color w:val="auto"/>
                <w:sz w:val="24"/>
                <w:szCs w:val="24"/>
                <w:u w:val="none" w:color="auto"/>
              </w:rPr>
              <w:t>处理，</w:t>
            </w:r>
            <w:r>
              <w:rPr>
                <w:rFonts w:hint="eastAsia"/>
                <w:color w:val="auto"/>
                <w:sz w:val="24"/>
                <w:szCs w:val="24"/>
                <w:u w:val="none" w:color="auto"/>
                <w:lang w:val="en-US" w:eastAsia="zh-CN"/>
              </w:rPr>
              <w:t>经处理后</w:t>
            </w:r>
            <w:r>
              <w:rPr>
                <w:rFonts w:hint="eastAsia"/>
                <w:color w:val="auto"/>
                <w:sz w:val="24"/>
                <w:szCs w:val="24"/>
                <w:u w:val="none" w:color="auto"/>
              </w:rPr>
              <w:t>该类异味对周围环境影响不大。</w:t>
            </w:r>
          </w:p>
          <w:p>
            <w:pPr>
              <w:autoSpaceDE w:val="0"/>
              <w:autoSpaceDN w:val="0"/>
              <w:adjustRightInd w:val="0"/>
              <w:spacing w:line="360" w:lineRule="auto"/>
              <w:ind w:firstLine="482" w:firstLineChars="200"/>
              <w:rPr>
                <w:rFonts w:hint="eastAsia"/>
                <w:b/>
                <w:bCs/>
                <w:color w:val="auto"/>
                <w:kern w:val="0"/>
                <w:sz w:val="24"/>
                <w:szCs w:val="24"/>
                <w:u w:val="none" w:color="auto"/>
                <w:lang w:eastAsia="zh-CN" w:bidi="ar"/>
              </w:rPr>
            </w:pPr>
            <w:r>
              <w:rPr>
                <w:rFonts w:hint="eastAsia"/>
                <w:b/>
                <w:bCs/>
                <w:color w:val="auto"/>
                <w:kern w:val="0"/>
                <w:sz w:val="24"/>
                <w:szCs w:val="24"/>
                <w:u w:val="none" w:color="auto"/>
                <w:lang w:eastAsia="zh-CN" w:bidi="ar"/>
              </w:rPr>
              <w:t>（</w:t>
            </w:r>
            <w:r>
              <w:rPr>
                <w:rFonts w:hint="eastAsia"/>
                <w:b/>
                <w:bCs/>
                <w:color w:val="auto"/>
                <w:kern w:val="0"/>
                <w:sz w:val="24"/>
                <w:szCs w:val="24"/>
                <w:u w:val="none" w:color="auto"/>
                <w:lang w:val="en-US" w:eastAsia="zh-CN" w:bidi="ar"/>
              </w:rPr>
              <w:t>5</w:t>
            </w:r>
            <w:r>
              <w:rPr>
                <w:rFonts w:hint="eastAsia"/>
                <w:b/>
                <w:bCs/>
                <w:color w:val="auto"/>
                <w:kern w:val="0"/>
                <w:sz w:val="24"/>
                <w:szCs w:val="24"/>
                <w:u w:val="none" w:color="auto"/>
                <w:lang w:eastAsia="zh-CN" w:bidi="ar"/>
              </w:rPr>
              <w:t>）液氨挥发</w:t>
            </w:r>
          </w:p>
          <w:p>
            <w:pPr>
              <w:autoSpaceDE w:val="0"/>
              <w:autoSpaceDN w:val="0"/>
              <w:adjustRightInd w:val="0"/>
              <w:spacing w:line="360" w:lineRule="auto"/>
              <w:ind w:firstLine="480" w:firstLineChars="200"/>
              <w:rPr>
                <w:rFonts w:hint="default"/>
                <w:b/>
                <w:bCs/>
                <w:color w:val="auto"/>
                <w:kern w:val="0"/>
                <w:sz w:val="24"/>
                <w:szCs w:val="24"/>
                <w:u w:val="none" w:color="auto"/>
                <w:lang w:val="en-US" w:eastAsia="zh-CN" w:bidi="ar"/>
              </w:rPr>
            </w:pPr>
            <w:r>
              <w:rPr>
                <w:rFonts w:hint="eastAsia"/>
                <w:b w:val="0"/>
                <w:bCs w:val="0"/>
                <w:color w:val="auto"/>
                <w:sz w:val="24"/>
                <w:szCs w:val="24"/>
                <w:highlight w:val="none"/>
                <w:u w:val="none"/>
                <w:vertAlign w:val="baseline"/>
                <w:lang w:val="en-US" w:eastAsia="zh-CN"/>
              </w:rPr>
              <w:t>液氨分解生成的氢气和氮气中会残余少量未分解的氨气，分解率达99%，进分子装置将残余的氨气吸附，吸附效率为95%，约0.1t/a氨进分子筛，0.095t/a氨经吸附提纯后，氮、氢混合气则通过管道直接输入到退火装置，0.005t/a氨无组织排放。</w:t>
            </w:r>
          </w:p>
          <w:p>
            <w:pPr>
              <w:autoSpaceDE w:val="0"/>
              <w:autoSpaceDN w:val="0"/>
              <w:adjustRightInd w:val="0"/>
              <w:spacing w:line="360" w:lineRule="auto"/>
              <w:ind w:firstLine="482" w:firstLineChars="200"/>
              <w:rPr>
                <w:rFonts w:hint="default"/>
                <w:b/>
                <w:bCs/>
                <w:color w:val="auto"/>
                <w:kern w:val="0"/>
                <w:sz w:val="24"/>
                <w:szCs w:val="24"/>
                <w:u w:val="none" w:color="auto"/>
                <w:lang w:val="en-US" w:eastAsia="zh-CN" w:bidi="ar"/>
              </w:rPr>
            </w:pPr>
            <w:r>
              <w:rPr>
                <w:rFonts w:hint="eastAsia"/>
                <w:b/>
                <w:bCs/>
                <w:color w:val="auto"/>
                <w:kern w:val="0"/>
                <w:sz w:val="24"/>
                <w:szCs w:val="24"/>
                <w:u w:val="none" w:color="auto"/>
                <w:lang w:eastAsia="zh-CN" w:bidi="ar"/>
              </w:rPr>
              <w:t>（</w:t>
            </w:r>
            <w:r>
              <w:rPr>
                <w:rFonts w:hint="eastAsia"/>
                <w:b/>
                <w:bCs/>
                <w:color w:val="auto"/>
                <w:kern w:val="0"/>
                <w:sz w:val="24"/>
                <w:szCs w:val="24"/>
                <w:u w:val="none" w:color="auto"/>
                <w:lang w:val="en-US" w:eastAsia="zh-CN" w:bidi="ar"/>
              </w:rPr>
              <w:t>6</w:t>
            </w:r>
            <w:r>
              <w:rPr>
                <w:rFonts w:hint="eastAsia"/>
                <w:b/>
                <w:bCs/>
                <w:color w:val="auto"/>
                <w:kern w:val="0"/>
                <w:sz w:val="24"/>
                <w:szCs w:val="24"/>
                <w:u w:val="none" w:color="auto"/>
                <w:lang w:eastAsia="zh-CN" w:bidi="ar"/>
              </w:rPr>
              <w:t>）</w:t>
            </w:r>
            <w:r>
              <w:rPr>
                <w:rFonts w:hint="eastAsia"/>
                <w:b/>
                <w:bCs/>
                <w:color w:val="auto"/>
                <w:kern w:val="0"/>
                <w:sz w:val="24"/>
                <w:szCs w:val="24"/>
                <w:u w:val="none" w:color="auto"/>
                <w:lang w:val="en-US" w:eastAsia="zh-CN" w:bidi="ar"/>
              </w:rPr>
              <w:t>印字废气</w:t>
            </w:r>
          </w:p>
          <w:p>
            <w:pPr>
              <w:autoSpaceDE w:val="0"/>
              <w:autoSpaceDN w:val="0"/>
              <w:adjustRightInd w:val="0"/>
              <w:spacing w:line="360" w:lineRule="auto"/>
              <w:ind w:firstLine="480" w:firstLineChars="200"/>
              <w:rPr>
                <w:rFonts w:hint="default"/>
                <w:b w:val="0"/>
                <w:bCs w:val="0"/>
                <w:color w:val="auto"/>
                <w:sz w:val="24"/>
                <w:szCs w:val="24"/>
                <w:highlight w:val="none"/>
                <w:u w:val="none"/>
                <w:vertAlign w:val="baseline"/>
                <w:lang w:val="en-US" w:eastAsia="zh-CN"/>
              </w:rPr>
            </w:pPr>
            <w:r>
              <w:rPr>
                <w:rFonts w:hint="eastAsia"/>
                <w:b w:val="0"/>
                <w:bCs w:val="0"/>
                <w:color w:val="auto"/>
                <w:sz w:val="24"/>
                <w:szCs w:val="24"/>
                <w:highlight w:val="none"/>
                <w:u w:val="none"/>
                <w:vertAlign w:val="baseline"/>
                <w:lang w:val="en-US" w:eastAsia="zh-CN"/>
              </w:rPr>
              <w:t>特种电焊条印字过程使用的印字液含60%溶剂，项目使用量约0.1t/a，产生约0.06t/aVOCs无组织排放。</w:t>
            </w:r>
          </w:p>
          <w:p>
            <w:pPr>
              <w:autoSpaceDE w:val="0"/>
              <w:autoSpaceDN w:val="0"/>
              <w:adjustRightInd w:val="0"/>
              <w:spacing w:line="360" w:lineRule="auto"/>
              <w:ind w:firstLine="482" w:firstLineChars="200"/>
              <w:rPr>
                <w:rFonts w:hint="eastAsia"/>
                <w:b/>
                <w:bCs/>
                <w:color w:val="auto"/>
                <w:kern w:val="0"/>
                <w:sz w:val="24"/>
                <w:szCs w:val="24"/>
                <w:u w:val="none" w:color="auto"/>
                <w:lang w:bidi="ar"/>
              </w:rPr>
            </w:pPr>
            <w:r>
              <w:rPr>
                <w:rFonts w:hint="eastAsia"/>
                <w:b/>
                <w:bCs/>
                <w:color w:val="auto"/>
                <w:kern w:val="0"/>
                <w:sz w:val="24"/>
                <w:szCs w:val="24"/>
                <w:u w:val="none" w:color="auto"/>
                <w:lang w:eastAsia="zh-CN" w:bidi="ar"/>
              </w:rPr>
              <w:t>（</w:t>
            </w:r>
            <w:r>
              <w:rPr>
                <w:rFonts w:hint="eastAsia"/>
                <w:b/>
                <w:bCs/>
                <w:color w:val="auto"/>
                <w:kern w:val="0"/>
                <w:sz w:val="24"/>
                <w:szCs w:val="24"/>
                <w:u w:val="none" w:color="auto"/>
                <w:lang w:val="en-US" w:eastAsia="zh-CN" w:bidi="ar"/>
              </w:rPr>
              <w:t>7</w:t>
            </w:r>
            <w:r>
              <w:rPr>
                <w:rFonts w:hint="eastAsia"/>
                <w:b/>
                <w:bCs/>
                <w:color w:val="auto"/>
                <w:kern w:val="0"/>
                <w:sz w:val="24"/>
                <w:szCs w:val="24"/>
                <w:u w:val="none" w:color="auto"/>
                <w:lang w:eastAsia="zh-CN" w:bidi="ar"/>
              </w:rPr>
              <w:t>）</w:t>
            </w:r>
            <w:r>
              <w:rPr>
                <w:rFonts w:hint="eastAsia"/>
                <w:b/>
                <w:bCs/>
                <w:color w:val="auto"/>
                <w:kern w:val="0"/>
                <w:sz w:val="24"/>
                <w:szCs w:val="24"/>
                <w:u w:val="none" w:color="auto"/>
                <w:lang w:bidi="ar"/>
              </w:rPr>
              <w:t>油烟废气</w:t>
            </w:r>
          </w:p>
          <w:p>
            <w:pPr>
              <w:pStyle w:val="62"/>
              <w:bidi w:val="0"/>
              <w:rPr>
                <w:rFonts w:hint="default" w:ascii="Times New Roman" w:hAnsi="Times New Roman" w:eastAsia="宋体" w:cs="宋体"/>
                <w:color w:val="auto"/>
                <w:sz w:val="24"/>
                <w:szCs w:val="24"/>
                <w:highlight w:val="none"/>
                <w:u w:val="none"/>
                <w:lang w:val="en-US" w:eastAsia="zh-CN"/>
              </w:rPr>
            </w:pPr>
            <w:r>
              <w:rPr>
                <w:rFonts w:hint="default" w:ascii="Times New Roman" w:hAnsi="Times New Roman" w:cs="Times New Roman"/>
                <w:color w:val="auto"/>
                <w:kern w:val="0"/>
                <w:sz w:val="24"/>
                <w:szCs w:val="24"/>
                <w:u w:val="none" w:color="auto"/>
                <w:lang w:bidi="ar"/>
              </w:rPr>
              <w:t>建设项目设有一小型食堂为员工供餐，员工</w:t>
            </w:r>
            <w:r>
              <w:rPr>
                <w:rFonts w:hint="eastAsia" w:cs="Times New Roman"/>
                <w:color w:val="auto"/>
                <w:kern w:val="0"/>
                <w:sz w:val="24"/>
                <w:szCs w:val="24"/>
                <w:u w:val="none" w:color="auto"/>
                <w:lang w:val="en-US" w:eastAsia="zh-CN" w:bidi="ar"/>
              </w:rPr>
              <w:t>160</w:t>
            </w:r>
            <w:r>
              <w:rPr>
                <w:rFonts w:hint="default" w:ascii="Times New Roman" w:hAnsi="Times New Roman" w:cs="Times New Roman"/>
                <w:color w:val="auto"/>
                <w:kern w:val="0"/>
                <w:sz w:val="24"/>
                <w:szCs w:val="24"/>
                <w:u w:val="none" w:color="auto"/>
                <w:lang w:bidi="ar"/>
              </w:rPr>
              <w:t>人，内置</w:t>
            </w:r>
            <w:r>
              <w:rPr>
                <w:rFonts w:hint="eastAsia" w:cs="Times New Roman"/>
                <w:color w:val="auto"/>
                <w:kern w:val="0"/>
                <w:sz w:val="24"/>
                <w:szCs w:val="24"/>
                <w:u w:val="none" w:color="auto"/>
                <w:lang w:val="en-US" w:eastAsia="zh-CN" w:bidi="ar"/>
              </w:rPr>
              <w:t>2</w:t>
            </w:r>
            <w:r>
              <w:rPr>
                <w:rFonts w:hint="default" w:ascii="Times New Roman" w:hAnsi="Times New Roman" w:cs="Times New Roman"/>
                <w:color w:val="auto"/>
                <w:kern w:val="0"/>
                <w:sz w:val="24"/>
                <w:szCs w:val="24"/>
                <w:u w:val="none" w:color="auto"/>
                <w:lang w:bidi="ar"/>
              </w:rPr>
              <w:t>个基准灶头，配套</w:t>
            </w:r>
            <w:r>
              <w:rPr>
                <w:rFonts w:hint="eastAsia" w:cs="Times New Roman"/>
                <w:color w:val="auto"/>
                <w:kern w:val="0"/>
                <w:sz w:val="24"/>
                <w:szCs w:val="24"/>
                <w:u w:val="none" w:color="auto"/>
                <w:lang w:val="en-US" w:eastAsia="zh-CN" w:bidi="ar"/>
              </w:rPr>
              <w:t>2</w:t>
            </w:r>
            <w:r>
              <w:rPr>
                <w:rFonts w:hint="default" w:ascii="Times New Roman" w:hAnsi="Times New Roman" w:cs="Times New Roman"/>
                <w:color w:val="auto"/>
                <w:kern w:val="0"/>
                <w:sz w:val="24"/>
                <w:szCs w:val="24"/>
                <w:u w:val="none" w:color="auto"/>
                <w:lang w:bidi="ar"/>
              </w:rPr>
              <w:t>台额定风量为</w:t>
            </w:r>
            <w:r>
              <w:rPr>
                <w:rFonts w:hint="eastAsia" w:cs="Times New Roman"/>
                <w:color w:val="auto"/>
                <w:kern w:val="0"/>
                <w:sz w:val="24"/>
                <w:szCs w:val="24"/>
                <w:u w:val="none" w:color="auto"/>
                <w:lang w:val="en-US" w:eastAsia="zh-CN" w:bidi="ar"/>
              </w:rPr>
              <w:t>6</w:t>
            </w:r>
            <w:r>
              <w:rPr>
                <w:rFonts w:hint="default" w:ascii="Times New Roman" w:hAnsi="Times New Roman" w:cs="Times New Roman"/>
                <w:color w:val="auto"/>
                <w:kern w:val="0"/>
                <w:sz w:val="24"/>
                <w:szCs w:val="24"/>
                <w:u w:val="none" w:color="auto"/>
                <w:lang w:val="en-US" w:eastAsia="zh-CN" w:bidi="ar"/>
              </w:rPr>
              <w:t>0</w:t>
            </w:r>
            <w:r>
              <w:rPr>
                <w:rFonts w:hint="default" w:ascii="Times New Roman" w:hAnsi="Times New Roman" w:cs="Times New Roman"/>
                <w:color w:val="auto"/>
                <w:kern w:val="0"/>
                <w:sz w:val="24"/>
                <w:szCs w:val="24"/>
                <w:u w:val="none" w:color="auto"/>
                <w:lang w:bidi="ar"/>
              </w:rPr>
              <w:t>00Nm</w:t>
            </w:r>
            <w:r>
              <w:rPr>
                <w:rFonts w:hint="default" w:ascii="Times New Roman" w:hAnsi="Times New Roman" w:cs="Times New Roman"/>
                <w:color w:val="auto"/>
                <w:kern w:val="0"/>
                <w:sz w:val="24"/>
                <w:szCs w:val="24"/>
                <w:u w:val="none" w:color="auto"/>
                <w:vertAlign w:val="superscript"/>
                <w:lang w:bidi="ar"/>
              </w:rPr>
              <w:t>3</w:t>
            </w:r>
            <w:r>
              <w:rPr>
                <w:rFonts w:hint="default" w:ascii="Times New Roman" w:hAnsi="Times New Roman" w:cs="Times New Roman"/>
                <w:color w:val="auto"/>
                <w:kern w:val="0"/>
                <w:sz w:val="24"/>
                <w:szCs w:val="24"/>
                <w:u w:val="none" w:color="auto"/>
                <w:lang w:bidi="ar"/>
              </w:rPr>
              <w:t>/h的风机，且净化率不低于60%的抽油烟机。每天运行</w:t>
            </w:r>
            <w:r>
              <w:rPr>
                <w:rFonts w:hint="eastAsia" w:cs="Times New Roman"/>
                <w:color w:val="auto"/>
                <w:kern w:val="0"/>
                <w:sz w:val="24"/>
                <w:szCs w:val="24"/>
                <w:u w:val="none" w:color="auto"/>
                <w:lang w:val="en-US" w:eastAsia="zh-CN" w:bidi="ar"/>
              </w:rPr>
              <w:t>6</w:t>
            </w:r>
            <w:r>
              <w:rPr>
                <w:rFonts w:hint="default" w:ascii="Times New Roman" w:hAnsi="Times New Roman" w:cs="Times New Roman"/>
                <w:color w:val="auto"/>
                <w:kern w:val="0"/>
                <w:sz w:val="24"/>
                <w:szCs w:val="24"/>
                <w:u w:val="none" w:color="auto"/>
                <w:lang w:bidi="ar"/>
              </w:rPr>
              <w:t>小时（年运行3</w:t>
            </w:r>
            <w:r>
              <w:rPr>
                <w:rFonts w:hint="eastAsia" w:cs="Times New Roman"/>
                <w:color w:val="auto"/>
                <w:kern w:val="0"/>
                <w:sz w:val="24"/>
                <w:szCs w:val="24"/>
                <w:u w:val="none" w:color="auto"/>
                <w:lang w:val="en-US" w:eastAsia="zh-CN" w:bidi="ar"/>
              </w:rPr>
              <w:t>3</w:t>
            </w:r>
            <w:r>
              <w:rPr>
                <w:rFonts w:hint="default" w:ascii="Times New Roman" w:hAnsi="Times New Roman" w:cs="Times New Roman"/>
                <w:color w:val="auto"/>
                <w:kern w:val="0"/>
                <w:sz w:val="24"/>
                <w:szCs w:val="24"/>
                <w:highlight w:val="none"/>
                <w:u w:val="none" w:color="auto"/>
                <w:lang w:bidi="ar"/>
              </w:rPr>
              <w:t>0天），类比饮食行业食用油消耗系统7kg/100人.d，则本项目职工消耗食用油</w:t>
            </w:r>
            <w:r>
              <w:rPr>
                <w:rFonts w:hint="eastAsia" w:cs="Times New Roman"/>
                <w:color w:val="auto"/>
                <w:kern w:val="0"/>
                <w:sz w:val="24"/>
                <w:szCs w:val="24"/>
                <w:highlight w:val="none"/>
                <w:u w:val="none" w:color="auto"/>
                <w:lang w:val="en-US" w:eastAsia="zh-CN" w:bidi="ar"/>
              </w:rPr>
              <w:t>3.7</w:t>
            </w:r>
            <w:r>
              <w:rPr>
                <w:rFonts w:hint="default" w:ascii="Times New Roman" w:hAnsi="Times New Roman" w:cs="Times New Roman"/>
                <w:color w:val="auto"/>
                <w:kern w:val="0"/>
                <w:sz w:val="24"/>
                <w:szCs w:val="24"/>
                <w:highlight w:val="none"/>
                <w:u w:val="none" w:color="auto"/>
                <w:lang w:bidi="ar"/>
              </w:rPr>
              <w:t>t/a，挥发损失（转为油烟）约占3%，则食堂油烟产生量约</w:t>
            </w:r>
            <w:r>
              <w:rPr>
                <w:rFonts w:hint="default" w:ascii="Times New Roman" w:hAnsi="Times New Roman" w:cs="Times New Roman"/>
                <w:color w:val="auto"/>
                <w:kern w:val="0"/>
                <w:sz w:val="24"/>
                <w:szCs w:val="24"/>
                <w:highlight w:val="none"/>
                <w:u w:val="none" w:color="auto"/>
                <w:lang w:val="en-US" w:eastAsia="zh-CN" w:bidi="ar"/>
              </w:rPr>
              <w:t>0.</w:t>
            </w:r>
            <w:r>
              <w:rPr>
                <w:rFonts w:hint="eastAsia" w:cs="Times New Roman"/>
                <w:color w:val="auto"/>
                <w:kern w:val="0"/>
                <w:sz w:val="24"/>
                <w:szCs w:val="24"/>
                <w:highlight w:val="none"/>
                <w:u w:val="none" w:color="auto"/>
                <w:lang w:val="en-US" w:eastAsia="zh-CN" w:bidi="ar"/>
              </w:rPr>
              <w:t>11</w:t>
            </w:r>
            <w:r>
              <w:rPr>
                <w:rFonts w:hint="default" w:ascii="Times New Roman" w:hAnsi="Times New Roman" w:cs="Times New Roman"/>
                <w:color w:val="auto"/>
                <w:kern w:val="0"/>
                <w:sz w:val="24"/>
                <w:szCs w:val="24"/>
                <w:highlight w:val="none"/>
                <w:u w:val="none" w:color="auto"/>
                <w:lang w:val="en-US" w:eastAsia="zh-CN" w:bidi="ar"/>
              </w:rPr>
              <w:t>t</w:t>
            </w:r>
            <w:r>
              <w:rPr>
                <w:rFonts w:hint="default" w:ascii="Times New Roman" w:hAnsi="Times New Roman" w:cs="Times New Roman"/>
                <w:color w:val="auto"/>
                <w:kern w:val="0"/>
                <w:sz w:val="24"/>
                <w:szCs w:val="24"/>
                <w:highlight w:val="none"/>
                <w:u w:val="none" w:color="auto"/>
                <w:lang w:bidi="ar"/>
              </w:rPr>
              <w:t>/a，产生速率0.0</w:t>
            </w:r>
            <w:r>
              <w:rPr>
                <w:rFonts w:hint="eastAsia" w:cs="Times New Roman"/>
                <w:color w:val="auto"/>
                <w:kern w:val="0"/>
                <w:sz w:val="24"/>
                <w:szCs w:val="24"/>
                <w:highlight w:val="none"/>
                <w:u w:val="none" w:color="auto"/>
                <w:lang w:val="en-US" w:eastAsia="zh-CN" w:bidi="ar"/>
              </w:rPr>
              <w:t>56</w:t>
            </w:r>
            <w:r>
              <w:rPr>
                <w:rFonts w:hint="default" w:ascii="Times New Roman" w:hAnsi="Times New Roman" w:cs="Times New Roman"/>
                <w:color w:val="auto"/>
                <w:kern w:val="0"/>
                <w:sz w:val="24"/>
                <w:szCs w:val="24"/>
                <w:highlight w:val="none"/>
                <w:u w:val="none" w:color="auto"/>
                <w:lang w:bidi="ar"/>
              </w:rPr>
              <w:t>kg/h，产生浓度为</w:t>
            </w:r>
            <w:r>
              <w:rPr>
                <w:rFonts w:hint="eastAsia" w:cs="Times New Roman"/>
                <w:color w:val="auto"/>
                <w:kern w:val="0"/>
                <w:sz w:val="24"/>
                <w:szCs w:val="24"/>
                <w:highlight w:val="none"/>
                <w:u w:val="none" w:color="auto"/>
                <w:lang w:val="en-US" w:eastAsia="zh-CN" w:bidi="ar"/>
              </w:rPr>
              <w:t>4.67</w:t>
            </w:r>
            <w:r>
              <w:rPr>
                <w:rFonts w:hint="default" w:ascii="Times New Roman" w:hAnsi="Times New Roman" w:cs="Times New Roman"/>
                <w:color w:val="auto"/>
                <w:kern w:val="0"/>
                <w:sz w:val="24"/>
                <w:szCs w:val="24"/>
                <w:highlight w:val="none"/>
                <w:u w:val="none" w:color="auto"/>
                <w:lang w:bidi="ar"/>
              </w:rPr>
              <w:t>mg/m</w:t>
            </w:r>
            <w:r>
              <w:rPr>
                <w:rFonts w:hint="default" w:ascii="Times New Roman" w:hAnsi="Times New Roman" w:cs="Times New Roman"/>
                <w:color w:val="auto"/>
                <w:kern w:val="0"/>
                <w:sz w:val="24"/>
                <w:szCs w:val="24"/>
                <w:highlight w:val="none"/>
                <w:u w:val="none" w:color="auto"/>
                <w:vertAlign w:val="superscript"/>
                <w:lang w:bidi="ar"/>
              </w:rPr>
              <w:t>3</w:t>
            </w:r>
            <w:r>
              <w:rPr>
                <w:rFonts w:hint="default" w:ascii="Times New Roman" w:hAnsi="Times New Roman" w:cs="Times New Roman"/>
                <w:color w:val="auto"/>
                <w:kern w:val="0"/>
                <w:sz w:val="24"/>
                <w:szCs w:val="24"/>
                <w:highlight w:val="none"/>
                <w:u w:val="none" w:color="auto"/>
                <w:lang w:bidi="ar"/>
              </w:rPr>
              <w:t>，食堂安装油烟净化机，油烟净化效率≥60%，则油烟排放量为0.0</w:t>
            </w:r>
            <w:r>
              <w:rPr>
                <w:rFonts w:hint="eastAsia" w:cs="Times New Roman"/>
                <w:color w:val="auto"/>
                <w:kern w:val="0"/>
                <w:sz w:val="24"/>
                <w:szCs w:val="24"/>
                <w:highlight w:val="none"/>
                <w:u w:val="none" w:color="auto"/>
                <w:lang w:val="en-US" w:eastAsia="zh-CN" w:bidi="ar"/>
              </w:rPr>
              <w:t>44t</w:t>
            </w:r>
            <w:r>
              <w:rPr>
                <w:rFonts w:hint="default" w:ascii="Times New Roman" w:hAnsi="Times New Roman" w:cs="Times New Roman"/>
                <w:color w:val="auto"/>
                <w:kern w:val="0"/>
                <w:sz w:val="24"/>
                <w:szCs w:val="24"/>
                <w:highlight w:val="none"/>
                <w:u w:val="none" w:color="auto"/>
                <w:lang w:bidi="ar"/>
              </w:rPr>
              <w:t>/a，</w:t>
            </w:r>
            <w:r>
              <w:rPr>
                <w:rFonts w:hint="default" w:ascii="Times New Roman" w:hAnsi="Times New Roman" w:cs="Times New Roman"/>
                <w:color w:val="auto"/>
                <w:kern w:val="0"/>
                <w:sz w:val="24"/>
                <w:szCs w:val="24"/>
                <w:highlight w:val="none"/>
                <w:u w:val="none" w:color="auto"/>
                <w:lang w:eastAsia="zh-CN" w:bidi="ar"/>
              </w:rPr>
              <w:t>排放</w:t>
            </w:r>
            <w:r>
              <w:rPr>
                <w:rFonts w:hint="default" w:ascii="Times New Roman" w:hAnsi="Times New Roman" w:cs="Times New Roman"/>
                <w:color w:val="auto"/>
                <w:kern w:val="0"/>
                <w:sz w:val="24"/>
                <w:szCs w:val="24"/>
                <w:highlight w:val="none"/>
                <w:u w:val="none" w:color="auto"/>
                <w:lang w:bidi="ar"/>
              </w:rPr>
              <w:t>速率</w:t>
            </w:r>
            <w:r>
              <w:rPr>
                <w:rFonts w:hint="eastAsia" w:cs="Times New Roman"/>
                <w:color w:val="auto"/>
                <w:kern w:val="0"/>
                <w:sz w:val="24"/>
                <w:szCs w:val="24"/>
                <w:highlight w:val="none"/>
                <w:u w:val="none" w:color="auto"/>
                <w:lang w:val="en-US" w:eastAsia="zh-CN" w:bidi="ar"/>
              </w:rPr>
              <w:t>0.022</w:t>
            </w:r>
            <w:r>
              <w:rPr>
                <w:rFonts w:hint="default" w:ascii="Times New Roman" w:hAnsi="Times New Roman" w:cs="Times New Roman"/>
                <w:color w:val="auto"/>
                <w:kern w:val="0"/>
                <w:sz w:val="24"/>
                <w:szCs w:val="24"/>
                <w:highlight w:val="none"/>
                <w:u w:val="none" w:color="auto"/>
                <w:lang w:bidi="ar"/>
              </w:rPr>
              <w:t>kg/h，油烟的排放浓度约1.</w:t>
            </w:r>
            <w:r>
              <w:rPr>
                <w:rFonts w:hint="eastAsia" w:cs="Times New Roman"/>
                <w:color w:val="auto"/>
                <w:kern w:val="0"/>
                <w:sz w:val="24"/>
                <w:szCs w:val="24"/>
                <w:highlight w:val="none"/>
                <w:u w:val="none" w:color="auto"/>
                <w:lang w:val="en-US" w:eastAsia="zh-CN" w:bidi="ar"/>
              </w:rPr>
              <w:t>87</w:t>
            </w:r>
            <w:r>
              <w:rPr>
                <w:rFonts w:hint="default" w:ascii="Times New Roman" w:hAnsi="Times New Roman" w:cs="Times New Roman"/>
                <w:color w:val="auto"/>
                <w:kern w:val="0"/>
                <w:sz w:val="24"/>
                <w:szCs w:val="24"/>
                <w:highlight w:val="none"/>
                <w:u w:val="none" w:color="auto"/>
                <w:lang w:bidi="ar"/>
              </w:rPr>
              <w:t>mg/m³，本项目食堂油烟可满足《饮食业油烟排放标准》（试行）（GB18489-2001）排放浓度（2mg/m³）的要求。</w:t>
            </w:r>
            <w:r>
              <w:rPr>
                <w:rFonts w:hint="default" w:ascii="Times New Roman" w:hAnsi="Times New Roman" w:cs="Times New Roman"/>
                <w:color w:val="auto"/>
                <w:kern w:val="0"/>
                <w:sz w:val="24"/>
                <w:szCs w:val="24"/>
                <w:u w:val="none" w:color="auto"/>
                <w:lang w:bidi="ar"/>
              </w:rPr>
              <w:t>食堂油烟经抽油烟机净化器处理后引至食堂屋顶排放。</w:t>
            </w:r>
          </w:p>
          <w:p>
            <w:pPr>
              <w:pStyle w:val="62"/>
              <w:bidi w:val="0"/>
              <w:rPr>
                <w:rFonts w:hint="default" w:ascii="Times New Roman" w:hAnsi="Times New Roman" w:eastAsia="宋体" w:cs="Times New Roman"/>
                <w:b/>
                <w:bCs/>
                <w:color w:val="auto"/>
                <w:sz w:val="24"/>
                <w:szCs w:val="40"/>
                <w:highlight w:val="none"/>
                <w:u w:val="none"/>
                <w:lang w:val="en-US" w:eastAsia="zh-CN"/>
              </w:rPr>
            </w:pPr>
            <w:r>
              <w:rPr>
                <w:rFonts w:hint="default" w:ascii="Times New Roman" w:hAnsi="Times New Roman" w:eastAsia="宋体" w:cs="宋体"/>
                <w:b/>
                <w:bCs/>
                <w:color w:val="auto"/>
                <w:sz w:val="24"/>
                <w:szCs w:val="24"/>
                <w:highlight w:val="none"/>
                <w:u w:val="none"/>
                <w:lang w:val="en-US" w:eastAsia="zh-CN"/>
              </w:rPr>
              <w:t>4.</w:t>
            </w:r>
            <w:r>
              <w:rPr>
                <w:rFonts w:hint="eastAsia" w:cs="宋体"/>
                <w:b/>
                <w:bCs/>
                <w:color w:val="auto"/>
                <w:sz w:val="24"/>
                <w:szCs w:val="24"/>
                <w:highlight w:val="none"/>
                <w:u w:val="none"/>
                <w:lang w:val="en-US" w:eastAsia="zh-CN"/>
              </w:rPr>
              <w:t>2</w:t>
            </w:r>
            <w:r>
              <w:rPr>
                <w:rFonts w:hint="default" w:ascii="Times New Roman" w:hAnsi="Times New Roman" w:eastAsia="宋体" w:cs="宋体"/>
                <w:b/>
                <w:bCs/>
                <w:color w:val="auto"/>
                <w:sz w:val="24"/>
                <w:szCs w:val="24"/>
                <w:highlight w:val="none"/>
                <w:u w:val="none"/>
                <w:lang w:val="en-US" w:eastAsia="zh-CN"/>
              </w:rPr>
              <w:t>.2</w:t>
            </w:r>
            <w:r>
              <w:rPr>
                <w:rFonts w:hint="default" w:ascii="Times New Roman" w:hAnsi="Times New Roman" w:cs="Times New Roman"/>
                <w:b/>
                <w:bCs/>
                <w:color w:val="auto"/>
                <w:sz w:val="24"/>
                <w:szCs w:val="40"/>
                <w:highlight w:val="none"/>
                <w:u w:val="none"/>
              </w:rPr>
              <w:t>排放量核算</w:t>
            </w:r>
            <w:r>
              <w:rPr>
                <w:rFonts w:hint="eastAsia" w:cs="Times New Roman"/>
                <w:b/>
                <w:bCs/>
                <w:color w:val="auto"/>
                <w:sz w:val="24"/>
                <w:szCs w:val="40"/>
                <w:highlight w:val="none"/>
                <w:u w:val="none"/>
                <w:lang w:val="en-US" w:eastAsia="zh-CN"/>
              </w:rPr>
              <w:t xml:space="preserve">  </w:t>
            </w:r>
          </w:p>
          <w:p>
            <w:pPr>
              <w:spacing w:line="480" w:lineRule="exact"/>
              <w:ind w:firstLine="480" w:firstLineChars="200"/>
              <w:rPr>
                <w:rFonts w:hint="default" w:ascii="Times New Roman" w:hAnsi="Times New Roman" w:cs="Times New Roman"/>
                <w:color w:val="auto"/>
                <w:sz w:val="24"/>
                <w:szCs w:val="32"/>
                <w:highlight w:val="none"/>
                <w:u w:val="none"/>
              </w:rPr>
            </w:pPr>
            <w:r>
              <w:rPr>
                <w:rFonts w:hint="default" w:ascii="Times New Roman" w:hAnsi="Times New Roman" w:cs="Times New Roman"/>
                <w:color w:val="auto"/>
                <w:sz w:val="24"/>
                <w:szCs w:val="32"/>
                <w:highlight w:val="none"/>
                <w:u w:val="none"/>
              </w:rPr>
              <w:t>根据工程分析，本项目污染物排放量核算情况见表4</w:t>
            </w:r>
            <w:r>
              <w:rPr>
                <w:rFonts w:hint="eastAsia" w:cs="Times New Roman"/>
                <w:color w:val="auto"/>
                <w:sz w:val="24"/>
                <w:szCs w:val="32"/>
                <w:highlight w:val="none"/>
                <w:u w:val="none"/>
                <w:lang w:val="en-US" w:eastAsia="zh-CN"/>
              </w:rPr>
              <w:t>.2-9</w:t>
            </w:r>
            <w:r>
              <w:rPr>
                <w:rFonts w:hint="default" w:ascii="Times New Roman" w:hAnsi="Times New Roman" w:cs="Times New Roman"/>
                <w:color w:val="auto"/>
                <w:sz w:val="24"/>
                <w:szCs w:val="32"/>
                <w:highlight w:val="none"/>
                <w:u w:val="none"/>
              </w:rPr>
              <w:t>~表</w:t>
            </w:r>
            <w:r>
              <w:rPr>
                <w:rFonts w:hint="eastAsia" w:cs="Times New Roman"/>
                <w:color w:val="auto"/>
                <w:sz w:val="24"/>
                <w:szCs w:val="32"/>
                <w:highlight w:val="none"/>
                <w:u w:val="none"/>
                <w:lang w:val="en-US" w:eastAsia="zh-CN"/>
              </w:rPr>
              <w:t>4.2-11</w:t>
            </w:r>
            <w:r>
              <w:rPr>
                <w:rFonts w:hint="default" w:ascii="Times New Roman" w:hAnsi="Times New Roman" w:cs="Times New Roman"/>
                <w:color w:val="auto"/>
                <w:sz w:val="24"/>
                <w:szCs w:val="32"/>
                <w:highlight w:val="none"/>
                <w:u w:val="none"/>
              </w:rPr>
              <w:t>。</w:t>
            </w:r>
          </w:p>
          <w:p>
            <w:pPr>
              <w:pStyle w:val="60"/>
              <w:bidi w:val="0"/>
              <w:spacing w:line="240" w:lineRule="auto"/>
              <w:rPr>
                <w:rFonts w:hint="default"/>
                <w:color w:val="auto"/>
                <w:sz w:val="24"/>
                <w:szCs w:val="24"/>
                <w:highlight w:val="none"/>
                <w:u w:val="none"/>
              </w:rPr>
            </w:pPr>
            <w:r>
              <w:rPr>
                <w:rFonts w:hint="default"/>
                <w:color w:val="auto"/>
                <w:sz w:val="24"/>
                <w:szCs w:val="24"/>
                <w:highlight w:val="none"/>
                <w:u w:val="none"/>
              </w:rPr>
              <w:t>表4</w:t>
            </w:r>
            <w:r>
              <w:rPr>
                <w:rFonts w:hint="eastAsia"/>
                <w:color w:val="auto"/>
                <w:sz w:val="24"/>
                <w:szCs w:val="24"/>
                <w:highlight w:val="none"/>
                <w:u w:val="none"/>
                <w:lang w:val="en-US" w:eastAsia="zh-CN"/>
              </w:rPr>
              <w:t>.2-9</w:t>
            </w:r>
            <w:r>
              <w:rPr>
                <w:rFonts w:hint="default"/>
                <w:color w:val="auto"/>
                <w:sz w:val="24"/>
                <w:szCs w:val="24"/>
                <w:highlight w:val="none"/>
                <w:u w:val="none"/>
              </w:rPr>
              <w:t>本项目有组织废气产生及排放情况一览表</w:t>
            </w:r>
          </w:p>
          <w:tbl>
            <w:tblPr>
              <w:tblStyle w:val="29"/>
              <w:tblW w:w="498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49"/>
              <w:gridCol w:w="977"/>
              <w:gridCol w:w="1131"/>
              <w:gridCol w:w="1795"/>
              <w:gridCol w:w="1661"/>
              <w:gridCol w:w="1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tblHeader/>
                <w:jc w:val="center"/>
              </w:trPr>
              <w:tc>
                <w:tcPr>
                  <w:tcW w:w="449" w:type="dxa"/>
                  <w:noWrap w:val="0"/>
                  <w:vAlign w:val="center"/>
                </w:tcPr>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序号</w:t>
                  </w:r>
                </w:p>
              </w:tc>
              <w:tc>
                <w:tcPr>
                  <w:tcW w:w="977" w:type="dxa"/>
                  <w:noWrap w:val="0"/>
                  <w:vAlign w:val="center"/>
                </w:tcPr>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排放口编号</w:t>
                  </w:r>
                </w:p>
              </w:tc>
              <w:tc>
                <w:tcPr>
                  <w:tcW w:w="1131" w:type="dxa"/>
                  <w:noWrap w:val="0"/>
                  <w:vAlign w:val="center"/>
                </w:tcPr>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污染物</w:t>
                  </w:r>
                </w:p>
              </w:tc>
              <w:tc>
                <w:tcPr>
                  <w:tcW w:w="1795" w:type="dxa"/>
                  <w:noWrap w:val="0"/>
                  <w:vAlign w:val="center"/>
                </w:tcPr>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核算排放浓度/</w:t>
                  </w:r>
                </w:p>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(mg/m</w:t>
                  </w:r>
                  <w:r>
                    <w:rPr>
                      <w:rFonts w:hint="default" w:ascii="Times New Roman" w:hAnsi="Times New Roman" w:cs="Times New Roman"/>
                      <w:b/>
                      <w:bCs/>
                      <w:color w:val="auto"/>
                      <w:highlight w:val="none"/>
                      <w:u w:val="none"/>
                      <w:vertAlign w:val="superscript"/>
                    </w:rPr>
                    <w:t>3</w:t>
                  </w:r>
                  <w:r>
                    <w:rPr>
                      <w:rFonts w:hint="default" w:ascii="Times New Roman" w:hAnsi="Times New Roman" w:cs="Times New Roman"/>
                      <w:b/>
                      <w:bCs/>
                      <w:color w:val="auto"/>
                      <w:highlight w:val="none"/>
                      <w:u w:val="none"/>
                    </w:rPr>
                    <w:t>)</w:t>
                  </w:r>
                </w:p>
              </w:tc>
              <w:tc>
                <w:tcPr>
                  <w:tcW w:w="1661" w:type="dxa"/>
                  <w:noWrap w:val="0"/>
                  <w:vAlign w:val="center"/>
                </w:tcPr>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核算排放速率/</w:t>
                  </w:r>
                </w:p>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(kg/h)</w:t>
                  </w:r>
                </w:p>
              </w:tc>
              <w:tc>
                <w:tcPr>
                  <w:tcW w:w="1900" w:type="dxa"/>
                  <w:noWrap w:val="0"/>
                  <w:vAlign w:val="center"/>
                </w:tcPr>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核算年排放量/</w:t>
                  </w:r>
                </w:p>
                <w:p>
                  <w:pPr>
                    <w:adjustRightInd w:val="0"/>
                    <w:snapToGrid w:val="0"/>
                    <w:spacing w:line="240" w:lineRule="auto"/>
                    <w:jc w:val="center"/>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13" w:type="dxa"/>
                  <w:gridSpan w:val="6"/>
                  <w:noWrap w:val="0"/>
                  <w:vAlign w:val="center"/>
                </w:tcPr>
                <w:p>
                  <w:pPr>
                    <w:adjustRightInd w:val="0"/>
                    <w:snapToGrid w:val="0"/>
                    <w:spacing w:line="240" w:lineRule="auto"/>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一般排放口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eastAsia" w:ascii="Times New Roman" w:hAnsi="Times New Roman" w:eastAsia="宋体" w:cs="Times New Roman"/>
                      <w:color w:val="auto"/>
                      <w:highlight w:val="none"/>
                      <w:u w:val="none"/>
                      <w:lang w:eastAsia="zh-CN"/>
                    </w:rPr>
                  </w:pPr>
                  <w:r>
                    <w:rPr>
                      <w:rFonts w:hint="eastAsia" w:cs="Times New Roman"/>
                      <w:color w:val="auto"/>
                      <w:highlight w:val="none"/>
                      <w:u w:val="none"/>
                      <w:lang w:val="en-US" w:eastAsia="zh-CN"/>
                    </w:rPr>
                    <w:t>1</w:t>
                  </w:r>
                </w:p>
              </w:tc>
              <w:tc>
                <w:tcPr>
                  <w:tcW w:w="977" w:type="dxa"/>
                  <w:noWrap w:val="0"/>
                  <w:vAlign w:val="center"/>
                </w:tcPr>
                <w:p>
                  <w:pPr>
                    <w:adjustRightInd w:val="0"/>
                    <w:snapToGrid w:val="0"/>
                    <w:spacing w:line="240" w:lineRule="auto"/>
                    <w:jc w:val="center"/>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DA007</w:t>
                  </w:r>
                </w:p>
              </w:tc>
              <w:tc>
                <w:tcPr>
                  <w:tcW w:w="1131" w:type="dxa"/>
                  <w:noWrap w:val="0"/>
                  <w:vAlign w:val="center"/>
                </w:tcPr>
                <w:p>
                  <w:pPr>
                    <w:pStyle w:val="55"/>
                    <w:bidi w:val="0"/>
                    <w:spacing w:line="240" w:lineRule="auto"/>
                    <w:jc w:val="center"/>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硫酸雾</w:t>
                  </w:r>
                </w:p>
              </w:tc>
              <w:tc>
                <w:tcPr>
                  <w:tcW w:w="1795" w:type="dxa"/>
                  <w:noWrap w:val="0"/>
                  <w:vAlign w:val="center"/>
                </w:tcPr>
                <w:p>
                  <w:pPr>
                    <w:pStyle w:val="55"/>
                    <w:bidi w:val="0"/>
                    <w:spacing w:line="240" w:lineRule="auto"/>
                    <w:rPr>
                      <w:rFonts w:hint="default"/>
                      <w:color w:val="auto"/>
                      <w:highlight w:val="none"/>
                      <w:u w:val="none"/>
                      <w:lang w:val="en-US" w:eastAsia="zh-CN"/>
                    </w:rPr>
                  </w:pPr>
                  <w:r>
                    <w:rPr>
                      <w:rFonts w:hint="eastAsia" w:cs="Times New Roman"/>
                      <w:color w:val="auto"/>
                      <w:kern w:val="0"/>
                      <w:szCs w:val="21"/>
                      <w:highlight w:val="none"/>
                      <w:u w:val="single" w:color="auto"/>
                      <w:lang w:val="en-US" w:eastAsia="zh-CN" w:bidi="ar"/>
                    </w:rPr>
                    <w:t>10.35</w:t>
                  </w:r>
                </w:p>
              </w:tc>
              <w:tc>
                <w:tcPr>
                  <w:tcW w:w="1661" w:type="dxa"/>
                  <w:noWrap w:val="0"/>
                  <w:vAlign w:val="center"/>
                </w:tcPr>
                <w:p>
                  <w:pPr>
                    <w:pStyle w:val="55"/>
                    <w:bidi w:val="0"/>
                    <w:spacing w:line="240" w:lineRule="auto"/>
                    <w:rPr>
                      <w:rFonts w:hint="default"/>
                      <w:color w:val="auto"/>
                      <w:highlight w:val="none"/>
                      <w:u w:val="none"/>
                      <w:lang w:val="en-US" w:eastAsia="zh-CN"/>
                    </w:rPr>
                  </w:pPr>
                  <w:r>
                    <w:rPr>
                      <w:rFonts w:hint="eastAsia" w:cs="Times New Roman"/>
                      <w:color w:val="auto"/>
                      <w:kern w:val="0"/>
                      <w:szCs w:val="21"/>
                      <w:highlight w:val="none"/>
                      <w:u w:val="single" w:color="auto"/>
                      <w:lang w:val="en-US" w:eastAsia="zh-CN" w:bidi="ar"/>
                    </w:rPr>
                    <w:t>0.021</w:t>
                  </w:r>
                </w:p>
              </w:tc>
              <w:tc>
                <w:tcPr>
                  <w:tcW w:w="1900" w:type="dxa"/>
                  <w:noWrap w:val="0"/>
                  <w:vAlign w:val="center"/>
                </w:tcPr>
                <w:p>
                  <w:pPr>
                    <w:pStyle w:val="55"/>
                    <w:bidi w:val="0"/>
                    <w:spacing w:line="240" w:lineRule="auto"/>
                    <w:jc w:val="center"/>
                    <w:rPr>
                      <w:rFonts w:hint="default"/>
                      <w:color w:val="auto"/>
                      <w:highlight w:val="none"/>
                      <w:u w:val="none"/>
                      <w:lang w:val="en-US" w:eastAsia="zh-CN"/>
                    </w:rPr>
                  </w:pPr>
                  <w:r>
                    <w:rPr>
                      <w:rFonts w:hint="eastAsia" w:ascii="Times New Roman" w:hAnsi="Times New Roman" w:eastAsia="宋体" w:cs="Times New Roman"/>
                      <w:color w:val="auto"/>
                      <w:kern w:val="0"/>
                      <w:szCs w:val="21"/>
                      <w:highlight w:val="none"/>
                      <w:u w:val="single" w:color="auto"/>
                      <w:lang w:val="en-US" w:eastAsia="zh-CN" w:bidi="ar"/>
                    </w:rPr>
                    <w:t>0.</w:t>
                  </w:r>
                  <w:r>
                    <w:rPr>
                      <w:rFonts w:hint="eastAsia" w:cs="Times New Roman"/>
                      <w:color w:val="auto"/>
                      <w:kern w:val="0"/>
                      <w:szCs w:val="21"/>
                      <w:highlight w:val="none"/>
                      <w:u w:val="single" w:color="auto"/>
                      <w:lang w:val="en-US" w:eastAsia="zh-CN" w:bidi="ar"/>
                    </w:rPr>
                    <w:t>164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2</w:t>
                  </w:r>
                </w:p>
              </w:tc>
              <w:tc>
                <w:tcPr>
                  <w:tcW w:w="977"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DA008</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颗粒物</w:t>
                  </w:r>
                </w:p>
              </w:tc>
              <w:tc>
                <w:tcPr>
                  <w:tcW w:w="1795" w:type="dxa"/>
                  <w:noWrap w:val="0"/>
                  <w:vAlign w:val="center"/>
                </w:tcPr>
                <w:p>
                  <w:pPr>
                    <w:pStyle w:val="55"/>
                    <w:bidi w:val="0"/>
                    <w:spacing w:line="240" w:lineRule="auto"/>
                    <w:rPr>
                      <w:rFonts w:hint="default"/>
                      <w:color w:val="auto"/>
                      <w:highlight w:val="none"/>
                      <w:u w:val="none"/>
                      <w:lang w:val="en-US" w:eastAsia="zh-CN"/>
                    </w:rPr>
                  </w:pPr>
                  <w:r>
                    <w:rPr>
                      <w:rFonts w:hint="eastAsia" w:cs="Times New Roman"/>
                      <w:i w:val="0"/>
                      <w:iCs w:val="0"/>
                      <w:color w:val="auto"/>
                      <w:kern w:val="0"/>
                      <w:sz w:val="21"/>
                      <w:szCs w:val="21"/>
                      <w:highlight w:val="none"/>
                      <w:u w:val="single"/>
                      <w:lang w:val="en-US" w:eastAsia="zh-CN" w:bidi="ar"/>
                    </w:rPr>
                    <w:t>13.805</w:t>
                  </w:r>
                </w:p>
              </w:tc>
              <w:tc>
                <w:tcPr>
                  <w:tcW w:w="1661" w:type="dxa"/>
                  <w:noWrap w:val="0"/>
                  <w:vAlign w:val="center"/>
                </w:tcPr>
                <w:p>
                  <w:pPr>
                    <w:pStyle w:val="55"/>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0.0</w:t>
                  </w:r>
                  <w:r>
                    <w:rPr>
                      <w:rFonts w:hint="eastAsia" w:cs="Times New Roman"/>
                      <w:i w:val="0"/>
                      <w:iCs w:val="0"/>
                      <w:color w:val="auto"/>
                      <w:kern w:val="0"/>
                      <w:sz w:val="21"/>
                      <w:szCs w:val="21"/>
                      <w:highlight w:val="none"/>
                      <w:u w:val="single"/>
                      <w:lang w:val="en-US" w:eastAsia="zh-CN" w:bidi="ar"/>
                    </w:rPr>
                    <w:t>28</w:t>
                  </w:r>
                </w:p>
              </w:tc>
              <w:tc>
                <w:tcPr>
                  <w:tcW w:w="1900" w:type="dxa"/>
                  <w:noWrap w:val="0"/>
                  <w:vAlign w:val="center"/>
                </w:tcPr>
                <w:p>
                  <w:pPr>
                    <w:pStyle w:val="55"/>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w:t>
                  </w:r>
                  <w:r>
                    <w:rPr>
                      <w:rFonts w:hint="eastAsia" w:cs="Times New Roman"/>
                      <w:i w:val="0"/>
                      <w:iCs w:val="0"/>
                      <w:color w:val="auto"/>
                      <w:kern w:val="0"/>
                      <w:sz w:val="21"/>
                      <w:szCs w:val="21"/>
                      <w:highlight w:val="none"/>
                      <w:u w:val="single"/>
                      <w:lang w:val="en-US" w:eastAsia="zh-CN" w:bidi="ar"/>
                    </w:rPr>
                    <w:t>219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3</w:t>
                  </w:r>
                </w:p>
              </w:tc>
              <w:tc>
                <w:tcPr>
                  <w:tcW w:w="977" w:type="dxa"/>
                  <w:vMerge w:val="restart"/>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DA009</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非甲烷总烃</w:t>
                  </w:r>
                </w:p>
              </w:tc>
              <w:tc>
                <w:tcPr>
                  <w:tcW w:w="17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7.576</w:t>
                  </w:r>
                </w:p>
              </w:tc>
              <w:tc>
                <w:tcPr>
                  <w:tcW w:w="16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0.136</w:t>
                  </w:r>
                </w:p>
              </w:tc>
              <w:tc>
                <w:tcPr>
                  <w:tcW w:w="19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4</w:t>
                  </w:r>
                </w:p>
              </w:tc>
              <w:tc>
                <w:tcPr>
                  <w:tcW w:w="977" w:type="dxa"/>
                  <w:vMerge w:val="continue"/>
                  <w:noWrap w:val="0"/>
                  <w:vAlign w:val="center"/>
                </w:tcPr>
                <w:p>
                  <w:pPr>
                    <w:adjustRightInd w:val="0"/>
                    <w:snapToGrid w:val="0"/>
                    <w:spacing w:line="240" w:lineRule="auto"/>
                    <w:jc w:val="center"/>
                    <w:rPr>
                      <w:rFonts w:hint="eastAsia" w:cs="Times New Roman"/>
                      <w:color w:val="auto"/>
                      <w:highlight w:val="none"/>
                      <w:u w:val="none"/>
                      <w:lang w:val="en-US" w:eastAsia="zh-CN"/>
                    </w:rPr>
                  </w:pP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苯</w:t>
                  </w:r>
                </w:p>
              </w:tc>
              <w:tc>
                <w:tcPr>
                  <w:tcW w:w="1795"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1.569</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0.028</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5</w:t>
                  </w:r>
                </w:p>
              </w:tc>
              <w:tc>
                <w:tcPr>
                  <w:tcW w:w="977" w:type="dxa"/>
                  <w:vMerge w:val="continue"/>
                  <w:noWrap w:val="0"/>
                  <w:vAlign w:val="center"/>
                </w:tcPr>
                <w:p>
                  <w:pPr>
                    <w:adjustRightInd w:val="0"/>
                    <w:snapToGrid w:val="0"/>
                    <w:spacing w:line="240" w:lineRule="auto"/>
                    <w:jc w:val="center"/>
                    <w:rPr>
                      <w:rFonts w:hint="eastAsia" w:cs="Times New Roman"/>
                      <w:color w:val="auto"/>
                      <w:highlight w:val="none"/>
                      <w:u w:val="none"/>
                      <w:lang w:val="en-US" w:eastAsia="zh-CN"/>
                    </w:rPr>
                  </w:pP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甲苯</w:t>
                  </w:r>
                </w:p>
              </w:tc>
              <w:tc>
                <w:tcPr>
                  <w:tcW w:w="1795"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0.792</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6</w:t>
                  </w:r>
                </w:p>
              </w:tc>
              <w:tc>
                <w:tcPr>
                  <w:tcW w:w="977" w:type="dxa"/>
                  <w:vMerge w:val="continue"/>
                  <w:noWrap w:val="0"/>
                  <w:vAlign w:val="center"/>
                </w:tcPr>
                <w:p>
                  <w:pPr>
                    <w:adjustRightInd w:val="0"/>
                    <w:snapToGrid w:val="0"/>
                    <w:spacing w:line="240" w:lineRule="auto"/>
                    <w:jc w:val="center"/>
                    <w:rPr>
                      <w:rFonts w:hint="eastAsia" w:cs="Times New Roman"/>
                      <w:color w:val="auto"/>
                      <w:highlight w:val="none"/>
                      <w:u w:val="none"/>
                      <w:lang w:val="en-US" w:eastAsia="zh-CN"/>
                    </w:rPr>
                  </w:pP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二甲苯</w:t>
                  </w:r>
                </w:p>
              </w:tc>
              <w:tc>
                <w:tcPr>
                  <w:tcW w:w="1795"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4.651</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0.084</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7</w:t>
                  </w:r>
                </w:p>
              </w:tc>
              <w:tc>
                <w:tcPr>
                  <w:tcW w:w="977" w:type="dxa"/>
                  <w:vMerge w:val="continue"/>
                  <w:noWrap w:val="0"/>
                  <w:vAlign w:val="center"/>
                </w:tcPr>
                <w:p>
                  <w:pPr>
                    <w:adjustRightInd w:val="0"/>
                    <w:snapToGrid w:val="0"/>
                    <w:spacing w:line="240" w:lineRule="auto"/>
                    <w:jc w:val="center"/>
                    <w:rPr>
                      <w:rFonts w:hint="eastAsia" w:cs="Times New Roman"/>
                      <w:color w:val="auto"/>
                      <w:highlight w:val="none"/>
                      <w:u w:val="none"/>
                      <w:lang w:val="en-US" w:eastAsia="zh-CN"/>
                    </w:rPr>
                  </w:pP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乙苯</w:t>
                  </w:r>
                </w:p>
              </w:tc>
              <w:tc>
                <w:tcPr>
                  <w:tcW w:w="1795"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0.303</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8</w:t>
                  </w:r>
                </w:p>
              </w:tc>
              <w:tc>
                <w:tcPr>
                  <w:tcW w:w="977" w:type="dxa"/>
                  <w:vMerge w:val="continue"/>
                  <w:noWrap w:val="0"/>
                  <w:vAlign w:val="center"/>
                </w:tcPr>
                <w:p>
                  <w:pPr>
                    <w:adjustRightInd w:val="0"/>
                    <w:snapToGrid w:val="0"/>
                    <w:spacing w:line="240" w:lineRule="auto"/>
                    <w:jc w:val="center"/>
                    <w:rPr>
                      <w:rFonts w:hint="eastAsia" w:cs="Times New Roman"/>
                      <w:color w:val="auto"/>
                      <w:highlight w:val="none"/>
                      <w:u w:val="none"/>
                      <w:lang w:val="en-US" w:eastAsia="zh-CN"/>
                    </w:rPr>
                  </w:pP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苯乙烯</w:t>
                  </w:r>
                </w:p>
              </w:tc>
              <w:tc>
                <w:tcPr>
                  <w:tcW w:w="1795"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0.261</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9</w:t>
                  </w:r>
                </w:p>
              </w:tc>
              <w:tc>
                <w:tcPr>
                  <w:tcW w:w="977"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油烟</w:t>
                  </w:r>
                </w:p>
              </w:tc>
              <w:tc>
                <w:tcPr>
                  <w:tcW w:w="1795" w:type="dxa"/>
                  <w:noWrap w:val="0"/>
                  <w:vAlign w:val="center"/>
                </w:tcPr>
                <w:p>
                  <w:pPr>
                    <w:pStyle w:val="55"/>
                    <w:bidi w:val="0"/>
                    <w:spacing w:line="240" w:lineRule="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1.87</w:t>
                  </w:r>
                </w:p>
              </w:tc>
              <w:tc>
                <w:tcPr>
                  <w:tcW w:w="1661" w:type="dxa"/>
                  <w:noWrap w:val="0"/>
                  <w:vAlign w:val="center"/>
                </w:tcPr>
                <w:p>
                  <w:pPr>
                    <w:pStyle w:val="55"/>
                    <w:bidi w:val="0"/>
                    <w:spacing w:line="240" w:lineRule="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0.022</w:t>
                  </w:r>
                </w:p>
              </w:tc>
              <w:tc>
                <w:tcPr>
                  <w:tcW w:w="1900" w:type="dxa"/>
                  <w:noWrap w:val="0"/>
                  <w:vAlign w:val="center"/>
                </w:tcPr>
                <w:p>
                  <w:pPr>
                    <w:pStyle w:val="55"/>
                    <w:bidi w:val="0"/>
                    <w:spacing w:line="240" w:lineRule="auto"/>
                    <w:jc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13" w:type="dxa"/>
                  <w:gridSpan w:val="6"/>
                  <w:noWrap w:val="0"/>
                  <w:vAlign w:val="center"/>
                </w:tcPr>
                <w:p>
                  <w:pPr>
                    <w:pStyle w:val="55"/>
                    <w:bidi w:val="0"/>
                    <w:spacing w:line="240" w:lineRule="auto"/>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1</w:t>
                  </w:r>
                </w:p>
              </w:tc>
              <w:tc>
                <w:tcPr>
                  <w:tcW w:w="977"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颗粒物</w:t>
                  </w:r>
                </w:p>
              </w:tc>
              <w:tc>
                <w:tcPr>
                  <w:tcW w:w="1795" w:type="dxa"/>
                  <w:noWrap w:val="0"/>
                  <w:vAlign w:val="center"/>
                </w:tcPr>
                <w:p>
                  <w:pPr>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highlight w:val="none"/>
                      <w:u w:val="none"/>
                      <w:lang w:val="en-US" w:eastAsia="zh-CN"/>
                    </w:rPr>
                    <w:t>/</w:t>
                  </w:r>
                </w:p>
              </w:tc>
              <w:tc>
                <w:tcPr>
                  <w:tcW w:w="1661" w:type="dxa"/>
                  <w:noWrap w:val="0"/>
                  <w:vAlign w:val="center"/>
                </w:tcPr>
                <w:p>
                  <w:pPr>
                    <w:pStyle w:val="55"/>
                    <w:bidi w:val="0"/>
                    <w:spacing w:line="240" w:lineRule="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w:t>
                  </w:r>
                  <w:r>
                    <w:rPr>
                      <w:rFonts w:hint="eastAsia" w:cs="Times New Roman"/>
                      <w:i w:val="0"/>
                      <w:iCs w:val="0"/>
                      <w:color w:val="auto"/>
                      <w:kern w:val="0"/>
                      <w:sz w:val="21"/>
                      <w:szCs w:val="21"/>
                      <w:highlight w:val="none"/>
                      <w:u w:val="single"/>
                      <w:lang w:val="en-US" w:eastAsia="zh-CN" w:bidi="ar"/>
                    </w:rPr>
                    <w:t>153</w:t>
                  </w:r>
                </w:p>
              </w:tc>
              <w:tc>
                <w:tcPr>
                  <w:tcW w:w="1900" w:type="dxa"/>
                  <w:noWrap w:val="0"/>
                  <w:vAlign w:val="center"/>
                </w:tcPr>
                <w:p>
                  <w:pPr>
                    <w:pStyle w:val="55"/>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single"/>
                      <w:lang w:val="en-US" w:eastAsia="zh-CN" w:bidi="ar"/>
                    </w:rPr>
                    <w:t>1.215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2</w:t>
                  </w:r>
                </w:p>
              </w:tc>
              <w:tc>
                <w:tcPr>
                  <w:tcW w:w="977"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single"/>
                      <w:lang w:val="en-US" w:eastAsia="zh-CN" w:bidi="ar"/>
                    </w:rPr>
                  </w:pPr>
                  <w:r>
                    <w:rPr>
                      <w:rFonts w:hint="eastAsia" w:cs="Times New Roman"/>
                      <w:bCs/>
                      <w:color w:val="auto"/>
                      <w:kern w:val="2"/>
                      <w:sz w:val="21"/>
                      <w:szCs w:val="21"/>
                      <w:highlight w:val="none"/>
                      <w:u w:val="single"/>
                      <w:lang w:val="en-US" w:eastAsia="zh-CN" w:bidi="ar"/>
                    </w:rPr>
                    <w:t>硫酸雾</w:t>
                  </w:r>
                </w:p>
              </w:tc>
              <w:tc>
                <w:tcPr>
                  <w:tcW w:w="1795" w:type="dxa"/>
                  <w:noWrap w:val="0"/>
                  <w:vAlign w:val="center"/>
                </w:tcPr>
                <w:p>
                  <w:pPr>
                    <w:adjustRightInd w:val="0"/>
                    <w:snapToGrid w:val="0"/>
                    <w:spacing w:line="240" w:lineRule="auto"/>
                    <w:jc w:val="center"/>
                    <w:rPr>
                      <w:rFonts w:hint="default" w:ascii="Times New Roman" w:hAnsi="Times New Roman" w:eastAsia="宋体" w:cs="Times New Roman"/>
                      <w:i w:val="0"/>
                      <w:iCs w:val="0"/>
                      <w:color w:val="auto"/>
                      <w:kern w:val="0"/>
                      <w:sz w:val="21"/>
                      <w:szCs w:val="21"/>
                      <w:u w:val="single"/>
                      <w:lang w:val="en-US" w:eastAsia="zh-CN" w:bidi="ar"/>
                    </w:rPr>
                  </w:pPr>
                  <w:r>
                    <w:rPr>
                      <w:rFonts w:hint="eastAsia" w:cs="Times New Roman"/>
                      <w:color w:val="auto"/>
                      <w:highlight w:val="none"/>
                      <w:u w:val="single"/>
                      <w:lang w:val="en-US" w:eastAsia="zh-CN"/>
                    </w:rPr>
                    <w:t>/</w:t>
                  </w:r>
                </w:p>
              </w:tc>
              <w:tc>
                <w:tcPr>
                  <w:tcW w:w="1661" w:type="dxa"/>
                  <w:noWrap w:val="0"/>
                  <w:vAlign w:val="center"/>
                </w:tcPr>
                <w:p>
                  <w:pPr>
                    <w:pStyle w:val="55"/>
                    <w:bidi w:val="0"/>
                    <w:spacing w:line="240" w:lineRule="auto"/>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0.000005</w:t>
                  </w:r>
                </w:p>
              </w:tc>
              <w:tc>
                <w:tcPr>
                  <w:tcW w:w="1900" w:type="dxa"/>
                  <w:noWrap w:val="0"/>
                  <w:vAlign w:val="center"/>
                </w:tcPr>
                <w:p>
                  <w:pPr>
                    <w:pStyle w:val="55"/>
                    <w:bidi w:val="0"/>
                    <w:spacing w:line="240" w:lineRule="auto"/>
                    <w:jc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0.00004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3</w:t>
                  </w:r>
                </w:p>
              </w:tc>
              <w:tc>
                <w:tcPr>
                  <w:tcW w:w="977"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非甲烷总烃</w:t>
                  </w:r>
                </w:p>
              </w:tc>
              <w:tc>
                <w:tcPr>
                  <w:tcW w:w="1795"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121</w:t>
                  </w:r>
                </w:p>
              </w:tc>
              <w:tc>
                <w:tcPr>
                  <w:tcW w:w="19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4</w:t>
                  </w:r>
                </w:p>
              </w:tc>
              <w:tc>
                <w:tcPr>
                  <w:tcW w:w="977"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苯</w:t>
                  </w:r>
                </w:p>
              </w:tc>
              <w:tc>
                <w:tcPr>
                  <w:tcW w:w="1795"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5</w:t>
                  </w:r>
                </w:p>
              </w:tc>
              <w:tc>
                <w:tcPr>
                  <w:tcW w:w="977"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甲苯</w:t>
                  </w:r>
                </w:p>
              </w:tc>
              <w:tc>
                <w:tcPr>
                  <w:tcW w:w="1795"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0.012</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6</w:t>
                  </w:r>
                </w:p>
              </w:tc>
              <w:tc>
                <w:tcPr>
                  <w:tcW w:w="977"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二甲苯</w:t>
                  </w:r>
                </w:p>
              </w:tc>
              <w:tc>
                <w:tcPr>
                  <w:tcW w:w="1795"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0.070</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7</w:t>
                  </w:r>
                </w:p>
              </w:tc>
              <w:tc>
                <w:tcPr>
                  <w:tcW w:w="977"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乙苯</w:t>
                  </w:r>
                </w:p>
              </w:tc>
              <w:tc>
                <w:tcPr>
                  <w:tcW w:w="1795"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8</w:t>
                  </w:r>
                </w:p>
              </w:tc>
              <w:tc>
                <w:tcPr>
                  <w:tcW w:w="977"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苯乙烯</w:t>
                  </w:r>
                </w:p>
              </w:tc>
              <w:tc>
                <w:tcPr>
                  <w:tcW w:w="1795"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1900"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449" w:type="dxa"/>
                  <w:noWrap w:val="0"/>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9</w:t>
                  </w:r>
                </w:p>
              </w:tc>
              <w:tc>
                <w:tcPr>
                  <w:tcW w:w="977"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131" w:type="dxa"/>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氨</w:t>
                  </w:r>
                </w:p>
              </w:tc>
              <w:tc>
                <w:tcPr>
                  <w:tcW w:w="1795" w:type="dxa"/>
                  <w:noWrap w:val="0"/>
                  <w:vAlign w:val="center"/>
                </w:tcPr>
                <w:p>
                  <w:pPr>
                    <w:adjustRightInd w:val="0"/>
                    <w:snapToGrid w:val="0"/>
                    <w:spacing w:line="240" w:lineRule="auto"/>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w:t>
                  </w:r>
                </w:p>
              </w:tc>
              <w:tc>
                <w:tcPr>
                  <w:tcW w:w="1661"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0.0006</w:t>
                  </w:r>
                </w:p>
              </w:tc>
              <w:tc>
                <w:tcPr>
                  <w:tcW w:w="1900"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426" w:type="dxa"/>
                  <w:gridSpan w:val="2"/>
                  <w:vMerge w:val="restart"/>
                  <w:noWrap w:val="0"/>
                  <w:vAlign w:val="center"/>
                </w:tcPr>
                <w:p>
                  <w:pPr>
                    <w:adjustRightInd w:val="0"/>
                    <w:snapToGrid w:val="0"/>
                    <w:spacing w:line="240" w:lineRule="auto"/>
                    <w:jc w:val="center"/>
                    <w:rPr>
                      <w:rFonts w:hint="eastAsia"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合计</w:t>
                  </w:r>
                </w:p>
              </w:tc>
              <w:tc>
                <w:tcPr>
                  <w:tcW w:w="4587" w:type="dxa"/>
                  <w:gridSpan w:val="3"/>
                  <w:noWrap w:val="0"/>
                  <w:vAlign w:val="center"/>
                </w:tcPr>
                <w:p>
                  <w:pPr>
                    <w:pStyle w:val="55"/>
                    <w:bidi w:val="0"/>
                    <w:spacing w:line="240" w:lineRule="auto"/>
                    <w:jc w:val="center"/>
                    <w:rPr>
                      <w:rFonts w:hint="default"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硫酸雾</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6404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426" w:type="dxa"/>
                  <w:gridSpan w:val="2"/>
                  <w:vMerge w:val="continue"/>
                  <w:noWrap w:val="0"/>
                  <w:vAlign w:val="center"/>
                </w:tcPr>
                <w:p>
                  <w:pPr>
                    <w:adjustRightInd w:val="0"/>
                    <w:snapToGrid w:val="0"/>
                    <w:spacing w:line="240" w:lineRule="auto"/>
                    <w:jc w:val="center"/>
                    <w:rPr>
                      <w:rFonts w:hint="default" w:ascii="Times New Roman" w:hAnsi="Times New Roman" w:cs="Times New Roman"/>
                      <w:color w:val="auto"/>
                      <w:highlight w:val="none"/>
                      <w:u w:val="none"/>
                    </w:rPr>
                  </w:pPr>
                </w:p>
              </w:tc>
              <w:tc>
                <w:tcPr>
                  <w:tcW w:w="4587" w:type="dxa"/>
                  <w:gridSpan w:val="3"/>
                  <w:noWrap w:val="0"/>
                  <w:vAlign w:val="center"/>
                </w:tcPr>
                <w:p>
                  <w:pPr>
                    <w:pStyle w:val="55"/>
                    <w:bidi w:val="0"/>
                    <w:spacing w:line="240" w:lineRule="auto"/>
                    <w:jc w:val="center"/>
                    <w:rPr>
                      <w:rFonts w:hint="eastAsia" w:ascii="Times New Roman" w:hAnsi="Times New Roman" w:eastAsia="宋体"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颗粒物</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426" w:type="dxa"/>
                  <w:gridSpan w:val="2"/>
                  <w:vMerge w:val="continue"/>
                  <w:noWrap w:val="0"/>
                  <w:vAlign w:val="center"/>
                </w:tcPr>
                <w:p>
                  <w:pPr>
                    <w:adjustRightInd w:val="0"/>
                    <w:snapToGrid w:val="0"/>
                    <w:spacing w:line="240" w:lineRule="auto"/>
                    <w:jc w:val="center"/>
                    <w:rPr>
                      <w:rFonts w:hint="default" w:ascii="Times New Roman" w:hAnsi="Times New Roman" w:cs="Times New Roman"/>
                      <w:color w:val="auto"/>
                      <w:highlight w:val="none"/>
                      <w:u w:val="none"/>
                    </w:rPr>
                  </w:pPr>
                </w:p>
              </w:tc>
              <w:tc>
                <w:tcPr>
                  <w:tcW w:w="4587" w:type="dxa"/>
                  <w:gridSpan w:val="3"/>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非甲烷总烃</w:t>
                  </w:r>
                </w:p>
              </w:tc>
              <w:tc>
                <w:tcPr>
                  <w:tcW w:w="19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 w:hRule="atLeast"/>
                <w:jc w:val="center"/>
              </w:trPr>
              <w:tc>
                <w:tcPr>
                  <w:tcW w:w="1426" w:type="dxa"/>
                  <w:gridSpan w:val="2"/>
                  <w:vMerge w:val="continue"/>
                  <w:noWrap w:val="0"/>
                  <w:vAlign w:val="center"/>
                </w:tcPr>
                <w:p>
                  <w:pPr>
                    <w:adjustRightInd w:val="0"/>
                    <w:snapToGrid w:val="0"/>
                    <w:spacing w:line="240" w:lineRule="auto"/>
                    <w:jc w:val="center"/>
                    <w:rPr>
                      <w:rFonts w:hint="default" w:ascii="Times New Roman" w:hAnsi="Times New Roman" w:cs="Times New Roman"/>
                      <w:color w:val="auto"/>
                      <w:highlight w:val="none"/>
                      <w:u w:val="none"/>
                    </w:rPr>
                  </w:pPr>
                </w:p>
              </w:tc>
              <w:tc>
                <w:tcPr>
                  <w:tcW w:w="4587" w:type="dxa"/>
                  <w:gridSpan w:val="3"/>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苯</w:t>
                  </w:r>
                </w:p>
              </w:tc>
              <w:tc>
                <w:tcPr>
                  <w:tcW w:w="19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 w:hRule="atLeast"/>
                <w:jc w:val="center"/>
              </w:trPr>
              <w:tc>
                <w:tcPr>
                  <w:tcW w:w="1426" w:type="dxa"/>
                  <w:gridSpan w:val="2"/>
                  <w:vMerge w:val="continue"/>
                  <w:noWrap w:val="0"/>
                  <w:vAlign w:val="center"/>
                </w:tcPr>
                <w:p>
                  <w:pPr>
                    <w:keepNext w:val="0"/>
                    <w:keepLines w:val="0"/>
                    <w:widowControl/>
                    <w:suppressLineNumbers w:val="0"/>
                    <w:jc w:val="center"/>
                    <w:textAlignment w:val="center"/>
                    <w:rPr>
                      <w:color w:val="auto"/>
                    </w:rPr>
                  </w:pPr>
                </w:p>
              </w:tc>
              <w:tc>
                <w:tcPr>
                  <w:tcW w:w="4587" w:type="dxa"/>
                  <w:gridSpan w:val="3"/>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甲苯</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 w:hRule="atLeast"/>
                <w:jc w:val="center"/>
              </w:trPr>
              <w:tc>
                <w:tcPr>
                  <w:tcW w:w="1426" w:type="dxa"/>
                  <w:gridSpan w:val="2"/>
                  <w:vMerge w:val="continue"/>
                  <w:noWrap w:val="0"/>
                  <w:vAlign w:val="center"/>
                </w:tcPr>
                <w:p>
                  <w:pPr>
                    <w:keepNext w:val="0"/>
                    <w:keepLines w:val="0"/>
                    <w:widowControl/>
                    <w:suppressLineNumbers w:val="0"/>
                    <w:jc w:val="center"/>
                    <w:textAlignment w:val="center"/>
                    <w:rPr>
                      <w:rFonts w:hint="eastAsia" w:cs="Times New Roman"/>
                      <w:bCs/>
                      <w:color w:val="auto"/>
                      <w:kern w:val="2"/>
                      <w:sz w:val="21"/>
                      <w:szCs w:val="21"/>
                      <w:highlight w:val="none"/>
                      <w:u w:val="none"/>
                      <w:lang w:val="en-US" w:eastAsia="zh-CN" w:bidi="ar"/>
                    </w:rPr>
                  </w:pPr>
                </w:p>
              </w:tc>
              <w:tc>
                <w:tcPr>
                  <w:tcW w:w="4587" w:type="dxa"/>
                  <w:gridSpan w:val="3"/>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二甲苯</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 w:hRule="atLeast"/>
                <w:jc w:val="center"/>
              </w:trPr>
              <w:tc>
                <w:tcPr>
                  <w:tcW w:w="1426" w:type="dxa"/>
                  <w:gridSpan w:val="2"/>
                  <w:vMerge w:val="continue"/>
                  <w:noWrap w:val="0"/>
                  <w:vAlign w:val="center"/>
                </w:tcPr>
                <w:p>
                  <w:pPr>
                    <w:keepNext w:val="0"/>
                    <w:keepLines w:val="0"/>
                    <w:widowControl/>
                    <w:suppressLineNumbers w:val="0"/>
                    <w:jc w:val="center"/>
                    <w:textAlignment w:val="center"/>
                    <w:rPr>
                      <w:rFonts w:hint="eastAsia" w:cs="Times New Roman"/>
                      <w:bCs/>
                      <w:color w:val="auto"/>
                      <w:kern w:val="2"/>
                      <w:sz w:val="21"/>
                      <w:szCs w:val="21"/>
                      <w:highlight w:val="none"/>
                      <w:u w:val="none"/>
                      <w:lang w:val="en-US" w:eastAsia="zh-CN" w:bidi="ar"/>
                    </w:rPr>
                  </w:pPr>
                </w:p>
              </w:tc>
              <w:tc>
                <w:tcPr>
                  <w:tcW w:w="4587" w:type="dxa"/>
                  <w:gridSpan w:val="3"/>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乙苯</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 w:hRule="atLeast"/>
                <w:jc w:val="center"/>
              </w:trPr>
              <w:tc>
                <w:tcPr>
                  <w:tcW w:w="1426" w:type="dxa"/>
                  <w:gridSpan w:val="2"/>
                  <w:vMerge w:val="continue"/>
                  <w:noWrap w:val="0"/>
                  <w:vAlign w:val="center"/>
                </w:tcPr>
                <w:p>
                  <w:pPr>
                    <w:keepNext w:val="0"/>
                    <w:keepLines w:val="0"/>
                    <w:widowControl/>
                    <w:suppressLineNumbers w:val="0"/>
                    <w:jc w:val="center"/>
                    <w:textAlignment w:val="center"/>
                    <w:rPr>
                      <w:rFonts w:hint="eastAsia" w:cs="Times New Roman"/>
                      <w:bCs/>
                      <w:color w:val="auto"/>
                      <w:kern w:val="2"/>
                      <w:sz w:val="21"/>
                      <w:szCs w:val="21"/>
                      <w:highlight w:val="none"/>
                      <w:u w:val="none"/>
                      <w:lang w:val="en-US" w:eastAsia="zh-CN" w:bidi="ar"/>
                    </w:rPr>
                  </w:pPr>
                </w:p>
              </w:tc>
              <w:tc>
                <w:tcPr>
                  <w:tcW w:w="4587" w:type="dxa"/>
                  <w:gridSpan w:val="3"/>
                  <w:noWrap w:val="0"/>
                  <w:vAlign w:val="center"/>
                </w:tcPr>
                <w:p>
                  <w:pPr>
                    <w:adjustRightInd w:val="0"/>
                    <w:snapToGrid w:val="0"/>
                    <w:jc w:val="center"/>
                    <w:rPr>
                      <w:rFonts w:hint="eastAsia" w:cs="Times New Roman"/>
                      <w:bCs/>
                      <w:color w:val="auto"/>
                      <w:kern w:val="2"/>
                      <w:sz w:val="21"/>
                      <w:szCs w:val="21"/>
                      <w:highlight w:val="none"/>
                      <w:u w:val="none"/>
                      <w:lang w:val="en-US" w:eastAsia="zh-CN" w:bidi="ar"/>
                    </w:rPr>
                  </w:pPr>
                  <w:r>
                    <w:rPr>
                      <w:rFonts w:hint="eastAsia" w:cs="Times New Roman"/>
                      <w:color w:val="auto"/>
                      <w:szCs w:val="21"/>
                      <w:highlight w:val="none"/>
                      <w:u w:val="none"/>
                      <w:lang w:val="en-US" w:eastAsia="zh-CN"/>
                    </w:rPr>
                    <w:t>苯乙烯</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 w:hRule="atLeast"/>
                <w:jc w:val="center"/>
              </w:trPr>
              <w:tc>
                <w:tcPr>
                  <w:tcW w:w="1426" w:type="dxa"/>
                  <w:gridSpan w:val="2"/>
                  <w:vMerge w:val="continue"/>
                  <w:noWrap w:val="0"/>
                  <w:vAlign w:val="center"/>
                </w:tcPr>
                <w:p>
                  <w:pPr>
                    <w:keepNext w:val="0"/>
                    <w:keepLines w:val="0"/>
                    <w:widowControl/>
                    <w:suppressLineNumbers w:val="0"/>
                    <w:jc w:val="center"/>
                    <w:textAlignment w:val="center"/>
                    <w:rPr>
                      <w:rFonts w:hint="eastAsia" w:cs="Times New Roman"/>
                      <w:bCs/>
                      <w:color w:val="auto"/>
                      <w:kern w:val="2"/>
                      <w:sz w:val="21"/>
                      <w:szCs w:val="21"/>
                      <w:highlight w:val="none"/>
                      <w:u w:val="none"/>
                      <w:lang w:val="en-US" w:eastAsia="zh-CN" w:bidi="ar"/>
                    </w:rPr>
                  </w:pPr>
                </w:p>
              </w:tc>
              <w:tc>
                <w:tcPr>
                  <w:tcW w:w="4587" w:type="dxa"/>
                  <w:gridSpan w:val="3"/>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氨</w:t>
                  </w:r>
                </w:p>
              </w:tc>
              <w:tc>
                <w:tcPr>
                  <w:tcW w:w="1900" w:type="dxa"/>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426" w:type="dxa"/>
                  <w:gridSpan w:val="2"/>
                  <w:vMerge w:val="continue"/>
                  <w:noWrap w:val="0"/>
                  <w:vAlign w:val="center"/>
                </w:tcPr>
                <w:p>
                  <w:pPr>
                    <w:adjustRightInd w:val="0"/>
                    <w:snapToGrid w:val="0"/>
                    <w:spacing w:line="240" w:lineRule="auto"/>
                    <w:jc w:val="center"/>
                    <w:rPr>
                      <w:rFonts w:hint="default" w:ascii="Times New Roman" w:hAnsi="Times New Roman" w:cs="Times New Roman"/>
                      <w:color w:val="auto"/>
                      <w:highlight w:val="none"/>
                      <w:u w:val="none"/>
                    </w:rPr>
                  </w:pPr>
                </w:p>
              </w:tc>
              <w:tc>
                <w:tcPr>
                  <w:tcW w:w="4587" w:type="dxa"/>
                  <w:gridSpan w:val="3"/>
                  <w:noWrap w:val="0"/>
                  <w:vAlign w:val="center"/>
                </w:tcPr>
                <w:p>
                  <w:pPr>
                    <w:pStyle w:val="55"/>
                    <w:bidi w:val="0"/>
                    <w:spacing w:line="240" w:lineRule="auto"/>
                    <w:jc w:val="center"/>
                    <w:rPr>
                      <w:rFonts w:hint="eastAsia" w:cs="Times New Roman"/>
                      <w:bCs/>
                      <w:color w:val="auto"/>
                      <w:kern w:val="2"/>
                      <w:sz w:val="21"/>
                      <w:szCs w:val="21"/>
                      <w:highlight w:val="none"/>
                      <w:u w:val="none"/>
                      <w:lang w:val="en-US" w:eastAsia="zh-CN" w:bidi="ar"/>
                    </w:rPr>
                  </w:pPr>
                  <w:r>
                    <w:rPr>
                      <w:rFonts w:hint="eastAsia" w:cs="Times New Roman"/>
                      <w:bCs/>
                      <w:color w:val="auto"/>
                      <w:kern w:val="2"/>
                      <w:sz w:val="21"/>
                      <w:szCs w:val="21"/>
                      <w:highlight w:val="none"/>
                      <w:u w:val="none"/>
                      <w:lang w:val="en-US" w:eastAsia="zh-CN" w:bidi="ar"/>
                    </w:rPr>
                    <w:t>油烟</w:t>
                  </w:r>
                </w:p>
              </w:tc>
              <w:tc>
                <w:tcPr>
                  <w:tcW w:w="19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r>
          </w:tbl>
          <w:p>
            <w:pPr>
              <w:pStyle w:val="107"/>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sz w:val="24"/>
                <w:szCs w:val="32"/>
                <w:u w:val="none" w:color="auto"/>
              </w:rPr>
            </w:pPr>
            <w:r>
              <w:rPr>
                <w:rFonts w:hint="default" w:ascii="Times New Roman" w:hAnsi="Times New Roman" w:eastAsia="宋体" w:cs="Times New Roman"/>
                <w:color w:val="auto"/>
                <w:sz w:val="24"/>
                <w:szCs w:val="32"/>
                <w:u w:val="none" w:color="auto"/>
              </w:rPr>
              <w:t>表</w:t>
            </w:r>
            <w:r>
              <w:rPr>
                <w:rFonts w:hint="default" w:ascii="Times New Roman" w:hAnsi="Times New Roman" w:eastAsia="宋体" w:cs="Times New Roman"/>
                <w:color w:val="auto"/>
                <w:sz w:val="24"/>
                <w:szCs w:val="32"/>
                <w:u w:val="none" w:color="auto"/>
                <w:lang w:val="en-US" w:eastAsia="zh-CN"/>
              </w:rPr>
              <w:t>4.</w:t>
            </w:r>
            <w:r>
              <w:rPr>
                <w:rFonts w:hint="eastAsia" w:cs="Times New Roman"/>
                <w:color w:val="auto"/>
                <w:sz w:val="24"/>
                <w:szCs w:val="32"/>
                <w:u w:val="none" w:color="auto"/>
                <w:lang w:val="en-US" w:eastAsia="zh-CN"/>
              </w:rPr>
              <w:t>2</w:t>
            </w:r>
            <w:r>
              <w:rPr>
                <w:rFonts w:hint="default" w:ascii="Times New Roman" w:hAnsi="Times New Roman" w:eastAsia="宋体" w:cs="Times New Roman"/>
                <w:color w:val="auto"/>
                <w:sz w:val="24"/>
                <w:szCs w:val="32"/>
                <w:u w:val="none" w:color="auto"/>
                <w:lang w:val="en-US" w:eastAsia="zh-CN"/>
              </w:rPr>
              <w:t>-</w:t>
            </w:r>
            <w:r>
              <w:rPr>
                <w:rFonts w:hint="eastAsia" w:cs="Times New Roman"/>
                <w:color w:val="auto"/>
                <w:sz w:val="24"/>
                <w:szCs w:val="32"/>
                <w:u w:val="none" w:color="auto"/>
                <w:lang w:val="en-US" w:eastAsia="zh-CN"/>
              </w:rPr>
              <w:t>10</w:t>
            </w:r>
            <w:r>
              <w:rPr>
                <w:rFonts w:hint="default" w:ascii="Times New Roman" w:hAnsi="Times New Roman" w:eastAsia="宋体" w:cs="Times New Roman"/>
                <w:color w:val="auto"/>
                <w:sz w:val="24"/>
                <w:szCs w:val="32"/>
                <w:u w:val="none" w:color="auto"/>
              </w:rPr>
              <w:t>排放口基本情况表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90"/>
              <w:gridCol w:w="712"/>
              <w:gridCol w:w="818"/>
              <w:gridCol w:w="750"/>
              <w:gridCol w:w="615"/>
              <w:gridCol w:w="585"/>
              <w:gridCol w:w="600"/>
              <w:gridCol w:w="1399"/>
              <w:gridCol w:w="745"/>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90"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排放口编号及名称</w:t>
                  </w:r>
                </w:p>
              </w:tc>
              <w:tc>
                <w:tcPr>
                  <w:tcW w:w="390"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排放口类型</w:t>
                  </w:r>
                </w:p>
              </w:tc>
              <w:tc>
                <w:tcPr>
                  <w:tcW w:w="712"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污染物种类</w:t>
                  </w:r>
                </w:p>
              </w:tc>
              <w:tc>
                <w:tcPr>
                  <w:tcW w:w="1568" w:type="dxa"/>
                  <w:gridSpan w:val="2"/>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highlight w:val="none"/>
                      <w:u w:val="none" w:color="auto"/>
                    </w:rPr>
                  </w:pPr>
                  <w:r>
                    <w:rPr>
                      <w:rFonts w:hint="default" w:ascii="Times New Roman" w:hAnsi="Times New Roman" w:eastAsia="宋体" w:cs="Times New Roman"/>
                      <w:b/>
                      <w:bCs w:val="0"/>
                      <w:color w:val="auto"/>
                      <w:highlight w:val="none"/>
                      <w:u w:val="none" w:color="auto"/>
                    </w:rPr>
                    <w:t>排放口地理坐标</w:t>
                  </w:r>
                </w:p>
              </w:tc>
              <w:tc>
                <w:tcPr>
                  <w:tcW w:w="1800" w:type="dxa"/>
                  <w:gridSpan w:val="3"/>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lang w:eastAsia="zh-CN"/>
                    </w:rPr>
                  </w:pPr>
                  <w:r>
                    <w:rPr>
                      <w:rFonts w:hint="default" w:ascii="Times New Roman" w:hAnsi="Times New Roman" w:eastAsia="宋体" w:cs="Times New Roman"/>
                      <w:b/>
                      <w:bCs w:val="0"/>
                      <w:color w:val="auto"/>
                      <w:u w:val="none" w:color="auto"/>
                      <w:lang w:eastAsia="zh-CN"/>
                    </w:rPr>
                    <w:t>排气筒信息</w:t>
                  </w:r>
                </w:p>
              </w:tc>
              <w:tc>
                <w:tcPr>
                  <w:tcW w:w="2875" w:type="dxa"/>
                  <w:gridSpan w:val="3"/>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9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p>
              </w:tc>
              <w:tc>
                <w:tcPr>
                  <w:tcW w:w="39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p>
              </w:tc>
              <w:tc>
                <w:tcPr>
                  <w:tcW w:w="712"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p>
              </w:tc>
              <w:tc>
                <w:tcPr>
                  <w:tcW w:w="818"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highlight w:val="none"/>
                      <w:u w:val="none" w:color="auto"/>
                    </w:rPr>
                  </w:pPr>
                  <w:r>
                    <w:rPr>
                      <w:rFonts w:hint="default" w:ascii="Times New Roman" w:hAnsi="Times New Roman" w:eastAsia="宋体" w:cs="Times New Roman"/>
                      <w:b/>
                      <w:bCs w:val="0"/>
                      <w:color w:val="auto"/>
                      <w:highlight w:val="none"/>
                      <w:u w:val="none" w:color="auto"/>
                    </w:rPr>
                    <w:t>经度</w:t>
                  </w:r>
                </w:p>
              </w:tc>
              <w:tc>
                <w:tcPr>
                  <w:tcW w:w="750"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highlight w:val="none"/>
                      <w:u w:val="none" w:color="auto"/>
                    </w:rPr>
                  </w:pPr>
                  <w:r>
                    <w:rPr>
                      <w:rFonts w:hint="default" w:ascii="Times New Roman" w:hAnsi="Times New Roman" w:eastAsia="宋体" w:cs="Times New Roman"/>
                      <w:b/>
                      <w:bCs w:val="0"/>
                      <w:color w:val="auto"/>
                      <w:highlight w:val="none"/>
                      <w:u w:val="none" w:color="auto"/>
                    </w:rPr>
                    <w:t>纬度</w:t>
                  </w:r>
                </w:p>
              </w:tc>
              <w:tc>
                <w:tcPr>
                  <w:tcW w:w="615"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高度（m）</w:t>
                  </w:r>
                </w:p>
              </w:tc>
              <w:tc>
                <w:tcPr>
                  <w:tcW w:w="585"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内径（m）</w:t>
                  </w:r>
                </w:p>
              </w:tc>
              <w:tc>
                <w:tcPr>
                  <w:tcW w:w="600"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温度</w:t>
                  </w:r>
                  <w:r>
                    <w:rPr>
                      <w:rFonts w:hint="default" w:ascii="Times New Roman" w:hAnsi="Times New Roman" w:cs="Times New Roman"/>
                      <w:b/>
                      <w:bCs w:val="0"/>
                      <w:color w:val="auto"/>
                      <w:u w:val="none" w:color="auto"/>
                      <w:lang w:eastAsia="zh-CN"/>
                    </w:rPr>
                    <w:t>（</w:t>
                  </w:r>
                  <w:r>
                    <w:rPr>
                      <w:rFonts w:hint="default" w:ascii="Times New Roman" w:hAnsi="Times New Roman" w:eastAsia="宋体" w:cs="Times New Roman"/>
                      <w:b/>
                      <w:bCs w:val="0"/>
                      <w:color w:val="auto"/>
                      <w:u w:val="none" w:color="auto"/>
                    </w:rPr>
                    <w:t>℃</w:t>
                  </w:r>
                  <w:r>
                    <w:rPr>
                      <w:rFonts w:hint="default" w:ascii="Times New Roman" w:hAnsi="Times New Roman" w:cs="Times New Roman"/>
                      <w:b/>
                      <w:bCs w:val="0"/>
                      <w:color w:val="auto"/>
                      <w:u w:val="none" w:color="auto"/>
                      <w:lang w:eastAsia="zh-CN"/>
                    </w:rPr>
                    <w:t>）</w:t>
                  </w:r>
                </w:p>
              </w:tc>
              <w:tc>
                <w:tcPr>
                  <w:tcW w:w="1399"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标准名称</w:t>
                  </w:r>
                </w:p>
              </w:tc>
              <w:tc>
                <w:tcPr>
                  <w:tcW w:w="1476" w:type="dxa"/>
                  <w:gridSpan w:val="2"/>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9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39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712"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818"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75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615"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default" w:ascii="Times New Roman" w:hAnsi="Times New Roman" w:eastAsia="宋体" w:cs="Times New Roman"/>
                      <w:color w:val="auto"/>
                      <w:u w:val="none" w:color="auto"/>
                    </w:rPr>
                  </w:pPr>
                </w:p>
              </w:tc>
              <w:tc>
                <w:tcPr>
                  <w:tcW w:w="585"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default" w:ascii="Times New Roman" w:hAnsi="Times New Roman" w:eastAsia="宋体" w:cs="Times New Roman"/>
                      <w:color w:val="auto"/>
                      <w:u w:val="none" w:color="auto"/>
                    </w:rPr>
                  </w:pPr>
                </w:p>
              </w:tc>
              <w:tc>
                <w:tcPr>
                  <w:tcW w:w="60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default" w:ascii="Times New Roman" w:hAnsi="Times New Roman" w:eastAsia="宋体" w:cs="Times New Roman"/>
                      <w:color w:val="auto"/>
                      <w:u w:val="none" w:color="auto"/>
                    </w:rPr>
                  </w:pPr>
                </w:p>
              </w:tc>
              <w:tc>
                <w:tcPr>
                  <w:tcW w:w="1399"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745"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最高允许排放浓度mg/m</w:t>
                  </w:r>
                  <w:r>
                    <w:rPr>
                      <w:rFonts w:hint="default" w:ascii="Times New Roman" w:hAnsi="Times New Roman" w:eastAsia="宋体" w:cs="Times New Roman"/>
                      <w:b/>
                      <w:bCs w:val="0"/>
                      <w:color w:val="auto"/>
                      <w:u w:val="none" w:color="auto"/>
                      <w:vertAlign w:val="superscript"/>
                    </w:rPr>
                    <w:t>3</w:t>
                  </w:r>
                </w:p>
              </w:tc>
              <w:tc>
                <w:tcPr>
                  <w:tcW w:w="731"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u w:val="none" w:color="auto"/>
                    </w:rPr>
                  </w:pPr>
                  <w:r>
                    <w:rPr>
                      <w:rFonts w:hint="default" w:ascii="Times New Roman" w:hAnsi="Times New Roman" w:eastAsia="宋体" w:cs="Times New Roman"/>
                      <w:b/>
                      <w:bCs w:val="0"/>
                      <w:color w:val="auto"/>
                      <w:u w:val="none" w:color="auto"/>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90" w:type="dxa"/>
                  <w:noWrap w:val="0"/>
                  <w:tcMar>
                    <w:top w:w="0" w:type="dxa"/>
                    <w:left w:w="17" w:type="dxa"/>
                    <w:bottom w:w="0" w:type="dxa"/>
                    <w:right w:w="17" w:type="dxa"/>
                  </w:tcMar>
                  <w:vAlign w:val="center"/>
                </w:tcPr>
                <w:p>
                  <w:pPr>
                    <w:adjustRightInd w:val="0"/>
                    <w:snapToGrid w:val="0"/>
                    <w:spacing w:line="240" w:lineRule="auto"/>
                    <w:jc w:val="center"/>
                    <w:rPr>
                      <w:rFonts w:hint="default" w:ascii="Times New Roman" w:hAnsi="Times New Roman" w:eastAsia="宋体" w:cs="Times New Roman"/>
                      <w:color w:val="auto"/>
                      <w:u w:val="none" w:color="auto"/>
                      <w:lang w:val="en-US" w:eastAsia="zh-CN"/>
                    </w:rPr>
                  </w:pPr>
                  <w:r>
                    <w:rPr>
                      <w:rFonts w:hint="eastAsia" w:cs="Times New Roman"/>
                      <w:color w:val="auto"/>
                      <w:highlight w:val="none"/>
                      <w:u w:val="none"/>
                      <w:lang w:val="en-US" w:eastAsia="zh-CN"/>
                    </w:rPr>
                    <w:t>DA007</w:t>
                  </w:r>
                </w:p>
              </w:tc>
              <w:tc>
                <w:tcPr>
                  <w:tcW w:w="390"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一般排放口</w:t>
                  </w:r>
                </w:p>
              </w:tc>
              <w:tc>
                <w:tcPr>
                  <w:tcW w:w="712"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kern w:val="2"/>
                      <w:sz w:val="21"/>
                      <w:szCs w:val="21"/>
                      <w:u w:val="none" w:color="auto"/>
                      <w:lang w:val="en-US" w:eastAsia="zh-CN" w:bidi="ar-SA"/>
                    </w:rPr>
                    <w:t>硫酸雾</w:t>
                  </w:r>
                </w:p>
              </w:tc>
              <w:tc>
                <w:tcPr>
                  <w:tcW w:w="818"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val="en-US" w:eastAsia="zh-CN"/>
                    </w:rPr>
                    <w:t>°55′43.453″</w:t>
                  </w:r>
                </w:p>
              </w:tc>
              <w:tc>
                <w:tcPr>
                  <w:tcW w:w="750"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28°31′54.206″</w:t>
                  </w:r>
                </w:p>
              </w:tc>
              <w:tc>
                <w:tcPr>
                  <w:tcW w:w="615" w:type="dxa"/>
                  <w:noWrap w:val="0"/>
                  <w:tcMar>
                    <w:top w:w="0" w:type="dxa"/>
                    <w:left w:w="17" w:type="dxa"/>
                    <w:bottom w:w="0" w:type="dxa"/>
                    <w:right w:w="17" w:type="dxa"/>
                  </w:tcMar>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lang w:val="en-US" w:eastAsia="zh-CN"/>
                    </w:rPr>
                    <w:t>15</w:t>
                  </w:r>
                </w:p>
              </w:tc>
              <w:tc>
                <w:tcPr>
                  <w:tcW w:w="585" w:type="dxa"/>
                  <w:noWrap w:val="0"/>
                  <w:tcMar>
                    <w:top w:w="0" w:type="dxa"/>
                    <w:left w:w="17" w:type="dxa"/>
                    <w:bottom w:w="0" w:type="dxa"/>
                    <w:right w:w="17" w:type="dxa"/>
                  </w:tcMar>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lang w:val="en-US" w:eastAsia="zh-CN"/>
                    </w:rPr>
                    <w:t>0.5</w:t>
                  </w:r>
                </w:p>
              </w:tc>
              <w:tc>
                <w:tcPr>
                  <w:tcW w:w="600"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25</w:t>
                  </w:r>
                </w:p>
              </w:tc>
              <w:tc>
                <w:tcPr>
                  <w:tcW w:w="1399" w:type="dxa"/>
                  <w:vMerge w:val="restart"/>
                  <w:noWrap w:val="0"/>
                  <w:tcMar>
                    <w:top w:w="0" w:type="dxa"/>
                    <w:left w:w="17" w:type="dxa"/>
                    <w:bottom w:w="0" w:type="dxa"/>
                    <w:right w:w="17" w:type="dxa"/>
                  </w:tcMar>
                  <w:vAlign w:val="center"/>
                </w:tcPr>
                <w:p>
                  <w:pPr>
                    <w:pStyle w:val="90"/>
                    <w:widowControl w:val="0"/>
                    <w:adjustRightInd/>
                    <w:snapToGrid/>
                    <w:spacing w:line="300" w:lineRule="exact"/>
                    <w:rPr>
                      <w:rFonts w:hint="default" w:ascii="Times New Roman" w:hAnsi="Times New Roman" w:eastAsia="宋体" w:cs="Times New Roman"/>
                      <w:color w:val="auto"/>
                      <w:kern w:val="0"/>
                      <w:sz w:val="21"/>
                      <w:szCs w:val="21"/>
                      <w:lang w:val="en-US" w:eastAsia="zh-CN" w:bidi="ar-SA"/>
                    </w:rPr>
                  </w:pPr>
                  <w:r>
                    <w:rPr>
                      <w:rFonts w:ascii="Times New Roman" w:hAnsi="Times New Roman"/>
                      <w:color w:val="auto"/>
                      <w:kern w:val="0"/>
                      <w:sz w:val="21"/>
                      <w:szCs w:val="21"/>
                    </w:rPr>
                    <w:t>《大气污染物综合排放标准》（GB16297-1996）</w:t>
                  </w:r>
                </w:p>
              </w:tc>
              <w:tc>
                <w:tcPr>
                  <w:tcW w:w="745"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2"/>
                      <w:sz w:val="21"/>
                      <w:szCs w:val="21"/>
                      <w:u w:val="none" w:color="auto"/>
                      <w:lang w:val="en-US" w:eastAsia="zh-CN" w:bidi="ar-SA"/>
                    </w:rPr>
                    <w:t>45</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u w:val="none" w:color="auto"/>
                      <w:lang w:val="en-US" w:eastAsia="zh-CN"/>
                    </w:rPr>
                  </w:pPr>
                  <w:r>
                    <w:rPr>
                      <w:rFonts w:hint="eastAsia" w:cs="Times New Roman"/>
                      <w:color w:val="auto"/>
                      <w:kern w:val="2"/>
                      <w:sz w:val="21"/>
                      <w:szCs w:val="21"/>
                      <w:u w:val="none" w:color="auto"/>
                      <w:lang w:val="en-US" w:eastAsia="zh-CN" w:bidi="ar-S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90" w:type="dxa"/>
                  <w:noWrap w:val="0"/>
                  <w:tcMar>
                    <w:top w:w="0" w:type="dxa"/>
                    <w:left w:w="17" w:type="dxa"/>
                    <w:bottom w:w="0" w:type="dxa"/>
                    <w:right w:w="17" w:type="dxa"/>
                  </w:tcMar>
                  <w:vAlign w:val="center"/>
                </w:tcPr>
                <w:p>
                  <w:pPr>
                    <w:adjustRightInd w:val="0"/>
                    <w:snapToGrid w:val="0"/>
                    <w:spacing w:line="240" w:lineRule="auto"/>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highlight w:val="none"/>
                      <w:u w:val="none"/>
                      <w:lang w:val="en-US" w:eastAsia="zh-CN"/>
                    </w:rPr>
                    <w:t>DA008</w:t>
                  </w:r>
                </w:p>
              </w:tc>
              <w:tc>
                <w:tcPr>
                  <w:tcW w:w="39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712"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颗粒物</w:t>
                  </w:r>
                </w:p>
              </w:tc>
              <w:tc>
                <w:tcPr>
                  <w:tcW w:w="818"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1"/>
                      <w:szCs w:val="21"/>
                      <w:u w:val="none" w:color="auto"/>
                      <w:lang w:val="en-US" w:eastAsia="zh-CN"/>
                    </w:rPr>
                    <w:t>11</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val="en-US" w:eastAsia="zh-CN"/>
                    </w:rPr>
                    <w:t>°5</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lang w:val="en-US" w:eastAsia="zh-CN"/>
                    </w:rPr>
                    <w:t>′4</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921</w:t>
                  </w:r>
                  <w:r>
                    <w:rPr>
                      <w:rFonts w:hint="default" w:ascii="Times New Roman" w:hAnsi="Times New Roman" w:eastAsia="宋体" w:cs="Times New Roman"/>
                      <w:color w:val="auto"/>
                      <w:sz w:val="21"/>
                      <w:szCs w:val="21"/>
                      <w:u w:val="none" w:color="auto"/>
                      <w:lang w:val="en-US" w:eastAsia="zh-CN"/>
                    </w:rPr>
                    <w:t>″</w:t>
                  </w:r>
                </w:p>
              </w:tc>
              <w:tc>
                <w:tcPr>
                  <w:tcW w:w="750"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1"/>
                      <w:szCs w:val="21"/>
                      <w:u w:val="none" w:color="auto"/>
                      <w:lang w:val="en-US" w:eastAsia="zh-CN"/>
                    </w:rPr>
                    <w:t>28°31′5</w:t>
                  </w:r>
                  <w:r>
                    <w:rPr>
                      <w:rFonts w:hint="eastAsia" w:ascii="Times New Roman" w:hAnsi="Times New Roman" w:eastAsia="宋体" w:cs="Times New Roman"/>
                      <w:color w:val="auto"/>
                      <w:sz w:val="21"/>
                      <w:szCs w:val="21"/>
                      <w:u w:val="none" w:color="auto"/>
                      <w:lang w:val="en-US" w:eastAsia="zh-CN"/>
                    </w:rPr>
                    <w:t>3.125</w:t>
                  </w:r>
                  <w:r>
                    <w:rPr>
                      <w:rFonts w:hint="default" w:ascii="Times New Roman" w:hAnsi="Times New Roman" w:eastAsia="宋体" w:cs="Times New Roman"/>
                      <w:color w:val="auto"/>
                      <w:sz w:val="21"/>
                      <w:szCs w:val="21"/>
                      <w:u w:val="none" w:color="auto"/>
                      <w:lang w:val="en-US" w:eastAsia="zh-CN"/>
                    </w:rPr>
                    <w:t>″</w:t>
                  </w:r>
                </w:p>
              </w:tc>
              <w:tc>
                <w:tcPr>
                  <w:tcW w:w="615"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15</w:t>
                  </w:r>
                </w:p>
              </w:tc>
              <w:tc>
                <w:tcPr>
                  <w:tcW w:w="585" w:type="dxa"/>
                  <w:noWrap w:val="0"/>
                  <w:tcMar>
                    <w:top w:w="0" w:type="dxa"/>
                    <w:left w:w="17" w:type="dxa"/>
                    <w:bottom w:w="0" w:type="dxa"/>
                    <w:right w:w="17" w:type="dxa"/>
                  </w:tcMar>
                  <w:vAlign w:val="center"/>
                </w:tcPr>
                <w:p>
                  <w:pPr>
                    <w:adjustRightInd w:val="0"/>
                    <w:snapToGrid w:val="0"/>
                    <w:jc w:val="center"/>
                    <w:rPr>
                      <w:rFonts w:hint="default" w:ascii="Times New Roman" w:hAnsi="Times New Roman" w:eastAsia="宋体" w:cs="Times New Roman"/>
                      <w:color w:val="auto"/>
                      <w:u w:val="none" w:color="auto"/>
                      <w:lang w:val="en-US" w:eastAsia="zh-CN"/>
                    </w:rPr>
                  </w:pPr>
                  <w:r>
                    <w:rPr>
                      <w:rFonts w:hint="eastAsia" w:cs="Times New Roman"/>
                      <w:color w:val="auto"/>
                      <w:highlight w:val="none"/>
                      <w:u w:val="none"/>
                      <w:lang w:val="en-US" w:eastAsia="zh-CN"/>
                    </w:rPr>
                    <w:t>0.5</w:t>
                  </w:r>
                </w:p>
              </w:tc>
              <w:tc>
                <w:tcPr>
                  <w:tcW w:w="600"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highlight w:val="none"/>
                      <w:u w:val="none" w:color="auto"/>
                      <w:lang w:val="en-US" w:eastAsia="zh-CN"/>
                    </w:rPr>
                    <w:t>25</w:t>
                  </w:r>
                </w:p>
              </w:tc>
              <w:tc>
                <w:tcPr>
                  <w:tcW w:w="1399" w:type="dxa"/>
                  <w:vMerge w:val="continue"/>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745"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120</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restart"/>
                  <w:noWrap w:val="0"/>
                  <w:tcMar>
                    <w:top w:w="0" w:type="dxa"/>
                    <w:left w:w="17" w:type="dxa"/>
                    <w:bottom w:w="0" w:type="dxa"/>
                    <w:right w:w="17" w:type="dxa"/>
                  </w:tcMar>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DA009</w:t>
                  </w:r>
                </w:p>
              </w:tc>
              <w:tc>
                <w:tcPr>
                  <w:tcW w:w="390"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u w:val="none" w:color="auto"/>
                    </w:rPr>
                  </w:pPr>
                </w:p>
              </w:tc>
              <w:tc>
                <w:tcPr>
                  <w:tcW w:w="712"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color w:val="auto"/>
                      <w:kern w:val="0"/>
                      <w:sz w:val="21"/>
                      <w:szCs w:val="21"/>
                      <w:lang w:val="en-US" w:eastAsia="zh-CN"/>
                    </w:rPr>
                    <w:t>非甲烷总烃</w:t>
                  </w:r>
                </w:p>
              </w:tc>
              <w:tc>
                <w:tcPr>
                  <w:tcW w:w="818" w:type="dxa"/>
                  <w:vMerge w:val="restart"/>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val="en-US" w:eastAsia="zh-CN"/>
                    </w:rPr>
                    <w:t>°55′4</w:t>
                  </w:r>
                  <w:r>
                    <w:rPr>
                      <w:rFonts w:hint="eastAsia" w:ascii="Times New Roman" w:hAnsi="Times New Roman" w:eastAsia="宋体" w:cs="Times New Roman"/>
                      <w:color w:val="auto"/>
                      <w:sz w:val="21"/>
                      <w:szCs w:val="21"/>
                      <w:u w:val="none" w:color="auto"/>
                      <w:lang w:val="en-US" w:eastAsia="zh-CN"/>
                    </w:rPr>
                    <w:t>7.998</w:t>
                  </w:r>
                  <w:r>
                    <w:rPr>
                      <w:rFonts w:hint="default" w:ascii="Times New Roman" w:hAnsi="Times New Roman" w:eastAsia="宋体" w:cs="Times New Roman"/>
                      <w:color w:val="auto"/>
                      <w:sz w:val="21"/>
                      <w:szCs w:val="21"/>
                      <w:u w:val="none" w:color="auto"/>
                      <w:lang w:val="en-US" w:eastAsia="zh-CN"/>
                    </w:rPr>
                    <w:t>″</w:t>
                  </w:r>
                </w:p>
              </w:tc>
              <w:tc>
                <w:tcPr>
                  <w:tcW w:w="750" w:type="dxa"/>
                  <w:vMerge w:val="restart"/>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28°31′5</w:t>
                  </w:r>
                  <w:r>
                    <w:rPr>
                      <w:rFonts w:hint="eastAsia" w:ascii="Times New Roman" w:hAnsi="Times New Roman" w:eastAsia="宋体" w:cs="Times New Roman"/>
                      <w:color w:val="auto"/>
                      <w:sz w:val="21"/>
                      <w:szCs w:val="21"/>
                      <w:u w:val="none" w:color="auto"/>
                      <w:lang w:val="en-US" w:eastAsia="zh-CN"/>
                    </w:rPr>
                    <w:t>7.143</w:t>
                  </w:r>
                  <w:r>
                    <w:rPr>
                      <w:rFonts w:hint="default" w:ascii="Times New Roman" w:hAnsi="Times New Roman" w:eastAsia="宋体" w:cs="Times New Roman"/>
                      <w:color w:val="auto"/>
                      <w:sz w:val="21"/>
                      <w:szCs w:val="21"/>
                      <w:u w:val="none" w:color="auto"/>
                      <w:lang w:val="en-US" w:eastAsia="zh-CN"/>
                    </w:rPr>
                    <w:t>″</w:t>
                  </w:r>
                </w:p>
              </w:tc>
              <w:tc>
                <w:tcPr>
                  <w:tcW w:w="615"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15</w:t>
                  </w:r>
                </w:p>
              </w:tc>
              <w:tc>
                <w:tcPr>
                  <w:tcW w:w="585" w:type="dxa"/>
                  <w:vMerge w:val="restart"/>
                  <w:noWrap w:val="0"/>
                  <w:tcMar>
                    <w:top w:w="0" w:type="dxa"/>
                    <w:left w:w="17" w:type="dxa"/>
                    <w:bottom w:w="0" w:type="dxa"/>
                    <w:right w:w="17" w:type="dxa"/>
                  </w:tcMar>
                  <w:vAlign w:val="center"/>
                </w:tcPr>
                <w:p>
                  <w:pPr>
                    <w:adjustRightInd w:val="0"/>
                    <w:snapToGrid w:val="0"/>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0.5</w:t>
                  </w:r>
                </w:p>
              </w:tc>
              <w:tc>
                <w:tcPr>
                  <w:tcW w:w="600"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25</w:t>
                  </w:r>
                </w:p>
              </w:tc>
              <w:tc>
                <w:tcPr>
                  <w:tcW w:w="1399" w:type="dxa"/>
                  <w:vMerge w:val="restart"/>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 w:val="21"/>
                      <w:szCs w:val="21"/>
                    </w:rPr>
                    <w:t>《合成树脂工业污染物排放标准》(GB31572-2015)</w:t>
                  </w:r>
                  <w:r>
                    <w:rPr>
                      <w:rFonts w:hint="eastAsia" w:ascii="Times New Roman" w:hAnsi="Times New Roman"/>
                      <w:color w:val="auto"/>
                      <w:kern w:val="0"/>
                      <w:sz w:val="21"/>
                      <w:szCs w:val="21"/>
                      <w:lang w:val="en-US" w:eastAsia="zh-CN"/>
                    </w:rPr>
                    <w:t>及2024修改单</w:t>
                  </w:r>
                </w:p>
              </w:tc>
              <w:tc>
                <w:tcPr>
                  <w:tcW w:w="745"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60</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color w:val="auto"/>
                    </w:rPr>
                  </w:pPr>
                </w:p>
              </w:tc>
              <w:tc>
                <w:tcPr>
                  <w:tcW w:w="3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color w:val="auto"/>
                    </w:rPr>
                  </w:pPr>
                </w:p>
              </w:tc>
              <w:tc>
                <w:tcPr>
                  <w:tcW w:w="712" w:type="dxa"/>
                  <w:noWrap w:val="0"/>
                  <w:tcMar>
                    <w:top w:w="0" w:type="dxa"/>
                    <w:left w:w="17" w:type="dxa"/>
                    <w:bottom w:w="0" w:type="dxa"/>
                    <w:right w:w="17" w:type="dxa"/>
                  </w:tcMar>
                  <w:vAlign w:val="center"/>
                </w:tcPr>
                <w:p>
                  <w:pPr>
                    <w:adjustRightInd w:val="0"/>
                    <w:snapToGrid w:val="0"/>
                    <w:jc w:val="center"/>
                    <w:rPr>
                      <w:rFonts w:hint="eastAsia"/>
                      <w:color w:val="auto"/>
                      <w:kern w:val="0"/>
                      <w:sz w:val="21"/>
                      <w:szCs w:val="21"/>
                      <w:lang w:val="en-US" w:eastAsia="zh-CN"/>
                    </w:rPr>
                  </w:pPr>
                  <w:r>
                    <w:rPr>
                      <w:rFonts w:hint="eastAsia" w:cs="Times New Roman"/>
                      <w:color w:val="auto"/>
                      <w:szCs w:val="21"/>
                      <w:highlight w:val="none"/>
                      <w:u w:val="none"/>
                      <w:lang w:val="en-US" w:eastAsia="zh-CN"/>
                    </w:rPr>
                    <w:t>苯</w:t>
                  </w:r>
                </w:p>
              </w:tc>
              <w:tc>
                <w:tcPr>
                  <w:tcW w:w="818"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5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1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58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0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1399"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4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2</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r>
                    <w:rPr>
                      <w:rFonts w:hint="eastAsia" w:cs="Times New Roman"/>
                      <w:color w:val="auto"/>
                      <w:kern w:val="2"/>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3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12" w:type="dxa"/>
                  <w:noWrap w:val="0"/>
                  <w:tcMar>
                    <w:top w:w="0" w:type="dxa"/>
                    <w:left w:w="17" w:type="dxa"/>
                    <w:bottom w:w="0" w:type="dxa"/>
                    <w:right w:w="17" w:type="dxa"/>
                  </w:tcMar>
                  <w:vAlign w:val="center"/>
                </w:tcPr>
                <w:p>
                  <w:pPr>
                    <w:adjustRightInd w:val="0"/>
                    <w:snapToGrid w:val="0"/>
                    <w:jc w:val="center"/>
                    <w:rPr>
                      <w:rFonts w:hint="eastAsia"/>
                      <w:color w:val="auto"/>
                      <w:kern w:val="0"/>
                      <w:sz w:val="21"/>
                      <w:szCs w:val="21"/>
                      <w:lang w:val="en-US" w:eastAsia="zh-CN"/>
                    </w:rPr>
                  </w:pPr>
                  <w:r>
                    <w:rPr>
                      <w:rFonts w:hint="eastAsia" w:cs="Times New Roman"/>
                      <w:color w:val="auto"/>
                      <w:szCs w:val="21"/>
                      <w:highlight w:val="none"/>
                      <w:u w:val="none"/>
                      <w:lang w:val="en-US" w:eastAsia="zh-CN"/>
                    </w:rPr>
                    <w:t>甲苯</w:t>
                  </w:r>
                </w:p>
              </w:tc>
              <w:tc>
                <w:tcPr>
                  <w:tcW w:w="818"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5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1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58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0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1399"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4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8</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r>
                    <w:rPr>
                      <w:rFonts w:hint="eastAsia" w:cs="Times New Roman"/>
                      <w:color w:val="auto"/>
                      <w:kern w:val="2"/>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3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12" w:type="dxa"/>
                  <w:noWrap w:val="0"/>
                  <w:tcMar>
                    <w:top w:w="0" w:type="dxa"/>
                    <w:left w:w="17" w:type="dxa"/>
                    <w:bottom w:w="0" w:type="dxa"/>
                    <w:right w:w="17" w:type="dxa"/>
                  </w:tcMar>
                  <w:vAlign w:val="center"/>
                </w:tcPr>
                <w:p>
                  <w:pPr>
                    <w:adjustRightInd w:val="0"/>
                    <w:snapToGrid w:val="0"/>
                    <w:jc w:val="center"/>
                    <w:rPr>
                      <w:rFonts w:hint="eastAsia"/>
                      <w:color w:val="auto"/>
                      <w:kern w:val="0"/>
                      <w:sz w:val="21"/>
                      <w:szCs w:val="21"/>
                      <w:lang w:val="en-US" w:eastAsia="zh-CN"/>
                    </w:rPr>
                  </w:pPr>
                  <w:r>
                    <w:rPr>
                      <w:rFonts w:hint="eastAsia" w:cs="Times New Roman"/>
                      <w:color w:val="auto"/>
                      <w:szCs w:val="21"/>
                      <w:highlight w:val="none"/>
                      <w:u w:val="none"/>
                      <w:lang w:val="en-US" w:eastAsia="zh-CN"/>
                    </w:rPr>
                    <w:t>乙苯</w:t>
                  </w:r>
                </w:p>
              </w:tc>
              <w:tc>
                <w:tcPr>
                  <w:tcW w:w="818"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5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1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58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0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1399"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4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50</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r>
                    <w:rPr>
                      <w:rFonts w:hint="eastAsia" w:cs="Times New Roman"/>
                      <w:color w:val="auto"/>
                      <w:kern w:val="2"/>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3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12" w:type="dxa"/>
                  <w:noWrap w:val="0"/>
                  <w:tcMar>
                    <w:top w:w="0" w:type="dxa"/>
                    <w:left w:w="17" w:type="dxa"/>
                    <w:bottom w:w="0" w:type="dxa"/>
                    <w:right w:w="17" w:type="dxa"/>
                  </w:tcMar>
                  <w:vAlign w:val="center"/>
                </w:tcPr>
                <w:p>
                  <w:pPr>
                    <w:adjustRightInd w:val="0"/>
                    <w:snapToGrid w:val="0"/>
                    <w:jc w:val="center"/>
                    <w:rPr>
                      <w:rFonts w:hint="eastAsia"/>
                      <w:color w:val="auto"/>
                      <w:kern w:val="0"/>
                      <w:sz w:val="21"/>
                      <w:szCs w:val="21"/>
                      <w:lang w:val="en-US" w:eastAsia="zh-CN"/>
                    </w:rPr>
                  </w:pPr>
                  <w:r>
                    <w:rPr>
                      <w:rFonts w:hint="eastAsia" w:cs="Times New Roman"/>
                      <w:color w:val="auto"/>
                      <w:szCs w:val="21"/>
                      <w:highlight w:val="none"/>
                      <w:u w:val="none"/>
                      <w:lang w:val="en-US" w:eastAsia="zh-CN"/>
                    </w:rPr>
                    <w:t>苯乙烯</w:t>
                  </w:r>
                </w:p>
              </w:tc>
              <w:tc>
                <w:tcPr>
                  <w:tcW w:w="818"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5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1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58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0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1399"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4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20</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r>
                    <w:rPr>
                      <w:rFonts w:hint="eastAsia" w:cs="Times New Roman"/>
                      <w:color w:val="auto"/>
                      <w:kern w:val="2"/>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3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12" w:type="dxa"/>
                  <w:noWrap w:val="0"/>
                  <w:tcMar>
                    <w:top w:w="0" w:type="dxa"/>
                    <w:left w:w="17" w:type="dxa"/>
                    <w:bottom w:w="0" w:type="dxa"/>
                    <w:right w:w="17" w:type="dxa"/>
                  </w:tcMar>
                  <w:vAlign w:val="center"/>
                </w:tcPr>
                <w:p>
                  <w:pPr>
                    <w:adjustRightInd w:val="0"/>
                    <w:snapToGrid w:val="0"/>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臭气浓度</w:t>
                  </w:r>
                </w:p>
              </w:tc>
              <w:tc>
                <w:tcPr>
                  <w:tcW w:w="818"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5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1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58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0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1399"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4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2000</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39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12" w:type="dxa"/>
                  <w:noWrap w:val="0"/>
                  <w:tcMar>
                    <w:top w:w="0" w:type="dxa"/>
                    <w:left w:w="17" w:type="dxa"/>
                    <w:bottom w:w="0" w:type="dxa"/>
                    <w:right w:w="17" w:type="dxa"/>
                  </w:tcMar>
                  <w:vAlign w:val="center"/>
                </w:tcPr>
                <w:p>
                  <w:pPr>
                    <w:adjustRightInd w:val="0"/>
                    <w:snapToGrid w:val="0"/>
                    <w:jc w:val="center"/>
                    <w:rPr>
                      <w:rFonts w:hint="eastAsia" w:cs="Times New Roman"/>
                      <w:color w:val="auto"/>
                      <w:szCs w:val="21"/>
                      <w:highlight w:val="none"/>
                      <w:u w:val="none"/>
                      <w:lang w:val="en-US" w:eastAsia="zh-CN"/>
                    </w:rPr>
                  </w:pPr>
                  <w:r>
                    <w:rPr>
                      <w:rFonts w:hint="eastAsia" w:cs="Times New Roman"/>
                      <w:color w:val="auto"/>
                      <w:szCs w:val="21"/>
                      <w:highlight w:val="none"/>
                      <w:u w:val="none"/>
                      <w:lang w:val="en-US" w:eastAsia="zh-CN"/>
                    </w:rPr>
                    <w:t>二甲苯</w:t>
                  </w:r>
                </w:p>
              </w:tc>
              <w:tc>
                <w:tcPr>
                  <w:tcW w:w="818"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75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1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585"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600" w:type="dxa"/>
                  <w:vMerge w:val="continue"/>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p>
              </w:tc>
              <w:tc>
                <w:tcPr>
                  <w:tcW w:w="1399"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 w:val="21"/>
                      <w:szCs w:val="21"/>
                      <w:lang w:val="en-US" w:eastAsia="zh-CN"/>
                    </w:rPr>
                  </w:pPr>
                  <w:r>
                    <w:rPr>
                      <w:rFonts w:ascii="Times New Roman" w:hAnsi="Times New Roman"/>
                      <w:color w:val="auto"/>
                      <w:kern w:val="0"/>
                      <w:sz w:val="21"/>
                      <w:szCs w:val="21"/>
                    </w:rPr>
                    <w:t>《大气污染物综合排放标准》（GB16297-1996）</w:t>
                  </w:r>
                </w:p>
              </w:tc>
              <w:tc>
                <w:tcPr>
                  <w:tcW w:w="74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70</w:t>
                  </w:r>
                </w:p>
              </w:tc>
              <w:tc>
                <w:tcPr>
                  <w:tcW w:w="731" w:type="dxa"/>
                  <w:noWrap w:val="0"/>
                  <w:tcMar>
                    <w:top w:w="0" w:type="dxa"/>
                    <w:left w:w="17" w:type="dxa"/>
                    <w:bottom w:w="0" w:type="dxa"/>
                    <w:right w:w="17" w:type="dxa"/>
                  </w:tcMar>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0.5</w:t>
                  </w:r>
                </w:p>
              </w:tc>
            </w:tr>
          </w:tbl>
          <w:p>
            <w:pPr>
              <w:pStyle w:val="107"/>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sz w:val="24"/>
                <w:szCs w:val="32"/>
                <w:u w:val="none" w:color="auto"/>
              </w:rPr>
            </w:pPr>
            <w:r>
              <w:rPr>
                <w:rFonts w:hint="default" w:ascii="Times New Roman" w:hAnsi="Times New Roman" w:eastAsia="宋体" w:cs="Times New Roman"/>
                <w:color w:val="auto"/>
                <w:sz w:val="24"/>
                <w:szCs w:val="32"/>
                <w:u w:val="none" w:color="auto"/>
              </w:rPr>
              <w:t>表</w:t>
            </w:r>
            <w:r>
              <w:rPr>
                <w:rFonts w:hint="default" w:ascii="Times New Roman" w:hAnsi="Times New Roman" w:eastAsia="宋体" w:cs="Times New Roman"/>
                <w:color w:val="auto"/>
                <w:sz w:val="24"/>
                <w:szCs w:val="32"/>
                <w:u w:val="none" w:color="auto"/>
                <w:lang w:val="en-US" w:eastAsia="zh-CN"/>
              </w:rPr>
              <w:t>4.</w:t>
            </w:r>
            <w:r>
              <w:rPr>
                <w:rFonts w:hint="eastAsia" w:cs="Times New Roman"/>
                <w:color w:val="auto"/>
                <w:sz w:val="24"/>
                <w:szCs w:val="32"/>
                <w:u w:val="none" w:color="auto"/>
                <w:lang w:val="en-US" w:eastAsia="zh-CN"/>
              </w:rPr>
              <w:t>2</w:t>
            </w:r>
            <w:r>
              <w:rPr>
                <w:rFonts w:hint="default" w:ascii="Times New Roman" w:hAnsi="Times New Roman" w:eastAsia="宋体" w:cs="Times New Roman"/>
                <w:color w:val="auto"/>
                <w:sz w:val="24"/>
                <w:szCs w:val="32"/>
                <w:u w:val="none" w:color="auto"/>
                <w:lang w:val="en-US" w:eastAsia="zh-CN"/>
              </w:rPr>
              <w:t>-</w:t>
            </w:r>
            <w:r>
              <w:rPr>
                <w:rFonts w:hint="eastAsia" w:cs="Times New Roman"/>
                <w:color w:val="auto"/>
                <w:sz w:val="24"/>
                <w:szCs w:val="32"/>
                <w:u w:val="none" w:color="auto"/>
                <w:lang w:val="en-US" w:eastAsia="zh-CN"/>
              </w:rPr>
              <w:t>11</w:t>
            </w:r>
            <w:r>
              <w:rPr>
                <w:rFonts w:hint="default" w:ascii="Times New Roman" w:hAnsi="Times New Roman" w:eastAsia="宋体" w:cs="Times New Roman"/>
                <w:color w:val="auto"/>
                <w:sz w:val="24"/>
                <w:szCs w:val="32"/>
                <w:u w:val="none" w:color="auto"/>
              </w:rPr>
              <w:t>有组织废气</w:t>
            </w:r>
            <w:r>
              <w:rPr>
                <w:rFonts w:hint="default" w:ascii="Times New Roman" w:hAnsi="Times New Roman" w:eastAsia="宋体" w:cs="Times New Roman"/>
                <w:color w:val="auto"/>
                <w:sz w:val="24"/>
                <w:szCs w:val="32"/>
                <w:u w:val="none" w:color="auto"/>
                <w:lang w:val="en-US" w:eastAsia="zh-CN"/>
              </w:rPr>
              <w:t>产排污</w:t>
            </w:r>
            <w:r>
              <w:rPr>
                <w:rFonts w:hint="default" w:ascii="Times New Roman" w:hAnsi="Times New Roman" w:eastAsia="宋体" w:cs="Times New Roman"/>
                <w:color w:val="auto"/>
                <w:sz w:val="24"/>
                <w:szCs w:val="32"/>
                <w:u w:val="none" w:color="auto"/>
              </w:rPr>
              <w:t>及污染防治设施一览表</w:t>
            </w:r>
          </w:p>
          <w:tbl>
            <w:tblPr>
              <w:tblStyle w:val="29"/>
              <w:tblW w:w="5000" w:type="pct"/>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678"/>
              <w:gridCol w:w="1359"/>
              <w:gridCol w:w="1715"/>
              <w:gridCol w:w="479"/>
              <w:gridCol w:w="1608"/>
              <w:gridCol w:w="562"/>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72"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生产设施</w:t>
                  </w:r>
                </w:p>
              </w:tc>
              <w:tc>
                <w:tcPr>
                  <w:tcW w:w="678"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废气产污环节</w:t>
                  </w:r>
                </w:p>
              </w:tc>
              <w:tc>
                <w:tcPr>
                  <w:tcW w:w="1359"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污染物种类</w:t>
                  </w:r>
                </w:p>
              </w:tc>
              <w:tc>
                <w:tcPr>
                  <w:tcW w:w="1715"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执行标准</w:t>
                  </w:r>
                </w:p>
              </w:tc>
              <w:tc>
                <w:tcPr>
                  <w:tcW w:w="479"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排放形式</w:t>
                  </w:r>
                </w:p>
              </w:tc>
              <w:tc>
                <w:tcPr>
                  <w:tcW w:w="2170" w:type="dxa"/>
                  <w:gridSpan w:val="2"/>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污染防治设施</w:t>
                  </w:r>
                </w:p>
              </w:tc>
              <w:tc>
                <w:tcPr>
                  <w:tcW w:w="763"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772"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p>
              </w:tc>
              <w:tc>
                <w:tcPr>
                  <w:tcW w:w="678"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p>
              </w:tc>
              <w:tc>
                <w:tcPr>
                  <w:tcW w:w="1359"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p>
              </w:tc>
              <w:tc>
                <w:tcPr>
                  <w:tcW w:w="1715"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p>
              </w:tc>
              <w:tc>
                <w:tcPr>
                  <w:tcW w:w="479"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p>
              </w:tc>
              <w:tc>
                <w:tcPr>
                  <w:tcW w:w="1608"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lang w:val="en-US" w:eastAsia="zh-CN"/>
                    </w:rPr>
                    <w:t>污染防治设施名称及工艺</w:t>
                  </w:r>
                </w:p>
              </w:tc>
              <w:tc>
                <w:tcPr>
                  <w:tcW w:w="562"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rPr>
                    <w:t>是否可行</w:t>
                  </w:r>
                </w:p>
              </w:tc>
              <w:tc>
                <w:tcPr>
                  <w:tcW w:w="763"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noWrap w:val="0"/>
                  <w:tcMar>
                    <w:top w:w="0" w:type="dxa"/>
                    <w:left w:w="17" w:type="dxa"/>
                    <w:bottom w:w="0" w:type="dxa"/>
                    <w:right w:w="17" w:type="dxa"/>
                  </w:tcMar>
                  <w:vAlign w:val="center"/>
                </w:tcPr>
                <w:p>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酸电解槽</w:t>
                  </w:r>
                </w:p>
              </w:tc>
              <w:tc>
                <w:tcPr>
                  <w:tcW w:w="678" w:type="dxa"/>
                  <w:noWrap w:val="0"/>
                  <w:tcMar>
                    <w:top w:w="0" w:type="dxa"/>
                    <w:left w:w="17" w:type="dxa"/>
                    <w:bottom w:w="0" w:type="dxa"/>
                    <w:right w:w="1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highlight w:val="none"/>
                      <w:u w:val="none"/>
                      <w:lang w:val="en-US" w:eastAsia="zh-CN"/>
                    </w:rPr>
                    <w:t>DA007</w:t>
                  </w:r>
                </w:p>
              </w:tc>
              <w:tc>
                <w:tcPr>
                  <w:tcW w:w="1359"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kern w:val="2"/>
                      <w:sz w:val="21"/>
                      <w:szCs w:val="21"/>
                      <w:u w:val="none" w:color="auto"/>
                      <w:lang w:val="en-US" w:eastAsia="zh-CN" w:bidi="ar-SA"/>
                    </w:rPr>
                    <w:t>硫酸雾</w:t>
                  </w:r>
                </w:p>
              </w:tc>
              <w:tc>
                <w:tcPr>
                  <w:tcW w:w="1715" w:type="dxa"/>
                  <w:vMerge w:val="restart"/>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《大气污染物</w:t>
                  </w:r>
                  <w:r>
                    <w:rPr>
                      <w:rFonts w:hint="default" w:ascii="Times New Roman" w:hAnsi="Times New Roman" w:eastAsia="宋体" w:cs="Times New Roman"/>
                      <w:color w:val="auto"/>
                      <w:sz w:val="21"/>
                      <w:szCs w:val="21"/>
                      <w:u w:val="none" w:color="auto"/>
                      <w:lang w:val="en-US" w:eastAsia="zh-CN"/>
                    </w:rPr>
                    <w:t>综合</w:t>
                  </w:r>
                  <w:r>
                    <w:rPr>
                      <w:rFonts w:hint="default" w:ascii="Times New Roman" w:hAnsi="Times New Roman" w:eastAsia="宋体" w:cs="Times New Roman"/>
                      <w:color w:val="auto"/>
                      <w:sz w:val="21"/>
                      <w:szCs w:val="21"/>
                      <w:u w:val="none" w:color="auto"/>
                      <w:lang w:val="en-US"/>
                    </w:rPr>
                    <w:t>排放标准》（GB</w:t>
                  </w:r>
                  <w:r>
                    <w:rPr>
                      <w:rFonts w:hint="default" w:ascii="Times New Roman" w:hAnsi="Times New Roman" w:eastAsia="宋体" w:cs="Times New Roman"/>
                      <w:color w:val="auto"/>
                      <w:sz w:val="21"/>
                      <w:szCs w:val="21"/>
                      <w:u w:val="none" w:color="auto"/>
                      <w:lang w:val="en-US" w:eastAsia="zh-CN"/>
                    </w:rPr>
                    <w:t>16297-1996</w:t>
                  </w:r>
                  <w:r>
                    <w:rPr>
                      <w:rFonts w:hint="default" w:ascii="Times New Roman" w:hAnsi="Times New Roman" w:eastAsia="宋体" w:cs="Times New Roman"/>
                      <w:color w:val="auto"/>
                      <w:sz w:val="21"/>
                      <w:szCs w:val="21"/>
                      <w:u w:val="none" w:color="auto"/>
                      <w:lang w:val="en-US"/>
                    </w:rPr>
                    <w:t>）表</w:t>
                  </w:r>
                  <w:r>
                    <w:rPr>
                      <w:rFonts w:hint="default" w:ascii="Times New Roman" w:hAnsi="Times New Roman" w:eastAsia="宋体" w:cs="Times New Roman"/>
                      <w:color w:val="auto"/>
                      <w:sz w:val="21"/>
                      <w:szCs w:val="21"/>
                      <w:u w:val="none" w:color="auto"/>
                      <w:lang w:val="en-US" w:eastAsia="zh-CN"/>
                    </w:rPr>
                    <w:t>2中二级排放标准限值</w:t>
                  </w:r>
                </w:p>
              </w:tc>
              <w:tc>
                <w:tcPr>
                  <w:tcW w:w="479"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有组织</w:t>
                  </w:r>
                </w:p>
              </w:tc>
              <w:tc>
                <w:tcPr>
                  <w:tcW w:w="1608"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strike w:val="0"/>
                      <w:dstrike w:val="0"/>
                      <w:color w:val="auto"/>
                      <w:kern w:val="0"/>
                      <w:szCs w:val="21"/>
                      <w:u w:val="none" w:color="auto"/>
                      <w:lang w:val="en-US" w:eastAsia="zh-CN" w:bidi="ar"/>
                    </w:rPr>
                    <w:t>碱喷淋装置</w:t>
                  </w:r>
                  <w:r>
                    <w:rPr>
                      <w:rFonts w:hint="default"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15</w:t>
                  </w:r>
                  <w:r>
                    <w:rPr>
                      <w:rFonts w:hint="default" w:ascii="Times New Roman" w:hAnsi="Times New Roman" w:cs="Times New Roman"/>
                      <w:color w:val="auto"/>
                      <w:u w:val="none" w:color="auto"/>
                      <w:lang w:val="en-US" w:eastAsia="zh-CN"/>
                    </w:rPr>
                    <w:t>m</w:t>
                  </w:r>
                  <w:r>
                    <w:rPr>
                      <w:rFonts w:hint="default" w:ascii="Times New Roman" w:hAnsi="Times New Roman" w:eastAsia="宋体" w:cs="Times New Roman"/>
                      <w:color w:val="auto"/>
                      <w:u w:val="none" w:color="auto"/>
                      <w:lang w:val="en-US" w:eastAsia="zh-CN"/>
                    </w:rPr>
                    <w:t>排气筒</w:t>
                  </w:r>
                </w:p>
              </w:tc>
              <w:tc>
                <w:tcPr>
                  <w:tcW w:w="562"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c>
                <w:tcPr>
                  <w:tcW w:w="763"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noWrap w:val="0"/>
                  <w:tcMar>
                    <w:top w:w="0" w:type="dxa"/>
                    <w:left w:w="17" w:type="dxa"/>
                    <w:bottom w:w="0" w:type="dxa"/>
                    <w:right w:w="17" w:type="dxa"/>
                  </w:tcMar>
                  <w:vAlign w:val="center"/>
                </w:tcPr>
                <w:p>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配粉工序</w:t>
                  </w:r>
                </w:p>
              </w:tc>
              <w:tc>
                <w:tcPr>
                  <w:tcW w:w="678" w:type="dxa"/>
                  <w:noWrap w:val="0"/>
                  <w:tcMar>
                    <w:top w:w="0" w:type="dxa"/>
                    <w:left w:w="17" w:type="dxa"/>
                    <w:bottom w:w="0" w:type="dxa"/>
                    <w:right w:w="17" w:type="dxa"/>
                  </w:tcMar>
                  <w:vAlign w:val="center"/>
                </w:tcPr>
                <w:p>
                  <w:pPr>
                    <w:adjustRightInd w:val="0"/>
                    <w:snapToGrid w:val="0"/>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highlight w:val="none"/>
                      <w:u w:val="none"/>
                      <w:lang w:val="en-US" w:eastAsia="zh-CN"/>
                    </w:rPr>
                    <w:t>DA008</w:t>
                  </w:r>
                </w:p>
              </w:tc>
              <w:tc>
                <w:tcPr>
                  <w:tcW w:w="1359"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颗粒物</w:t>
                  </w:r>
                </w:p>
              </w:tc>
              <w:tc>
                <w:tcPr>
                  <w:tcW w:w="1715" w:type="dxa"/>
                  <w:vMerge w:val="continue"/>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rPr>
                  </w:pPr>
                </w:p>
              </w:tc>
              <w:tc>
                <w:tcPr>
                  <w:tcW w:w="479"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有组织</w:t>
                  </w:r>
                </w:p>
              </w:tc>
              <w:tc>
                <w:tcPr>
                  <w:tcW w:w="1608"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strike w:val="0"/>
                      <w:dstrike w:val="0"/>
                      <w:color w:val="auto"/>
                      <w:kern w:val="0"/>
                      <w:szCs w:val="21"/>
                      <w:u w:val="none" w:color="auto"/>
                      <w:lang w:val="en-US" w:eastAsia="zh-CN" w:bidi="ar"/>
                    </w:rPr>
                  </w:pPr>
                  <w:r>
                    <w:rPr>
                      <w:rFonts w:hint="eastAsia" w:cs="Times New Roman"/>
                      <w:strike w:val="0"/>
                      <w:dstrike w:val="0"/>
                      <w:color w:val="auto"/>
                      <w:kern w:val="0"/>
                      <w:szCs w:val="21"/>
                      <w:u w:val="none" w:color="auto"/>
                      <w:lang w:val="en-US" w:eastAsia="zh-CN" w:bidi="ar"/>
                    </w:rPr>
                    <w:t>布袋除尘+</w:t>
                  </w:r>
                  <w:r>
                    <w:rPr>
                      <w:rFonts w:hint="eastAsia" w:ascii="Times New Roman" w:hAnsi="Times New Roman" w:cs="Times New Roman"/>
                      <w:color w:val="auto"/>
                      <w:u w:val="none" w:color="auto"/>
                      <w:lang w:val="en-US" w:eastAsia="zh-CN"/>
                    </w:rPr>
                    <w:t>15</w:t>
                  </w:r>
                  <w:r>
                    <w:rPr>
                      <w:rFonts w:hint="default" w:ascii="Times New Roman" w:hAnsi="Times New Roman" w:cs="Times New Roman"/>
                      <w:color w:val="auto"/>
                      <w:u w:val="none" w:color="auto"/>
                      <w:lang w:val="en-US" w:eastAsia="zh-CN"/>
                    </w:rPr>
                    <w:t>m</w:t>
                  </w:r>
                  <w:r>
                    <w:rPr>
                      <w:rFonts w:hint="default" w:ascii="Times New Roman" w:hAnsi="Times New Roman" w:eastAsia="宋体" w:cs="Times New Roman"/>
                      <w:color w:val="auto"/>
                      <w:u w:val="none" w:color="auto"/>
                      <w:lang w:val="en-US" w:eastAsia="zh-CN"/>
                    </w:rPr>
                    <w:t>排气筒</w:t>
                  </w:r>
                </w:p>
              </w:tc>
              <w:tc>
                <w:tcPr>
                  <w:tcW w:w="562"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c>
                <w:tcPr>
                  <w:tcW w:w="763" w:type="dxa"/>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Merge w:val="restart"/>
                  <w:noWrap w:val="0"/>
                  <w:tcMar>
                    <w:top w:w="0" w:type="dxa"/>
                    <w:left w:w="17" w:type="dxa"/>
                    <w:bottom w:w="0" w:type="dxa"/>
                    <w:right w:w="17" w:type="dxa"/>
                  </w:tcMar>
                  <w:vAlign w:val="center"/>
                </w:tcPr>
                <w:p>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注塑</w:t>
                  </w:r>
                </w:p>
              </w:tc>
              <w:tc>
                <w:tcPr>
                  <w:tcW w:w="678" w:type="dxa"/>
                  <w:vMerge w:val="restart"/>
                  <w:noWrap w:val="0"/>
                  <w:tcMar>
                    <w:top w:w="0" w:type="dxa"/>
                    <w:left w:w="17" w:type="dxa"/>
                    <w:bottom w:w="0" w:type="dxa"/>
                    <w:right w:w="17" w:type="dxa"/>
                  </w:tcMar>
                  <w:vAlign w:val="center"/>
                </w:tcPr>
                <w:p>
                  <w:pPr>
                    <w:adjustRightInd w:val="0"/>
                    <w:snapToGrid w:val="0"/>
                    <w:spacing w:line="240" w:lineRule="auto"/>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DA009</w:t>
                  </w:r>
                </w:p>
              </w:tc>
              <w:tc>
                <w:tcPr>
                  <w:tcW w:w="1359"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color w:val="auto"/>
                      <w:kern w:val="0"/>
                      <w:sz w:val="21"/>
                      <w:szCs w:val="21"/>
                      <w:lang w:val="en-US" w:eastAsia="zh-CN"/>
                    </w:rPr>
                    <w:t>二甲苯</w:t>
                  </w:r>
                </w:p>
              </w:tc>
              <w:tc>
                <w:tcPr>
                  <w:tcW w:w="1715" w:type="dxa"/>
                  <w:vMerge w:val="continue"/>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color="auto"/>
                      <w:lang w:val="en-US"/>
                    </w:rPr>
                  </w:pPr>
                </w:p>
              </w:tc>
              <w:tc>
                <w:tcPr>
                  <w:tcW w:w="479"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有组织</w:t>
                  </w:r>
                </w:p>
              </w:tc>
              <w:tc>
                <w:tcPr>
                  <w:tcW w:w="1608"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strike w:val="0"/>
                      <w:dstrike w:val="0"/>
                      <w:color w:val="auto"/>
                      <w:kern w:val="0"/>
                      <w:szCs w:val="21"/>
                      <w:u w:val="none" w:color="auto"/>
                      <w:lang w:val="en-US" w:eastAsia="zh-CN" w:bidi="ar"/>
                    </w:rPr>
                  </w:pPr>
                  <w:r>
                    <w:rPr>
                      <w:rFonts w:hint="eastAsia" w:cs="Times New Roman"/>
                      <w:strike w:val="0"/>
                      <w:dstrike w:val="0"/>
                      <w:color w:val="auto"/>
                      <w:kern w:val="0"/>
                      <w:szCs w:val="21"/>
                      <w:u w:val="none" w:color="auto"/>
                      <w:lang w:val="en-US" w:eastAsia="zh-CN" w:bidi="ar"/>
                    </w:rPr>
                    <w:t>两级活性炭吸附+15m</w:t>
                  </w:r>
                  <w:r>
                    <w:rPr>
                      <w:rFonts w:hint="default" w:ascii="Times New Roman" w:hAnsi="Times New Roman" w:eastAsia="宋体" w:cs="Times New Roman"/>
                      <w:color w:val="auto"/>
                      <w:u w:val="none" w:color="auto"/>
                      <w:lang w:val="en-US" w:eastAsia="zh-CN"/>
                    </w:rPr>
                    <w:t>排气筒</w:t>
                  </w:r>
                </w:p>
              </w:tc>
              <w:tc>
                <w:tcPr>
                  <w:tcW w:w="562"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c>
                <w:tcPr>
                  <w:tcW w:w="763" w:type="dxa"/>
                  <w:vMerge w:val="restart"/>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Merge w:val="continue"/>
                  <w:noWrap w:val="0"/>
                  <w:tcMar>
                    <w:top w:w="0" w:type="dxa"/>
                    <w:left w:w="17" w:type="dxa"/>
                    <w:bottom w:w="0" w:type="dxa"/>
                    <w:right w:w="17" w:type="dxa"/>
                  </w:tcMar>
                  <w:vAlign w:val="center"/>
                </w:tcPr>
                <w:p>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s="Times New Roman"/>
                      <w:color w:val="auto"/>
                      <w:sz w:val="21"/>
                      <w:szCs w:val="21"/>
                      <w:highlight w:val="none"/>
                      <w:u w:val="none" w:color="auto"/>
                      <w:lang w:val="en-US" w:eastAsia="zh-CN"/>
                    </w:rPr>
                  </w:pPr>
                </w:p>
              </w:tc>
              <w:tc>
                <w:tcPr>
                  <w:tcW w:w="678" w:type="dxa"/>
                  <w:vMerge w:val="continue"/>
                  <w:noWrap w:val="0"/>
                  <w:tcMar>
                    <w:top w:w="0" w:type="dxa"/>
                    <w:left w:w="17" w:type="dxa"/>
                    <w:bottom w:w="0" w:type="dxa"/>
                    <w:right w:w="17" w:type="dxa"/>
                  </w:tcMar>
                  <w:vAlign w:val="center"/>
                </w:tcPr>
                <w:p>
                  <w:pPr>
                    <w:adjustRightInd w:val="0"/>
                    <w:snapToGrid w:val="0"/>
                    <w:spacing w:line="240" w:lineRule="auto"/>
                    <w:jc w:val="center"/>
                    <w:rPr>
                      <w:rFonts w:hint="default" w:cs="Times New Roman"/>
                      <w:color w:val="auto"/>
                      <w:highlight w:val="none"/>
                      <w:u w:val="none"/>
                      <w:lang w:val="en-US" w:eastAsia="zh-CN"/>
                    </w:rPr>
                  </w:pPr>
                </w:p>
              </w:tc>
              <w:tc>
                <w:tcPr>
                  <w:tcW w:w="1359" w:type="dxa"/>
                  <w:noWrap w:val="0"/>
                  <w:tcMar>
                    <w:top w:w="0" w:type="dxa"/>
                    <w:left w:w="17" w:type="dxa"/>
                    <w:bottom w:w="0" w:type="dxa"/>
                    <w:right w:w="1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color w:val="auto"/>
                      <w:kern w:val="0"/>
                      <w:sz w:val="21"/>
                      <w:szCs w:val="21"/>
                      <w:lang w:val="en-US" w:eastAsia="zh-CN"/>
                    </w:rPr>
                    <w:t>非甲烷总烃、苯、甲苯、乙苯、苯乙烯、臭气浓度</w:t>
                  </w:r>
                </w:p>
              </w:tc>
              <w:tc>
                <w:tcPr>
                  <w:tcW w:w="1715" w:type="dxa"/>
                  <w:noWrap w:val="0"/>
                  <w:tcMar>
                    <w:top w:w="0" w:type="dxa"/>
                    <w:left w:w="17" w:type="dxa"/>
                    <w:bottom w:w="0" w:type="dxa"/>
                    <w:right w:w="17" w:type="dxa"/>
                  </w:tcMar>
                  <w:vAlign w:val="center"/>
                </w:tcPr>
                <w:p>
                  <w:pPr>
                    <w:widowControl/>
                    <w:adjustRightInd w:val="0"/>
                    <w:snapToGrid w:val="0"/>
                    <w:spacing w:line="240" w:lineRule="auto"/>
                    <w:ind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《合成树脂工业污染物排放标准》(GB31572-2015)</w:t>
                  </w:r>
                  <w:r>
                    <w:rPr>
                      <w:rFonts w:hint="eastAsia" w:ascii="Times New Roman" w:hAnsi="Times New Roman"/>
                      <w:color w:val="auto"/>
                      <w:kern w:val="0"/>
                      <w:sz w:val="21"/>
                      <w:szCs w:val="21"/>
                      <w:lang w:val="en-US" w:eastAsia="zh-CN"/>
                    </w:rPr>
                    <w:t>及2024修改单</w:t>
                  </w:r>
                </w:p>
              </w:tc>
              <w:tc>
                <w:tcPr>
                  <w:tcW w:w="479"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Times New Roman" w:hAnsi="Times New Roman" w:eastAsia="宋体" w:cs="Times New Roman"/>
                      <w:color w:val="auto"/>
                      <w:sz w:val="21"/>
                      <w:szCs w:val="21"/>
                      <w:u w:val="none" w:color="auto"/>
                      <w:lang w:eastAsia="zh-CN"/>
                    </w:rPr>
                  </w:pPr>
                </w:p>
              </w:tc>
              <w:tc>
                <w:tcPr>
                  <w:tcW w:w="1608"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strike w:val="0"/>
                      <w:dstrike w:val="0"/>
                      <w:color w:val="auto"/>
                      <w:kern w:val="0"/>
                      <w:szCs w:val="21"/>
                      <w:u w:val="none" w:color="auto"/>
                      <w:lang w:val="en-US" w:eastAsia="zh-CN" w:bidi="ar"/>
                    </w:rPr>
                  </w:pPr>
                </w:p>
              </w:tc>
              <w:tc>
                <w:tcPr>
                  <w:tcW w:w="562"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sz w:val="21"/>
                      <w:szCs w:val="21"/>
                      <w:u w:val="none" w:color="auto"/>
                    </w:rPr>
                  </w:pPr>
                </w:p>
              </w:tc>
              <w:tc>
                <w:tcPr>
                  <w:tcW w:w="763" w:type="dxa"/>
                  <w:vMerge w:val="continue"/>
                  <w:noWrap w:val="0"/>
                  <w:tcMar>
                    <w:top w:w="0" w:type="dxa"/>
                    <w:left w:w="17" w:type="dxa"/>
                    <w:bottom w:w="0" w:type="dxa"/>
                    <w:right w:w="17" w:type="dxa"/>
                  </w:tcMar>
                  <w:vAlign w:val="center"/>
                </w:tcPr>
                <w:p>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rPr>
                      <w:rFonts w:hint="default" w:ascii="Times New Roman" w:hAnsi="Times New Roman" w:eastAsia="宋体" w:cs="Times New Roman"/>
                      <w:color w:val="auto"/>
                      <w:sz w:val="21"/>
                      <w:szCs w:val="21"/>
                      <w:u w:val="none" w:color="auto"/>
                    </w:rPr>
                  </w:pPr>
                </w:p>
              </w:tc>
            </w:tr>
          </w:tbl>
          <w:p>
            <w:pPr>
              <w:pStyle w:val="59"/>
              <w:bidi w:val="0"/>
              <w:rPr>
                <w:rFonts w:hint="default"/>
                <w:color w:val="auto"/>
                <w:sz w:val="24"/>
                <w:szCs w:val="24"/>
                <w:highlight w:val="none"/>
                <w:u w:val="single"/>
              </w:rPr>
            </w:pPr>
            <w:r>
              <w:rPr>
                <w:rFonts w:hint="default"/>
                <w:color w:val="auto"/>
                <w:sz w:val="24"/>
                <w:szCs w:val="24"/>
                <w:highlight w:val="none"/>
                <w:u w:val="single"/>
              </w:rPr>
              <w:t>4.</w:t>
            </w:r>
            <w:r>
              <w:rPr>
                <w:rFonts w:hint="eastAsia"/>
                <w:color w:val="auto"/>
                <w:sz w:val="24"/>
                <w:szCs w:val="24"/>
                <w:highlight w:val="none"/>
                <w:u w:val="single"/>
                <w:lang w:val="en-US" w:eastAsia="zh-CN"/>
              </w:rPr>
              <w:t>2</w:t>
            </w:r>
            <w:r>
              <w:rPr>
                <w:rFonts w:hint="default"/>
                <w:color w:val="auto"/>
                <w:sz w:val="24"/>
                <w:szCs w:val="24"/>
                <w:highlight w:val="none"/>
                <w:u w:val="single"/>
              </w:rPr>
              <w:t>.</w:t>
            </w:r>
            <w:r>
              <w:rPr>
                <w:rFonts w:hint="eastAsia"/>
                <w:color w:val="auto"/>
                <w:sz w:val="24"/>
                <w:szCs w:val="24"/>
                <w:highlight w:val="none"/>
                <w:u w:val="single"/>
                <w:lang w:val="en-US" w:eastAsia="zh-CN"/>
              </w:rPr>
              <w:t>3自行</w:t>
            </w:r>
            <w:r>
              <w:rPr>
                <w:rFonts w:hint="default"/>
                <w:color w:val="auto"/>
                <w:sz w:val="24"/>
                <w:szCs w:val="24"/>
                <w:highlight w:val="none"/>
                <w:u w:val="single"/>
              </w:rPr>
              <w:t>监测要求</w:t>
            </w:r>
          </w:p>
          <w:p>
            <w:pPr>
              <w:pStyle w:val="62"/>
              <w:bidi w:val="0"/>
              <w:rPr>
                <w:rFonts w:hint="default"/>
                <w:color w:val="auto"/>
                <w:sz w:val="24"/>
                <w:szCs w:val="24"/>
                <w:highlight w:val="none"/>
                <w:u w:val="single"/>
              </w:rPr>
            </w:pPr>
            <w:r>
              <w:rPr>
                <w:rFonts w:hint="default"/>
                <w:color w:val="auto"/>
                <w:sz w:val="24"/>
                <w:szCs w:val="24"/>
                <w:highlight w:val="none"/>
                <w:u w:val="single"/>
              </w:rPr>
              <w:t>参考</w:t>
            </w:r>
            <w:r>
              <w:rPr>
                <w:rFonts w:hint="eastAsia"/>
                <w:color w:val="auto"/>
                <w:sz w:val="24"/>
                <w:szCs w:val="24"/>
                <w:highlight w:val="none"/>
                <w:u w:val="single"/>
                <w:lang w:eastAsia="zh-CN"/>
              </w:rPr>
              <w:t>《</w:t>
            </w:r>
            <w:r>
              <w:rPr>
                <w:rFonts w:hint="default"/>
                <w:color w:val="auto"/>
                <w:sz w:val="24"/>
                <w:szCs w:val="24"/>
                <w:highlight w:val="none"/>
                <w:u w:val="single"/>
              </w:rPr>
              <w:t>排污单位自行监测技术指南</w:t>
            </w:r>
            <w:r>
              <w:rPr>
                <w:rFonts w:hint="eastAsia"/>
                <w:color w:val="auto"/>
                <w:sz w:val="24"/>
                <w:szCs w:val="24"/>
                <w:highlight w:val="none"/>
                <w:u w:val="single"/>
                <w:lang w:val="en-US" w:eastAsia="zh-CN"/>
              </w:rPr>
              <w:t xml:space="preserve"> </w:t>
            </w:r>
            <w:r>
              <w:rPr>
                <w:rFonts w:hint="default"/>
                <w:color w:val="auto"/>
                <w:sz w:val="24"/>
                <w:szCs w:val="24"/>
                <w:highlight w:val="none"/>
                <w:u w:val="single"/>
              </w:rPr>
              <w:t>电镀工业</w:t>
            </w:r>
            <w:r>
              <w:rPr>
                <w:rFonts w:hint="eastAsia"/>
                <w:color w:val="auto"/>
                <w:sz w:val="24"/>
                <w:szCs w:val="24"/>
                <w:highlight w:val="none"/>
                <w:u w:val="single"/>
                <w:lang w:eastAsia="zh-CN"/>
              </w:rPr>
              <w:t>》（</w:t>
            </w:r>
            <w:r>
              <w:rPr>
                <w:rFonts w:hint="default"/>
                <w:color w:val="auto"/>
                <w:sz w:val="24"/>
                <w:szCs w:val="24"/>
                <w:highlight w:val="none"/>
                <w:u w:val="single"/>
              </w:rPr>
              <w:t>HJ985-2018</w:t>
            </w:r>
            <w:r>
              <w:rPr>
                <w:rFonts w:hint="eastAsia"/>
                <w:color w:val="auto"/>
                <w:sz w:val="24"/>
                <w:szCs w:val="24"/>
                <w:highlight w:val="none"/>
                <w:u w:val="single"/>
                <w:lang w:eastAsia="zh-CN"/>
              </w:rPr>
              <w:t>）、《排污</w:t>
            </w:r>
            <w:r>
              <w:rPr>
                <w:rFonts w:hint="eastAsia"/>
                <w:color w:val="auto"/>
                <w:sz w:val="24"/>
                <w:szCs w:val="24"/>
                <w:highlight w:val="none"/>
                <w:u w:val="single"/>
                <w:lang w:val="en-US" w:eastAsia="zh-CN"/>
              </w:rPr>
              <w:t>单位自行监测技术指南 橡胶和塑料制品</w:t>
            </w:r>
            <w:r>
              <w:rPr>
                <w:rFonts w:hint="eastAsia"/>
                <w:color w:val="auto"/>
                <w:sz w:val="24"/>
                <w:szCs w:val="24"/>
                <w:highlight w:val="none"/>
                <w:u w:val="single"/>
                <w:lang w:eastAsia="zh-CN"/>
              </w:rPr>
              <w:t>》（HJ</w:t>
            </w:r>
            <w:r>
              <w:rPr>
                <w:rFonts w:hint="eastAsia"/>
                <w:color w:val="auto"/>
                <w:sz w:val="24"/>
                <w:szCs w:val="24"/>
                <w:highlight w:val="none"/>
                <w:u w:val="single"/>
                <w:lang w:val="en-US" w:eastAsia="zh-CN"/>
              </w:rPr>
              <w:t>1207-</w:t>
            </w:r>
            <w:r>
              <w:rPr>
                <w:rFonts w:hint="eastAsia"/>
                <w:color w:val="auto"/>
                <w:sz w:val="24"/>
                <w:szCs w:val="24"/>
                <w:highlight w:val="none"/>
                <w:u w:val="single"/>
                <w:lang w:eastAsia="zh-CN"/>
              </w:rPr>
              <w:t>202</w:t>
            </w:r>
            <w:r>
              <w:rPr>
                <w:rFonts w:hint="eastAsia"/>
                <w:color w:val="auto"/>
                <w:sz w:val="24"/>
                <w:szCs w:val="24"/>
                <w:highlight w:val="none"/>
                <w:u w:val="single"/>
                <w:lang w:val="en-US" w:eastAsia="zh-CN"/>
              </w:rPr>
              <w:t>1</w:t>
            </w:r>
            <w:r>
              <w:rPr>
                <w:rFonts w:hint="eastAsia"/>
                <w:color w:val="auto"/>
                <w:sz w:val="24"/>
                <w:szCs w:val="24"/>
                <w:highlight w:val="none"/>
                <w:u w:val="single"/>
                <w:lang w:eastAsia="zh-CN"/>
              </w:rPr>
              <w:t>）</w:t>
            </w:r>
            <w:r>
              <w:rPr>
                <w:rFonts w:hint="default"/>
                <w:color w:val="auto"/>
                <w:sz w:val="24"/>
                <w:szCs w:val="24"/>
                <w:highlight w:val="none"/>
                <w:u w:val="single"/>
              </w:rPr>
              <w:t>，本项目废气自行监测计划见下表。</w:t>
            </w:r>
          </w:p>
          <w:p>
            <w:pPr>
              <w:pStyle w:val="60"/>
              <w:bidi w:val="0"/>
              <w:spacing w:line="240" w:lineRule="auto"/>
              <w:rPr>
                <w:rFonts w:hint="default"/>
                <w:color w:val="auto"/>
                <w:sz w:val="24"/>
                <w:szCs w:val="24"/>
                <w:highlight w:val="none"/>
                <w:u w:val="single"/>
              </w:rPr>
            </w:pPr>
            <w:r>
              <w:rPr>
                <w:rFonts w:hint="default"/>
                <w:color w:val="auto"/>
                <w:sz w:val="24"/>
                <w:szCs w:val="24"/>
                <w:highlight w:val="none"/>
                <w:u w:val="single"/>
              </w:rPr>
              <w:t>表4</w:t>
            </w:r>
            <w:r>
              <w:rPr>
                <w:rFonts w:hint="eastAsia"/>
                <w:color w:val="auto"/>
                <w:sz w:val="24"/>
                <w:szCs w:val="24"/>
                <w:highlight w:val="none"/>
                <w:u w:val="single"/>
                <w:lang w:val="en-US" w:eastAsia="zh-CN"/>
              </w:rPr>
              <w:t>.2-12</w:t>
            </w:r>
            <w:r>
              <w:rPr>
                <w:rFonts w:hint="default"/>
                <w:color w:val="auto"/>
                <w:sz w:val="24"/>
                <w:szCs w:val="24"/>
                <w:highlight w:val="none"/>
                <w:u w:val="single"/>
              </w:rPr>
              <w:t>废气自行监测计划表</w:t>
            </w:r>
          </w:p>
          <w:tbl>
            <w:tblPr>
              <w:tblStyle w:val="29"/>
              <w:tblW w:w="7936"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5"/>
              <w:gridCol w:w="945"/>
              <w:gridCol w:w="2035"/>
              <w:gridCol w:w="975"/>
              <w:gridCol w:w="900"/>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noWrap w:val="0"/>
                  <w:vAlign w:val="center"/>
                </w:tcPr>
                <w:p>
                  <w:pPr>
                    <w:tabs>
                      <w:tab w:val="left" w:pos="2587"/>
                    </w:tabs>
                    <w:jc w:val="center"/>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类别</w:t>
                  </w:r>
                </w:p>
              </w:tc>
              <w:tc>
                <w:tcPr>
                  <w:tcW w:w="595" w:type="pct"/>
                  <w:noWrap w:val="0"/>
                  <w:vAlign w:val="center"/>
                </w:tcPr>
                <w:p>
                  <w:pPr>
                    <w:tabs>
                      <w:tab w:val="left" w:pos="2587"/>
                    </w:tabs>
                    <w:jc w:val="center"/>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污染源</w:t>
                  </w:r>
                </w:p>
              </w:tc>
              <w:tc>
                <w:tcPr>
                  <w:tcW w:w="1282" w:type="pct"/>
                  <w:noWrap w:val="0"/>
                  <w:vAlign w:val="center"/>
                </w:tcPr>
                <w:p>
                  <w:pPr>
                    <w:tabs>
                      <w:tab w:val="left" w:pos="2587"/>
                    </w:tabs>
                    <w:jc w:val="center"/>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监测因子</w:t>
                  </w:r>
                </w:p>
              </w:tc>
              <w:tc>
                <w:tcPr>
                  <w:tcW w:w="614" w:type="pct"/>
                  <w:noWrap w:val="0"/>
                  <w:vAlign w:val="center"/>
                </w:tcPr>
                <w:p>
                  <w:pPr>
                    <w:tabs>
                      <w:tab w:val="left" w:pos="2587"/>
                    </w:tabs>
                    <w:jc w:val="center"/>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监测频次</w:t>
                  </w:r>
                </w:p>
              </w:tc>
              <w:tc>
                <w:tcPr>
                  <w:tcW w:w="567" w:type="pct"/>
                  <w:noWrap w:val="0"/>
                  <w:vAlign w:val="center"/>
                </w:tcPr>
                <w:p>
                  <w:pPr>
                    <w:tabs>
                      <w:tab w:val="left" w:pos="2587"/>
                    </w:tabs>
                    <w:jc w:val="center"/>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监测位置</w:t>
                  </w:r>
                </w:p>
              </w:tc>
              <w:tc>
                <w:tcPr>
                  <w:tcW w:w="1478" w:type="pct"/>
                  <w:noWrap w:val="0"/>
                  <w:vAlign w:val="center"/>
                </w:tcPr>
                <w:p>
                  <w:pPr>
                    <w:tabs>
                      <w:tab w:val="left" w:pos="2587"/>
                    </w:tabs>
                    <w:jc w:val="center"/>
                    <w:rPr>
                      <w:rFonts w:hint="eastAsia" w:ascii="Times New Roman" w:hAnsi="Times New Roman" w:eastAsia="宋体" w:cs="Times New Roman"/>
                      <w:b/>
                      <w:bCs/>
                      <w:color w:val="auto"/>
                      <w:highlight w:val="none"/>
                      <w:u w:val="single"/>
                      <w:lang w:eastAsia="zh-CN"/>
                    </w:rPr>
                  </w:pPr>
                  <w:r>
                    <w:rPr>
                      <w:rFonts w:hint="eastAsia" w:cs="Times New Roman"/>
                      <w:b/>
                      <w:bCs/>
                      <w:color w:val="auto"/>
                      <w:highlight w:val="none"/>
                      <w:u w:val="singl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vMerge w:val="restart"/>
                  <w:noWrap w:val="0"/>
                  <w:vAlign w:val="center"/>
                </w:tcPr>
                <w:p>
                  <w:pPr>
                    <w:tabs>
                      <w:tab w:val="left" w:pos="2587"/>
                    </w:tabs>
                    <w:jc w:val="center"/>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有组织</w:t>
                  </w:r>
                  <w:r>
                    <w:rPr>
                      <w:rFonts w:hint="default" w:ascii="Times New Roman" w:hAnsi="Times New Roman" w:cs="Times New Roman"/>
                      <w:color w:val="auto"/>
                      <w:highlight w:val="none"/>
                      <w:u w:val="single"/>
                    </w:rPr>
                    <w:t>废气</w:t>
                  </w:r>
                </w:p>
              </w:tc>
              <w:tc>
                <w:tcPr>
                  <w:tcW w:w="595" w:type="pct"/>
                  <w:noWrap w:val="0"/>
                  <w:vAlign w:val="center"/>
                </w:tcPr>
                <w:p>
                  <w:pPr>
                    <w:tabs>
                      <w:tab w:val="left" w:pos="2587"/>
                    </w:tabs>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酸雾</w:t>
                  </w:r>
                  <w:r>
                    <w:rPr>
                      <w:rFonts w:hint="eastAsia" w:ascii="Times New Roman" w:hAnsi="Times New Roman" w:cs="Times New Roman"/>
                      <w:color w:val="auto"/>
                      <w:highlight w:val="none"/>
                      <w:u w:val="single"/>
                      <w:lang w:val="en-US" w:eastAsia="zh-CN"/>
                    </w:rPr>
                    <w:t>废气</w:t>
                  </w:r>
                </w:p>
              </w:tc>
              <w:tc>
                <w:tcPr>
                  <w:tcW w:w="1282" w:type="pct"/>
                  <w:noWrap w:val="0"/>
                  <w:vAlign w:val="center"/>
                </w:tcPr>
                <w:p>
                  <w:pPr>
                    <w:tabs>
                      <w:tab w:val="left" w:pos="2587"/>
                    </w:tabs>
                    <w:jc w:val="center"/>
                    <w:rPr>
                      <w:rFonts w:hint="default"/>
                      <w:color w:val="auto"/>
                      <w:highlight w:val="none"/>
                      <w:u w:val="single"/>
                      <w:lang w:val="en-US" w:eastAsia="zh-CN"/>
                    </w:rPr>
                  </w:pPr>
                  <w:r>
                    <w:rPr>
                      <w:rFonts w:hint="eastAsia"/>
                      <w:color w:val="auto"/>
                      <w:highlight w:val="none"/>
                      <w:u w:val="single"/>
                      <w:lang w:val="en-US" w:eastAsia="zh-CN"/>
                    </w:rPr>
                    <w:t>硫酸雾</w:t>
                  </w:r>
                </w:p>
              </w:tc>
              <w:tc>
                <w:tcPr>
                  <w:tcW w:w="614" w:type="pct"/>
                  <w:noWrap w:val="0"/>
                  <w:vAlign w:val="center"/>
                </w:tcPr>
                <w:p>
                  <w:pPr>
                    <w:tabs>
                      <w:tab w:val="left" w:pos="2587"/>
                    </w:tabs>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noWrap w:val="0"/>
                  <w:vAlign w:val="center"/>
                </w:tcPr>
                <w:p>
                  <w:pPr>
                    <w:tabs>
                      <w:tab w:val="left" w:pos="2587"/>
                    </w:tabs>
                    <w:jc w:val="center"/>
                    <w:rPr>
                      <w:rFonts w:hint="default"/>
                      <w:color w:val="auto"/>
                      <w:highlight w:val="none"/>
                      <w:u w:val="single"/>
                      <w:lang w:val="en-US" w:eastAsia="zh-CN"/>
                    </w:rPr>
                  </w:pPr>
                  <w:r>
                    <w:rPr>
                      <w:rFonts w:hint="eastAsia"/>
                      <w:color w:val="auto"/>
                      <w:highlight w:val="none"/>
                      <w:u w:val="single"/>
                      <w:lang w:val="en-US" w:eastAsia="zh-CN"/>
                    </w:rPr>
                    <w:t>DA007排气筒</w:t>
                  </w:r>
                </w:p>
              </w:tc>
              <w:tc>
                <w:tcPr>
                  <w:tcW w:w="1478" w:type="pct"/>
                  <w:vMerge w:val="restart"/>
                  <w:noWrap w:val="0"/>
                  <w:vAlign w:val="center"/>
                </w:tcPr>
                <w:p>
                  <w:pPr>
                    <w:tabs>
                      <w:tab w:val="left" w:pos="2587"/>
                    </w:tabs>
                    <w:jc w:val="center"/>
                    <w:rPr>
                      <w:rFonts w:hint="eastAsia"/>
                      <w:color w:val="auto"/>
                      <w:highlight w:val="none"/>
                      <w:u w:val="single"/>
                      <w:lang w:val="en-US" w:eastAsia="zh-CN"/>
                    </w:rPr>
                  </w:pPr>
                  <w:r>
                    <w:rPr>
                      <w:rFonts w:ascii="Times New Roman" w:hAnsi="Times New Roman"/>
                      <w:color w:val="auto"/>
                      <w:kern w:val="0"/>
                      <w:sz w:val="21"/>
                      <w:szCs w:val="21"/>
                      <w:highlight w:val="none"/>
                      <w:u w:val="singl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595"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配粉粉尘</w:t>
                  </w: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颗粒物</w:t>
                  </w:r>
                </w:p>
              </w:tc>
              <w:tc>
                <w:tcPr>
                  <w:tcW w:w="614"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DA008排气筒</w:t>
                  </w:r>
                </w:p>
              </w:tc>
              <w:tc>
                <w:tcPr>
                  <w:tcW w:w="1478" w:type="pct"/>
                  <w:vMerge w:val="continue"/>
                  <w:noWrap w:val="0"/>
                  <w:vAlign w:val="center"/>
                </w:tcPr>
                <w:p>
                  <w:pPr>
                    <w:tabs>
                      <w:tab w:val="left" w:pos="2587"/>
                    </w:tabs>
                    <w:jc w:val="center"/>
                    <w:rPr>
                      <w:rFonts w:hint="eastAsia"/>
                      <w:color w:val="auto"/>
                      <w:highlight w:val="none"/>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595" w:type="pct"/>
                  <w:vMerge w:val="restar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注塑废气</w:t>
                  </w: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非甲烷总烃</w:t>
                  </w:r>
                </w:p>
              </w:tc>
              <w:tc>
                <w:tcPr>
                  <w:tcW w:w="614"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vMerge w:val="restar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DA009排气筒</w:t>
                  </w:r>
                </w:p>
              </w:tc>
              <w:tc>
                <w:tcPr>
                  <w:tcW w:w="1478" w:type="pct"/>
                  <w:vMerge w:val="restart"/>
                  <w:noWrap w:val="0"/>
                  <w:vAlign w:val="center"/>
                </w:tcPr>
                <w:p>
                  <w:pPr>
                    <w:tabs>
                      <w:tab w:val="left" w:pos="2587"/>
                    </w:tabs>
                    <w:jc w:val="center"/>
                    <w:rPr>
                      <w:rFonts w:hint="eastAsia"/>
                      <w:color w:val="auto"/>
                      <w:highlight w:val="none"/>
                      <w:u w:val="single"/>
                      <w:lang w:val="en-US" w:eastAsia="zh-CN"/>
                    </w:rPr>
                  </w:pPr>
                  <w:r>
                    <w:rPr>
                      <w:rFonts w:hint="eastAsia" w:ascii="Times New Roman" w:hAnsi="Times New Roman"/>
                      <w:color w:val="auto"/>
                      <w:kern w:val="0"/>
                      <w:sz w:val="21"/>
                      <w:szCs w:val="21"/>
                      <w:highlight w:val="none"/>
                      <w:u w:val="single"/>
                    </w:rPr>
                    <w:t>《合成树脂工业污染物排放标准》(GB31572-2015)</w:t>
                  </w:r>
                  <w:r>
                    <w:rPr>
                      <w:rFonts w:hint="eastAsia" w:ascii="Times New Roman" w:hAnsi="Times New Roman"/>
                      <w:color w:val="auto"/>
                      <w:kern w:val="0"/>
                      <w:sz w:val="21"/>
                      <w:szCs w:val="21"/>
                      <w:highlight w:val="none"/>
                      <w:u w:val="single"/>
                      <w:lang w:val="en-US" w:eastAsia="zh-CN"/>
                    </w:rPr>
                    <w:t>及2024修改单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595"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苯、甲苯、乙苯、苯乙烯</w:t>
                  </w:r>
                </w:p>
              </w:tc>
              <w:tc>
                <w:tcPr>
                  <w:tcW w:w="614"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w:t>
                  </w:r>
                  <w:r>
                    <w:rPr>
                      <w:rFonts w:hint="eastAsia" w:ascii="Times New Roman" w:hAnsi="Times New Roman" w:cs="Times New Roman"/>
                      <w:color w:val="auto"/>
                      <w:highlight w:val="none"/>
                      <w:u w:val="single"/>
                      <w:lang w:val="en-US" w:eastAsia="zh-CN"/>
                    </w:rPr>
                    <w:t>/次</w:t>
                  </w:r>
                </w:p>
              </w:tc>
              <w:tc>
                <w:tcPr>
                  <w:tcW w:w="567" w:type="pct"/>
                  <w:vMerge w:val="continue"/>
                  <w:noWrap w:val="0"/>
                  <w:vAlign w:val="center"/>
                </w:tcPr>
                <w:p>
                  <w:pPr>
                    <w:tabs>
                      <w:tab w:val="left" w:pos="2587"/>
                    </w:tabs>
                    <w:jc w:val="center"/>
                    <w:rPr>
                      <w:rFonts w:hint="eastAsia"/>
                      <w:color w:val="auto"/>
                      <w:highlight w:val="none"/>
                      <w:u w:val="single"/>
                      <w:lang w:val="en-US" w:eastAsia="zh-CN"/>
                    </w:rPr>
                  </w:pPr>
                </w:p>
              </w:tc>
              <w:tc>
                <w:tcPr>
                  <w:tcW w:w="1478" w:type="pct"/>
                  <w:vMerge w:val="continue"/>
                  <w:noWrap w:val="0"/>
                  <w:vAlign w:val="center"/>
                </w:tcPr>
                <w:p>
                  <w:pPr>
                    <w:tabs>
                      <w:tab w:val="left" w:pos="2587"/>
                    </w:tabs>
                    <w:jc w:val="center"/>
                    <w:rPr>
                      <w:rFonts w:hint="eastAsia" w:ascii="Times New Roman" w:hAnsi="Times New Roman"/>
                      <w:color w:val="auto"/>
                      <w:kern w:val="0"/>
                      <w:sz w:val="21"/>
                      <w:szCs w:val="21"/>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595"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臭气浓度</w:t>
                  </w:r>
                </w:p>
              </w:tc>
              <w:tc>
                <w:tcPr>
                  <w:tcW w:w="614"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vMerge w:val="continue"/>
                  <w:noWrap w:val="0"/>
                  <w:vAlign w:val="center"/>
                </w:tcPr>
                <w:p>
                  <w:pPr>
                    <w:tabs>
                      <w:tab w:val="left" w:pos="2587"/>
                    </w:tabs>
                    <w:jc w:val="center"/>
                    <w:rPr>
                      <w:rFonts w:hint="eastAsia"/>
                      <w:color w:val="auto"/>
                      <w:highlight w:val="none"/>
                      <w:u w:val="single"/>
                      <w:lang w:val="en-US" w:eastAsia="zh-CN"/>
                    </w:rPr>
                  </w:pPr>
                </w:p>
              </w:tc>
              <w:tc>
                <w:tcPr>
                  <w:tcW w:w="1478" w:type="pct"/>
                  <w:noWrap w:val="0"/>
                  <w:vAlign w:val="center"/>
                </w:tcPr>
                <w:p>
                  <w:pPr>
                    <w:tabs>
                      <w:tab w:val="left" w:pos="2587"/>
                    </w:tabs>
                    <w:jc w:val="center"/>
                    <w:rPr>
                      <w:rFonts w:hint="eastAsia" w:ascii="Times New Roman" w:hAnsi="Times New Roman"/>
                      <w:color w:val="auto"/>
                      <w:kern w:val="0"/>
                      <w:sz w:val="21"/>
                      <w:szCs w:val="21"/>
                      <w:highlight w:val="none"/>
                      <w:u w:val="single"/>
                    </w:rPr>
                  </w:pPr>
                  <w:r>
                    <w:rPr>
                      <w:rFonts w:hint="eastAsia" w:cs="Times New Roman"/>
                      <w:color w:val="auto"/>
                      <w:highlight w:val="none"/>
                      <w:u w:val="singl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463"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595"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s="Times New Roman"/>
                      <w:color w:val="auto"/>
                      <w:highlight w:val="none"/>
                      <w:u w:val="single"/>
                      <w:lang w:val="en-US" w:eastAsia="zh-CN"/>
                    </w:rPr>
                    <w:t>二甲苯</w:t>
                  </w:r>
                </w:p>
              </w:tc>
              <w:tc>
                <w:tcPr>
                  <w:tcW w:w="614"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w:t>
                  </w:r>
                  <w:r>
                    <w:rPr>
                      <w:rFonts w:hint="eastAsia" w:ascii="Times New Roman" w:hAnsi="Times New Roman" w:cs="Times New Roman"/>
                      <w:color w:val="auto"/>
                      <w:highlight w:val="none"/>
                      <w:u w:val="single"/>
                      <w:lang w:val="en-US" w:eastAsia="zh-CN"/>
                    </w:rPr>
                    <w:t>/次</w:t>
                  </w:r>
                </w:p>
              </w:tc>
              <w:tc>
                <w:tcPr>
                  <w:tcW w:w="567" w:type="pct"/>
                  <w:vMerge w:val="continue"/>
                  <w:noWrap w:val="0"/>
                  <w:vAlign w:val="center"/>
                </w:tcPr>
                <w:p>
                  <w:pPr>
                    <w:tabs>
                      <w:tab w:val="left" w:pos="2587"/>
                    </w:tabs>
                    <w:jc w:val="center"/>
                    <w:rPr>
                      <w:rFonts w:hint="eastAsia"/>
                      <w:color w:val="auto"/>
                      <w:highlight w:val="none"/>
                      <w:u w:val="single"/>
                      <w:lang w:val="en-US" w:eastAsia="zh-CN"/>
                    </w:rPr>
                  </w:pPr>
                </w:p>
              </w:tc>
              <w:tc>
                <w:tcPr>
                  <w:tcW w:w="1478"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《大气污染物综合排放标准》（GB16297-1996）表2中二级排放标准限值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8" w:type="pct"/>
                  <w:gridSpan w:val="2"/>
                  <w:vMerge w:val="restart"/>
                  <w:noWrap w:val="0"/>
                  <w:vAlign w:val="center"/>
                </w:tcPr>
                <w:p>
                  <w:pPr>
                    <w:tabs>
                      <w:tab w:val="left" w:pos="2587"/>
                    </w:tabs>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无组织废气</w:t>
                  </w:r>
                </w:p>
              </w:tc>
              <w:tc>
                <w:tcPr>
                  <w:tcW w:w="1282" w:type="pct"/>
                  <w:noWrap w:val="0"/>
                  <w:vAlign w:val="center"/>
                </w:tcPr>
                <w:p>
                  <w:pPr>
                    <w:tabs>
                      <w:tab w:val="left" w:pos="2587"/>
                    </w:tabs>
                    <w:jc w:val="center"/>
                    <w:rPr>
                      <w:rFonts w:hint="default"/>
                      <w:color w:val="auto"/>
                      <w:highlight w:val="none"/>
                      <w:u w:val="single"/>
                      <w:lang w:val="en-US" w:eastAsia="zh-CN"/>
                    </w:rPr>
                  </w:pPr>
                  <w:r>
                    <w:rPr>
                      <w:rFonts w:hint="eastAsia"/>
                      <w:color w:val="auto"/>
                      <w:highlight w:val="none"/>
                      <w:u w:val="single"/>
                      <w:lang w:val="en-US" w:eastAsia="zh-CN"/>
                    </w:rPr>
                    <w:t>颗粒物、硫酸雾</w:t>
                  </w:r>
                </w:p>
              </w:tc>
              <w:tc>
                <w:tcPr>
                  <w:tcW w:w="614" w:type="pct"/>
                  <w:noWrap w:val="0"/>
                  <w:vAlign w:val="center"/>
                </w:tcPr>
                <w:p>
                  <w:pPr>
                    <w:tabs>
                      <w:tab w:val="left" w:pos="2587"/>
                    </w:tabs>
                    <w:jc w:val="center"/>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年</w:t>
                  </w:r>
                  <w:r>
                    <w:rPr>
                      <w:rFonts w:hint="eastAsia" w:ascii="Times New Roman" w:hAnsi="Times New Roman" w:cs="Times New Roman"/>
                      <w:color w:val="auto"/>
                      <w:highlight w:val="none"/>
                      <w:u w:val="single"/>
                      <w:lang w:val="en-US" w:eastAsia="zh-CN"/>
                    </w:rPr>
                    <w:t>/次</w:t>
                  </w:r>
                </w:p>
              </w:tc>
              <w:tc>
                <w:tcPr>
                  <w:tcW w:w="567" w:type="pct"/>
                  <w:vMerge w:val="restart"/>
                  <w:noWrap w:val="0"/>
                  <w:vAlign w:val="center"/>
                </w:tcPr>
                <w:p>
                  <w:pPr>
                    <w:tabs>
                      <w:tab w:val="left" w:pos="2587"/>
                    </w:tabs>
                    <w:jc w:val="center"/>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厂界</w:t>
                  </w:r>
                </w:p>
              </w:tc>
              <w:tc>
                <w:tcPr>
                  <w:tcW w:w="1478" w:type="pct"/>
                  <w:noWrap w:val="0"/>
                  <w:vAlign w:val="center"/>
                </w:tcPr>
                <w:p>
                  <w:pPr>
                    <w:tabs>
                      <w:tab w:val="left" w:pos="2587"/>
                    </w:tabs>
                    <w:jc w:val="center"/>
                    <w:rPr>
                      <w:rFonts w:hint="eastAsia" w:eastAsia="宋体" w:cs="Times New Roman"/>
                      <w:color w:val="auto"/>
                      <w:highlight w:val="none"/>
                      <w:u w:val="single"/>
                      <w:lang w:val="en-US" w:eastAsia="zh-CN"/>
                    </w:rPr>
                  </w:pPr>
                  <w:r>
                    <w:rPr>
                      <w:rFonts w:ascii="Times New Roman" w:hAnsi="Times New Roman"/>
                      <w:color w:val="auto"/>
                      <w:kern w:val="0"/>
                      <w:sz w:val="21"/>
                      <w:szCs w:val="21"/>
                      <w:highlight w:val="none"/>
                      <w:u w:val="single"/>
                    </w:rPr>
                    <w:t>《大气污染物综合排放标准》（GB16297-1996</w:t>
                  </w:r>
                  <w:r>
                    <w:rPr>
                      <w:rFonts w:hint="eastAsia"/>
                      <w:color w:val="auto"/>
                      <w:kern w:val="0"/>
                      <w:sz w:val="21"/>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8" w:type="pct"/>
                  <w:gridSpan w:val="2"/>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default"/>
                      <w:color w:val="auto"/>
                      <w:highlight w:val="none"/>
                      <w:u w:val="single"/>
                      <w:lang w:val="en-US" w:eastAsia="zh-CN"/>
                    </w:rPr>
                  </w:pPr>
                  <w:r>
                    <w:rPr>
                      <w:rFonts w:hint="eastAsia"/>
                      <w:color w:val="auto"/>
                      <w:highlight w:val="none"/>
                      <w:u w:val="single"/>
                      <w:lang w:val="en-US" w:eastAsia="zh-CN"/>
                    </w:rPr>
                    <w:t>氨气</w:t>
                  </w:r>
                </w:p>
              </w:tc>
              <w:tc>
                <w:tcPr>
                  <w:tcW w:w="614" w:type="pct"/>
                  <w:noWrap w:val="0"/>
                  <w:vAlign w:val="center"/>
                </w:tcPr>
                <w:p>
                  <w:pPr>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年</w:t>
                  </w:r>
                  <w:r>
                    <w:rPr>
                      <w:rFonts w:hint="eastAsia" w:ascii="Times New Roman" w:hAnsi="Times New Roman" w:cs="Times New Roman"/>
                      <w:color w:val="auto"/>
                      <w:highlight w:val="none"/>
                      <w:u w:val="single"/>
                      <w:lang w:val="en-US" w:eastAsia="zh-CN"/>
                    </w:rPr>
                    <w:t>/次</w:t>
                  </w:r>
                </w:p>
              </w:tc>
              <w:tc>
                <w:tcPr>
                  <w:tcW w:w="567"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478"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8" w:type="pct"/>
                  <w:gridSpan w:val="2"/>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default"/>
                      <w:color w:val="auto"/>
                      <w:highlight w:val="none"/>
                      <w:u w:val="single"/>
                      <w:lang w:val="en-US" w:eastAsia="zh-CN"/>
                    </w:rPr>
                  </w:pPr>
                  <w:r>
                    <w:rPr>
                      <w:rFonts w:hint="eastAsia"/>
                      <w:color w:val="auto"/>
                      <w:highlight w:val="none"/>
                      <w:u w:val="single"/>
                      <w:lang w:val="en-US" w:eastAsia="zh-CN"/>
                    </w:rPr>
                    <w:t>非甲烷总烃、苯、甲苯</w:t>
                  </w:r>
                </w:p>
              </w:tc>
              <w:tc>
                <w:tcPr>
                  <w:tcW w:w="614" w:type="pct"/>
                  <w:noWrap w:val="0"/>
                  <w:vAlign w:val="center"/>
                </w:tcPr>
                <w:p>
                  <w:pPr>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478" w:type="pct"/>
                  <w:noWrap w:val="0"/>
                  <w:vAlign w:val="center"/>
                </w:tcPr>
                <w:p>
                  <w:pPr>
                    <w:tabs>
                      <w:tab w:val="left" w:pos="2587"/>
                    </w:tabs>
                    <w:jc w:val="center"/>
                    <w:rPr>
                      <w:rFonts w:hint="eastAsia" w:cs="Times New Roman"/>
                      <w:color w:val="auto"/>
                      <w:highlight w:val="none"/>
                      <w:u w:val="single"/>
                      <w:lang w:val="en-US" w:eastAsia="zh-CN"/>
                    </w:rPr>
                  </w:pPr>
                  <w:r>
                    <w:rPr>
                      <w:rFonts w:hint="eastAsia" w:ascii="Times New Roman" w:hAnsi="Times New Roman"/>
                      <w:color w:val="auto"/>
                      <w:kern w:val="0"/>
                      <w:sz w:val="21"/>
                      <w:szCs w:val="21"/>
                      <w:highlight w:val="none"/>
                      <w:u w:val="single"/>
                    </w:rPr>
                    <w:t>《合成树脂工业污染物排放标准》(GB31572-2015)</w:t>
                  </w:r>
                  <w:r>
                    <w:rPr>
                      <w:rFonts w:hint="eastAsia" w:ascii="Times New Roman" w:hAnsi="Times New Roman"/>
                      <w:color w:val="auto"/>
                      <w:kern w:val="0"/>
                      <w:sz w:val="21"/>
                      <w:szCs w:val="21"/>
                      <w:highlight w:val="none"/>
                      <w:u w:val="single"/>
                      <w:lang w:val="en-US" w:eastAsia="zh-CN"/>
                    </w:rPr>
                    <w:t>及2024修改单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8" w:type="pct"/>
                  <w:gridSpan w:val="2"/>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二甲苯</w:t>
                  </w:r>
                </w:p>
              </w:tc>
              <w:tc>
                <w:tcPr>
                  <w:tcW w:w="614" w:type="pct"/>
                  <w:noWrap w:val="0"/>
                  <w:vAlign w:val="center"/>
                </w:tcPr>
                <w:p>
                  <w:pPr>
                    <w:jc w:val="center"/>
                    <w:rPr>
                      <w:rFonts w:hint="default"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478" w:type="pct"/>
                  <w:noWrap w:val="0"/>
                  <w:vAlign w:val="center"/>
                </w:tcPr>
                <w:p>
                  <w:pPr>
                    <w:tabs>
                      <w:tab w:val="left" w:pos="2587"/>
                    </w:tabs>
                    <w:jc w:val="center"/>
                    <w:rPr>
                      <w:rFonts w:hint="eastAsia" w:ascii="Times New Roman" w:hAnsi="Times New Roman"/>
                      <w:color w:val="auto"/>
                      <w:kern w:val="0"/>
                      <w:sz w:val="21"/>
                      <w:szCs w:val="21"/>
                      <w:highlight w:val="none"/>
                      <w:u w:val="single"/>
                    </w:rPr>
                  </w:pPr>
                  <w:r>
                    <w:rPr>
                      <w:rFonts w:ascii="Times New Roman" w:hAnsi="Times New Roman"/>
                      <w:color w:val="auto"/>
                      <w:kern w:val="0"/>
                      <w:sz w:val="21"/>
                      <w:szCs w:val="21"/>
                      <w:highlight w:val="none"/>
                      <w:u w:val="single"/>
                    </w:rPr>
                    <w:t>《大气污染物综合排放标准》（GB16297-1996</w:t>
                  </w:r>
                  <w:r>
                    <w:rPr>
                      <w:rFonts w:hint="eastAsia"/>
                      <w:color w:val="auto"/>
                      <w:kern w:val="0"/>
                      <w:sz w:val="21"/>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8" w:type="pct"/>
                  <w:gridSpan w:val="2"/>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臭气浓度</w:t>
                  </w:r>
                </w:p>
              </w:tc>
              <w:tc>
                <w:tcPr>
                  <w:tcW w:w="614" w:type="pct"/>
                  <w:noWrap w:val="0"/>
                  <w:vAlign w:val="center"/>
                </w:tcPr>
                <w:p>
                  <w:pPr>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半年/次</w:t>
                  </w:r>
                </w:p>
              </w:tc>
              <w:tc>
                <w:tcPr>
                  <w:tcW w:w="567" w:type="pct"/>
                  <w:vMerge w:val="continue"/>
                  <w:noWrap w:val="0"/>
                  <w:vAlign w:val="center"/>
                </w:tcPr>
                <w:p>
                  <w:pPr>
                    <w:tabs>
                      <w:tab w:val="left" w:pos="2587"/>
                    </w:tabs>
                    <w:jc w:val="center"/>
                    <w:rPr>
                      <w:rFonts w:hint="eastAsia" w:cs="Times New Roman"/>
                      <w:color w:val="auto"/>
                      <w:highlight w:val="none"/>
                      <w:u w:val="single"/>
                      <w:lang w:val="en-US" w:eastAsia="zh-CN"/>
                    </w:rPr>
                  </w:pPr>
                </w:p>
              </w:tc>
              <w:tc>
                <w:tcPr>
                  <w:tcW w:w="1478" w:type="pct"/>
                  <w:noWrap w:val="0"/>
                  <w:vAlign w:val="center"/>
                </w:tcPr>
                <w:p>
                  <w:pPr>
                    <w:tabs>
                      <w:tab w:val="left" w:pos="2587"/>
                    </w:tabs>
                    <w:jc w:val="center"/>
                    <w:rPr>
                      <w:rFonts w:ascii="Times New Roman" w:hAnsi="Times New Roman"/>
                      <w:color w:val="auto"/>
                      <w:kern w:val="0"/>
                      <w:sz w:val="21"/>
                      <w:szCs w:val="21"/>
                      <w:highlight w:val="none"/>
                      <w:u w:val="single"/>
                    </w:rPr>
                  </w:pPr>
                  <w:r>
                    <w:rPr>
                      <w:rFonts w:hint="eastAsia" w:cs="Times New Roman"/>
                      <w:color w:val="auto"/>
                      <w:highlight w:val="none"/>
                      <w:u w:val="single"/>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58" w:type="pct"/>
                  <w:gridSpan w:val="2"/>
                  <w:vMerge w:val="continue"/>
                  <w:noWrap w:val="0"/>
                  <w:vAlign w:val="center"/>
                </w:tcPr>
                <w:p>
                  <w:pPr>
                    <w:tabs>
                      <w:tab w:val="left" w:pos="2587"/>
                    </w:tabs>
                    <w:jc w:val="center"/>
                    <w:rPr>
                      <w:rFonts w:hint="eastAsia" w:cs="Times New Roman"/>
                      <w:color w:val="auto"/>
                      <w:highlight w:val="none"/>
                      <w:u w:val="single"/>
                      <w:lang w:val="en-US" w:eastAsia="zh-CN"/>
                    </w:rPr>
                  </w:pPr>
                </w:p>
              </w:tc>
              <w:tc>
                <w:tcPr>
                  <w:tcW w:w="1282" w:type="pct"/>
                  <w:noWrap w:val="0"/>
                  <w:vAlign w:val="center"/>
                </w:tcPr>
                <w:p>
                  <w:pPr>
                    <w:tabs>
                      <w:tab w:val="left" w:pos="2587"/>
                    </w:tabs>
                    <w:jc w:val="center"/>
                    <w:rPr>
                      <w:rFonts w:hint="eastAsia"/>
                      <w:color w:val="auto"/>
                      <w:highlight w:val="none"/>
                      <w:u w:val="single"/>
                      <w:lang w:val="en-US" w:eastAsia="zh-CN"/>
                    </w:rPr>
                  </w:pPr>
                  <w:r>
                    <w:rPr>
                      <w:rFonts w:hint="eastAsia"/>
                      <w:color w:val="auto"/>
                      <w:highlight w:val="none"/>
                      <w:u w:val="single"/>
                      <w:lang w:val="en-US" w:eastAsia="zh-CN"/>
                    </w:rPr>
                    <w:t>非甲烷总烃</w:t>
                  </w:r>
                </w:p>
              </w:tc>
              <w:tc>
                <w:tcPr>
                  <w:tcW w:w="614"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半年</w:t>
                  </w:r>
                  <w:r>
                    <w:rPr>
                      <w:rFonts w:hint="eastAsia" w:ascii="Times New Roman" w:hAnsi="Times New Roman" w:cs="Times New Roman"/>
                      <w:color w:val="auto"/>
                      <w:highlight w:val="none"/>
                      <w:u w:val="single"/>
                      <w:lang w:val="en-US" w:eastAsia="zh-CN"/>
                    </w:rPr>
                    <w:t>/次</w:t>
                  </w:r>
                </w:p>
              </w:tc>
              <w:tc>
                <w:tcPr>
                  <w:tcW w:w="567"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厂区内</w:t>
                  </w:r>
                </w:p>
              </w:tc>
              <w:tc>
                <w:tcPr>
                  <w:tcW w:w="1478" w:type="pct"/>
                  <w:noWrap w:val="0"/>
                  <w:vAlign w:val="center"/>
                </w:tcPr>
                <w:p>
                  <w:pPr>
                    <w:tabs>
                      <w:tab w:val="left" w:pos="2587"/>
                    </w:tabs>
                    <w:jc w:val="center"/>
                    <w:rPr>
                      <w:rFonts w:hint="eastAsia" w:cs="Times New Roman"/>
                      <w:color w:val="auto"/>
                      <w:highlight w:val="none"/>
                      <w:u w:val="single"/>
                      <w:lang w:val="en-US" w:eastAsia="zh-CN"/>
                    </w:rPr>
                  </w:pPr>
                  <w:r>
                    <w:rPr>
                      <w:rFonts w:hint="eastAsia" w:cs="Times New Roman"/>
                      <w:color w:val="auto"/>
                      <w:highlight w:val="none"/>
                      <w:u w:val="single"/>
                      <w:lang w:val="en-US" w:eastAsia="zh-CN"/>
                    </w:rPr>
                    <w:t>《挥发性有机物无组织排放控制标准》（GB37822-2019)</w:t>
                  </w:r>
                </w:p>
              </w:tc>
            </w:tr>
          </w:tbl>
          <w:p>
            <w:pPr>
              <w:pStyle w:val="59"/>
              <w:bidi w:val="0"/>
              <w:rPr>
                <w:rFonts w:hint="default"/>
                <w:color w:val="auto"/>
                <w:sz w:val="24"/>
                <w:szCs w:val="24"/>
                <w:highlight w:val="none"/>
                <w:u w:val="none"/>
              </w:rPr>
            </w:pPr>
            <w:r>
              <w:rPr>
                <w:rFonts w:hint="default"/>
                <w:color w:val="auto"/>
                <w:sz w:val="24"/>
                <w:szCs w:val="24"/>
                <w:highlight w:val="none"/>
                <w:u w:val="none"/>
              </w:rPr>
              <w:t>4.</w:t>
            </w:r>
            <w:r>
              <w:rPr>
                <w:rFonts w:hint="eastAsia"/>
                <w:color w:val="auto"/>
                <w:sz w:val="24"/>
                <w:szCs w:val="24"/>
                <w:highlight w:val="none"/>
                <w:u w:val="none"/>
                <w:lang w:val="en-US" w:eastAsia="zh-CN"/>
              </w:rPr>
              <w:t>2</w:t>
            </w:r>
            <w:r>
              <w:rPr>
                <w:rFonts w:hint="default"/>
                <w:color w:val="auto"/>
                <w:sz w:val="24"/>
                <w:szCs w:val="24"/>
                <w:highlight w:val="none"/>
                <w:u w:val="none"/>
              </w:rPr>
              <w:t>.4废气污染治理设施可行性分析</w:t>
            </w:r>
          </w:p>
          <w:p>
            <w:pPr>
              <w:pStyle w:val="62"/>
              <w:numPr>
                <w:ilvl w:val="0"/>
                <w:numId w:val="25"/>
              </w:numPr>
              <w:ind w:firstLine="480"/>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碱液喷淋塔处理可行性</w:t>
            </w:r>
          </w:p>
          <w:p>
            <w:pPr>
              <w:pStyle w:val="62"/>
              <w:ind w:firstLine="480"/>
              <w:rPr>
                <w:rFonts w:hint="default"/>
                <w:b/>
                <w:bCs/>
                <w:color w:val="auto"/>
                <w:sz w:val="24"/>
                <w:szCs w:val="24"/>
                <w:highlight w:val="none"/>
                <w:u w:val="none"/>
                <w:lang w:val="en-US" w:eastAsia="zh-CN"/>
              </w:rPr>
            </w:pPr>
            <w:r>
              <w:rPr>
                <w:rFonts w:hint="eastAsia"/>
                <w:color w:val="auto"/>
                <w:sz w:val="24"/>
                <w:szCs w:val="24"/>
                <w:highlight w:val="none"/>
                <w:u w:val="none"/>
                <w:lang w:val="en-US" w:eastAsia="zh-CN"/>
              </w:rPr>
              <w:t>本项目酸雾采用的洗涤塔由填充式洗涤塔被洗涤液中和（利用填充物增加接触面积），去除有害物质。采用气液逆向吸收方式处理，即吸收液雾撒下形成小水滴，气体由塔底逆向而上，使气液充分接触。采用具疏松表面的填充滤料，较大的表面积可使气体、液体的停留时间延长，提高吸收效率。酸性废气采用碱性药剂中和。一般填料吸收塔是由塔体、填料、液体分布装置等装置组成，由于在操作过程中，上升气流和下降吸收剂在填料层中不断接触，所以上升气流中溶质（污染物）的浓度愈来愈低，相反，下降液体中的溶质浓度愈来愈高，这种操作过程称为气液逆流操作。通过塔中的喷淋及填料，有效提供废气在塔内的停留时间，并增强吸收液与废气之间的交换，以使废气中的污染物质与吸收液充分地反应。该工艺的有利于加大反应物的接触面，促进脱除反应。由于污染物属于酸性废气，湿度高，具有较强的腐蚀性，易溶于水和碱可采用弱碱性溶液吸收法。同时为了加强废气与吸收液的接触面积，采用填料吸收塔吸收。本项目碱喷淋装置属于喷淋塔中和法的</w:t>
            </w:r>
            <w:r>
              <w:rPr>
                <w:rFonts w:hint="default"/>
                <w:color w:val="auto"/>
                <w:sz w:val="24"/>
                <w:szCs w:val="24"/>
                <w:highlight w:val="none"/>
                <w:u w:val="none"/>
              </w:rPr>
              <w:t>污染治理措施可行。</w:t>
            </w:r>
          </w:p>
          <w:p>
            <w:pPr>
              <w:pStyle w:val="62"/>
              <w:ind w:firstLine="480"/>
              <w:rPr>
                <w:rFonts w:hint="default"/>
                <w:b/>
                <w:bCs/>
                <w:color w:val="auto"/>
                <w:sz w:val="24"/>
                <w:szCs w:val="24"/>
                <w:highlight w:val="none"/>
                <w:u w:val="none"/>
                <w:lang w:val="en-US" w:eastAsia="zh-CN"/>
              </w:rPr>
            </w:pPr>
            <w:r>
              <w:rPr>
                <w:rFonts w:hint="eastAsia"/>
                <w:b/>
                <w:bCs/>
                <w:color w:val="auto"/>
                <w:sz w:val="24"/>
                <w:szCs w:val="24"/>
                <w:highlight w:val="none"/>
                <w:u w:val="none"/>
                <w:lang w:val="en-US" w:eastAsia="zh-CN"/>
              </w:rPr>
              <w:t>（2）布袋除尘处理可行性</w:t>
            </w:r>
          </w:p>
          <w:p>
            <w:pPr>
              <w:pStyle w:val="62"/>
              <w:ind w:firstLine="480"/>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布袋除尘器技术原理如下：</w:t>
            </w:r>
          </w:p>
          <w:p>
            <w:pPr>
              <w:pStyle w:val="62"/>
              <w:ind w:firstLine="480"/>
              <w:rPr>
                <w:rFonts w:hint="default"/>
                <w:color w:val="auto"/>
                <w:sz w:val="24"/>
                <w:szCs w:val="24"/>
                <w:highlight w:val="none"/>
                <w:u w:val="none"/>
              </w:rPr>
            </w:pPr>
            <w:r>
              <w:rPr>
                <w:rFonts w:hint="eastAsia"/>
                <w:b w:val="0"/>
                <w:bCs w:val="0"/>
                <w:color w:val="auto"/>
                <w:sz w:val="24"/>
                <w:szCs w:val="24"/>
                <w:highlight w:val="none"/>
                <w:u w:val="none"/>
                <w:lang w:val="en-US" w:eastAsia="zh-CN"/>
              </w:rPr>
              <w:t>袋式除尘器是一种干式滤尘装置。它适用于捕集细小、干燥、非纤维性烟尘。滤袋采用纺织的滤布或非纺织的毡制成，利用纤维织物的过滤作用对含尘气体进行过滤，当含尘气体进入袋式除尘器后，颗粒大、比重大的烟尘，由于重力的作用沉降下来，落入灰斗，含有较细小烟尘的气体在通过滤料时，烟尘被阻留，使气体得到净化。含尘气体由除尘器下部进气管道，经导流板进入灰斗时，由于导流板的碰撞和气体速度的降低等作用，粗粒烟尘将落入灰斗中，其余细小颗粒烟尘随气体进入滤袋室，由于滤料纤维及织物的惯性、扩散、阻隔、钩挂、静电等作用，烟尘被阻留在滤袋内，净化后的气体逸出袋外，经排气管排出。滤袋上的积灰用气体逆洗法去除，清除下来的烟尘下到灰斗，经双层卸灰阀排到输灰装置。滤袋上的积灰也可以采用喷吹脉冲气流的方法去除，从而达到清灰的目的，清除下来的烟尘由排灰装置排走。袋式除尘效率高，一般在99%以上，本工程保守按照98%预估。根据</w:t>
            </w:r>
            <w:r>
              <w:rPr>
                <w:rFonts w:hint="default"/>
                <w:color w:val="auto"/>
                <w:sz w:val="24"/>
                <w:szCs w:val="24"/>
                <w:highlight w:val="none"/>
                <w:u w:val="none"/>
              </w:rPr>
              <w:t>《排污许可证申请与核发技术规范金属铸造工业》（HJ1115</w:t>
            </w:r>
            <w:r>
              <w:rPr>
                <w:rFonts w:hint="eastAsia"/>
                <w:color w:val="auto"/>
                <w:sz w:val="24"/>
                <w:szCs w:val="24"/>
                <w:highlight w:val="none"/>
                <w:u w:val="none"/>
                <w:lang w:val="en-US" w:eastAsia="zh-CN"/>
              </w:rPr>
              <w:t>-</w:t>
            </w:r>
            <w:r>
              <w:rPr>
                <w:rFonts w:hint="default"/>
                <w:color w:val="auto"/>
                <w:sz w:val="24"/>
                <w:szCs w:val="24"/>
                <w:highlight w:val="none"/>
                <w:u w:val="none"/>
              </w:rPr>
              <w:t>2020）</w:t>
            </w:r>
            <w:r>
              <w:rPr>
                <w:rFonts w:hint="eastAsia"/>
                <w:color w:val="auto"/>
                <w:sz w:val="24"/>
                <w:szCs w:val="24"/>
                <w:highlight w:val="none"/>
                <w:u w:val="none"/>
                <w:lang w:eastAsia="zh-CN"/>
              </w:rPr>
              <w:t>附录</w:t>
            </w:r>
            <w:r>
              <w:rPr>
                <w:rFonts w:hint="eastAsia"/>
                <w:color w:val="auto"/>
                <w:sz w:val="24"/>
                <w:szCs w:val="24"/>
                <w:highlight w:val="none"/>
                <w:u w:val="none"/>
                <w:lang w:val="en-US" w:eastAsia="zh-CN"/>
              </w:rPr>
              <w:t>A</w:t>
            </w:r>
            <w:r>
              <w:rPr>
                <w:rFonts w:hint="default"/>
                <w:color w:val="auto"/>
                <w:sz w:val="24"/>
                <w:szCs w:val="24"/>
                <w:highlight w:val="none"/>
                <w:u w:val="none"/>
              </w:rPr>
              <w:t>中废气污染治理可行技术，</w:t>
            </w:r>
            <w:r>
              <w:rPr>
                <w:rFonts w:hint="eastAsia"/>
                <w:color w:val="auto"/>
                <w:sz w:val="24"/>
                <w:szCs w:val="24"/>
                <w:highlight w:val="none"/>
                <w:u w:val="none"/>
                <w:lang w:val="en-US" w:eastAsia="zh-CN"/>
              </w:rPr>
              <w:t>本项目布袋除尘的</w:t>
            </w:r>
            <w:r>
              <w:rPr>
                <w:rFonts w:hint="default"/>
                <w:color w:val="auto"/>
                <w:sz w:val="24"/>
                <w:szCs w:val="24"/>
                <w:highlight w:val="none"/>
                <w:u w:val="none"/>
              </w:rPr>
              <w:t>污染治理措施可行。</w:t>
            </w:r>
          </w:p>
          <w:p>
            <w:pPr>
              <w:pStyle w:val="62"/>
              <w:ind w:firstLine="480"/>
              <w:rPr>
                <w:rFonts w:hint="eastAsia" w:ascii="Times New Roman" w:hAnsi="Times New Roman" w:eastAsia="宋体" w:cs="Times New Roman"/>
                <w:b/>
                <w:bCs/>
                <w:color w:val="auto"/>
                <w:kern w:val="0"/>
                <w:sz w:val="24"/>
                <w:szCs w:val="24"/>
                <w:highlight w:val="none"/>
                <w:u w:val="none"/>
                <w:lang w:val="zh-CN" w:bidi="ar"/>
              </w:rPr>
            </w:pPr>
            <w:r>
              <w:rPr>
                <w:rFonts w:hint="eastAsia"/>
                <w:b/>
                <w:bCs/>
                <w:color w:val="auto"/>
                <w:sz w:val="24"/>
                <w:szCs w:val="24"/>
                <w:highlight w:val="none"/>
                <w:u w:val="none"/>
                <w:lang w:val="en-US" w:eastAsia="zh-CN"/>
              </w:rPr>
              <w:t>（3）</w:t>
            </w:r>
            <w:r>
              <w:rPr>
                <w:rFonts w:hint="eastAsia" w:cs="Times New Roman"/>
                <w:b/>
                <w:bCs/>
                <w:color w:val="auto"/>
                <w:kern w:val="0"/>
                <w:sz w:val="24"/>
                <w:szCs w:val="24"/>
                <w:highlight w:val="none"/>
                <w:u w:val="none"/>
                <w:lang w:val="zh-CN" w:bidi="ar"/>
              </w:rPr>
              <w:t>两级活性炭吸附</w:t>
            </w:r>
            <w:r>
              <w:rPr>
                <w:rFonts w:hint="eastAsia" w:ascii="Times New Roman" w:hAnsi="Times New Roman" w:eastAsia="宋体" w:cs="Times New Roman"/>
                <w:b/>
                <w:bCs/>
                <w:color w:val="auto"/>
                <w:kern w:val="0"/>
                <w:sz w:val="24"/>
                <w:szCs w:val="24"/>
                <w:highlight w:val="none"/>
                <w:u w:val="none"/>
                <w:lang w:val="zh-CN" w:bidi="ar"/>
              </w:rPr>
              <w:t>处理可行性</w:t>
            </w:r>
          </w:p>
          <w:p>
            <w:pPr>
              <w:pStyle w:val="62"/>
              <w:ind w:firstLine="480"/>
              <w:rPr>
                <w:rFonts w:hint="eastAsia"/>
                <w:b/>
                <w:bCs/>
                <w:color w:val="auto"/>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zh-CN" w:bidi="ar"/>
              </w:rPr>
              <w:t>活性炭是一种非常优良的吸附剂，是以含炭量较高的物质如木材、煤、果壳、骨、石油残渣等，通过物理和化学方法对原料进行破碎、过筛、催化剂活化、漂洗、烘干和筛选等一系列工序加工制造而成。由于活性炭具有很大的比表面积，而且炭粒中还有更细小的孔-毛细管，这种毛细管具有很强的吸附能力，所以能与气体（杂质）充分接触，当这些气体（杂质）碰到毛细管就被吸附，起到净化作用。经处理后，本项目有机废气排放浓度可以满足《合成树脂工业污染物排放标准》(GB31572-2015)及2024修改单</w:t>
            </w:r>
            <w:r>
              <w:rPr>
                <w:rFonts w:ascii="Times New Roman" w:hAnsi="Times New Roman" w:eastAsia="宋体" w:cs="Times New Roman"/>
                <w:color w:val="auto"/>
                <w:kern w:val="0"/>
                <w:sz w:val="24"/>
                <w:szCs w:val="24"/>
                <w:highlight w:val="none"/>
                <w:u w:val="none"/>
                <w:lang w:val="zh-CN" w:bidi="ar"/>
              </w:rPr>
              <w:t>表</w:t>
            </w:r>
            <w:r>
              <w:rPr>
                <w:rFonts w:hint="eastAsia" w:ascii="Times New Roman" w:hAnsi="Times New Roman" w:eastAsia="宋体" w:cs="Times New Roman"/>
                <w:color w:val="auto"/>
                <w:kern w:val="0"/>
                <w:sz w:val="24"/>
                <w:szCs w:val="24"/>
                <w:highlight w:val="none"/>
                <w:u w:val="none"/>
                <w:lang w:eastAsia="zh-CN" w:bidi="ar"/>
              </w:rPr>
              <w:t>5中</w:t>
            </w:r>
            <w:r>
              <w:rPr>
                <w:rFonts w:ascii="Times New Roman" w:hAnsi="Times New Roman" w:eastAsia="宋体" w:cs="Times New Roman"/>
                <w:color w:val="auto"/>
                <w:kern w:val="0"/>
                <w:sz w:val="24"/>
                <w:szCs w:val="24"/>
                <w:highlight w:val="none"/>
                <w:u w:val="none"/>
                <w:lang w:val="zh-CN" w:bidi="ar"/>
              </w:rPr>
              <w:t>排放标准</w:t>
            </w:r>
            <w:r>
              <w:rPr>
                <w:rFonts w:hint="eastAsia" w:ascii="Times New Roman" w:hAnsi="Times New Roman" w:eastAsia="宋体" w:cs="Times New Roman"/>
                <w:color w:val="auto"/>
                <w:kern w:val="0"/>
                <w:sz w:val="24"/>
                <w:szCs w:val="24"/>
                <w:highlight w:val="none"/>
                <w:u w:val="none"/>
                <w:lang w:val="zh-CN" w:bidi="ar"/>
              </w:rPr>
              <w:t>要求。</w:t>
            </w:r>
          </w:p>
          <w:p>
            <w:pPr>
              <w:pStyle w:val="62"/>
              <w:ind w:firstLine="480"/>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（4）排气筒高度说明</w:t>
            </w:r>
          </w:p>
          <w:p>
            <w:pPr>
              <w:pStyle w:val="62"/>
              <w:ind w:firstLine="480"/>
              <w:rPr>
                <w:rFonts w:hint="default" w:ascii="Times New Roman" w:hAnsi="Times New Roman" w:eastAsia="宋体" w:cs="宋体"/>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w:t>
            </w:r>
            <w:r>
              <w:rPr>
                <w:rFonts w:hint="default" w:ascii="Times New Roman" w:hAnsi="Times New Roman" w:eastAsia="宋体" w:cs="宋体"/>
                <w:color w:val="auto"/>
                <w:sz w:val="24"/>
                <w:szCs w:val="24"/>
                <w:highlight w:val="none"/>
                <w:u w:val="none"/>
                <w:lang w:val="en-US" w:eastAsia="zh-CN"/>
              </w:rPr>
              <w:t>据《大气污染物综合排放标准》（GB16297-1996）中排气筒高度要求：排气筒高度除须遵守表列排放速率标准值外，还应高出周围200m半径范围的建筑5m以上，不能达到该要求的排气筒，应按其高度对应的表列排放速率标准值严格50%执行。</w:t>
            </w:r>
          </w:p>
          <w:p>
            <w:pPr>
              <w:pStyle w:val="62"/>
              <w:ind w:firstLine="480"/>
              <w:rPr>
                <w:rFonts w:hint="eastAsia" w:ascii="Times New Roman" w:hAnsi="Times New Roman" w:eastAsia="宋体" w:cs="Times New Roman"/>
                <w:color w:val="auto"/>
                <w:kern w:val="0"/>
                <w:szCs w:val="21"/>
                <w:highlight w:val="none"/>
                <w:u w:val="single" w:color="auto"/>
                <w:lang w:val="en-US" w:eastAsia="zh-CN" w:bidi="ar"/>
              </w:rPr>
            </w:pPr>
            <w:r>
              <w:rPr>
                <w:rFonts w:hint="default" w:ascii="Times New Roman" w:hAnsi="Times New Roman" w:eastAsia="宋体" w:cs="宋体"/>
                <w:color w:val="auto"/>
                <w:sz w:val="24"/>
                <w:szCs w:val="24"/>
                <w:highlight w:val="none"/>
                <w:u w:val="none"/>
              </w:rPr>
              <w:t>项目周边200m范围内</w:t>
            </w:r>
            <w:r>
              <w:rPr>
                <w:rFonts w:hint="eastAsia" w:ascii="Times New Roman" w:hAnsi="Times New Roman" w:eastAsia="宋体" w:cs="宋体"/>
                <w:color w:val="auto"/>
                <w:sz w:val="24"/>
                <w:szCs w:val="24"/>
                <w:highlight w:val="none"/>
                <w:u w:val="none"/>
                <w:lang w:eastAsia="zh-CN"/>
              </w:rPr>
              <w:t>最高</w:t>
            </w:r>
            <w:r>
              <w:rPr>
                <w:rFonts w:hint="default" w:ascii="Times New Roman" w:hAnsi="Times New Roman" w:eastAsia="宋体" w:cs="宋体"/>
                <w:color w:val="auto"/>
                <w:sz w:val="24"/>
                <w:szCs w:val="24"/>
                <w:highlight w:val="none"/>
                <w:u w:val="none"/>
              </w:rPr>
              <w:t>建筑物为</w:t>
            </w:r>
            <w:r>
              <w:rPr>
                <w:rFonts w:hint="default" w:ascii="Times New Roman" w:hAnsi="Times New Roman" w:eastAsia="宋体" w:cs="宋体"/>
                <w:color w:val="auto"/>
                <w:sz w:val="24"/>
                <w:szCs w:val="24"/>
                <w:highlight w:val="none"/>
                <w:u w:val="none"/>
                <w:lang w:val="en-US" w:eastAsia="zh-CN"/>
              </w:rPr>
              <w:t>拟建办公楼（</w:t>
            </w:r>
            <w:r>
              <w:rPr>
                <w:rFonts w:hint="eastAsia" w:ascii="Times New Roman" w:hAnsi="Times New Roman" w:eastAsia="宋体" w:cs="宋体"/>
                <w:color w:val="auto"/>
                <w:sz w:val="24"/>
                <w:szCs w:val="24"/>
                <w:highlight w:val="none"/>
                <w:u w:val="none"/>
                <w:lang w:val="en-US" w:eastAsia="zh-CN"/>
              </w:rPr>
              <w:t>5F</w:t>
            </w:r>
            <w:r>
              <w:rPr>
                <w:rFonts w:hint="default" w:ascii="Times New Roman" w:hAnsi="Times New Roman" w:eastAsia="宋体" w:cs="宋体"/>
                <w:color w:val="auto"/>
                <w:sz w:val="24"/>
                <w:szCs w:val="24"/>
                <w:highlight w:val="none"/>
                <w:u w:val="none"/>
                <w:lang w:val="en-US" w:eastAsia="zh-CN"/>
              </w:rPr>
              <w:t>，约22m）</w:t>
            </w:r>
            <w:r>
              <w:rPr>
                <w:rFonts w:hint="default" w:ascii="Times New Roman" w:hAnsi="Times New Roman" w:eastAsia="宋体" w:cs="宋体"/>
                <w:color w:val="auto"/>
                <w:sz w:val="24"/>
                <w:szCs w:val="24"/>
                <w:highlight w:val="none"/>
                <w:u w:val="none"/>
              </w:rPr>
              <w:t>，本项目</w:t>
            </w:r>
            <w:r>
              <w:rPr>
                <w:rFonts w:hint="eastAsia" w:ascii="Times New Roman" w:hAnsi="Times New Roman" w:eastAsia="宋体" w:cs="宋体"/>
                <w:color w:val="auto"/>
                <w:sz w:val="24"/>
                <w:szCs w:val="24"/>
                <w:highlight w:val="none"/>
                <w:u w:val="none"/>
                <w:lang w:eastAsia="zh-CN"/>
              </w:rPr>
              <w:t>酸雾废</w:t>
            </w:r>
            <w:r>
              <w:rPr>
                <w:rFonts w:hint="eastAsia" w:cs="宋体"/>
                <w:color w:val="auto"/>
                <w:sz w:val="24"/>
                <w:szCs w:val="24"/>
                <w:highlight w:val="none"/>
                <w:u w:val="none"/>
                <w:lang w:eastAsia="zh-CN"/>
              </w:rPr>
              <w:t>气</w:t>
            </w:r>
            <w:r>
              <w:rPr>
                <w:rFonts w:hint="default" w:ascii="Times New Roman" w:hAnsi="Times New Roman" w:eastAsia="宋体" w:cs="宋体"/>
                <w:color w:val="auto"/>
                <w:sz w:val="24"/>
                <w:szCs w:val="24"/>
                <w:highlight w:val="none"/>
                <w:u w:val="none"/>
              </w:rPr>
              <w:t>拟建</w:t>
            </w:r>
            <w:r>
              <w:rPr>
                <w:rFonts w:hint="default" w:ascii="Times New Roman" w:hAnsi="Times New Roman" w:eastAsia="宋体" w:cs="宋体"/>
                <w:color w:val="auto"/>
                <w:sz w:val="24"/>
                <w:szCs w:val="24"/>
                <w:highlight w:val="none"/>
                <w:u w:val="none"/>
                <w:lang w:val="en-US" w:eastAsia="zh-CN"/>
              </w:rPr>
              <w:t>排气筒高度设置为</w:t>
            </w:r>
            <w:r>
              <w:rPr>
                <w:rFonts w:hint="eastAsia" w:cs="宋体"/>
                <w:color w:val="auto"/>
                <w:sz w:val="24"/>
                <w:szCs w:val="24"/>
                <w:highlight w:val="none"/>
                <w:u w:val="none"/>
                <w:lang w:val="en-US" w:eastAsia="zh-CN"/>
              </w:rPr>
              <w:t>15</w:t>
            </w:r>
            <w:r>
              <w:rPr>
                <w:rFonts w:hint="default" w:ascii="Times New Roman" w:hAnsi="Times New Roman" w:eastAsia="宋体" w:cs="宋体"/>
                <w:color w:val="auto"/>
                <w:sz w:val="24"/>
                <w:szCs w:val="24"/>
                <w:highlight w:val="none"/>
                <w:u w:val="none"/>
                <w:lang w:val="en-US" w:eastAsia="zh-CN"/>
              </w:rPr>
              <w:t>m，</w:t>
            </w:r>
            <w:r>
              <w:rPr>
                <w:rFonts w:hint="eastAsia" w:ascii="Times New Roman" w:hAnsi="Times New Roman" w:eastAsia="宋体" w:cs="宋体"/>
                <w:color w:val="auto"/>
                <w:sz w:val="24"/>
                <w:szCs w:val="24"/>
                <w:highlight w:val="none"/>
                <w:u w:val="none"/>
                <w:lang w:val="en-US" w:eastAsia="zh-CN"/>
              </w:rPr>
              <w:t>低于</w:t>
            </w:r>
            <w:r>
              <w:rPr>
                <w:rFonts w:hint="default" w:ascii="Times New Roman" w:hAnsi="Times New Roman" w:eastAsia="宋体" w:cs="宋体"/>
                <w:color w:val="auto"/>
                <w:sz w:val="24"/>
                <w:szCs w:val="24"/>
                <w:highlight w:val="none"/>
                <w:u w:val="none"/>
              </w:rPr>
              <w:t>建筑物</w:t>
            </w:r>
            <w:r>
              <w:rPr>
                <w:rFonts w:hint="eastAsia" w:ascii="Times New Roman" w:hAnsi="Times New Roman" w:eastAsia="宋体" w:cs="宋体"/>
                <w:color w:val="auto"/>
                <w:sz w:val="24"/>
                <w:szCs w:val="24"/>
                <w:highlight w:val="none"/>
                <w:u w:val="none"/>
                <w:lang w:eastAsia="zh-CN"/>
              </w:rPr>
              <w:t>，</w:t>
            </w:r>
            <w:r>
              <w:rPr>
                <w:rFonts w:hint="eastAsia" w:ascii="Times New Roman" w:hAnsi="Times New Roman" w:eastAsia="宋体" w:cs="宋体"/>
                <w:color w:val="auto"/>
                <w:sz w:val="24"/>
                <w:szCs w:val="24"/>
                <w:highlight w:val="none"/>
                <w:u w:val="none"/>
                <w:lang w:val="en-US" w:eastAsia="zh-CN"/>
              </w:rPr>
              <w:t>按照排放限值严格50%执行</w:t>
            </w:r>
            <w:r>
              <w:rPr>
                <w:rFonts w:hint="default" w:ascii="Times New Roman" w:hAnsi="Times New Roman" w:eastAsia="宋体" w:cs="宋体"/>
                <w:color w:val="auto"/>
                <w:sz w:val="24"/>
                <w:szCs w:val="24"/>
                <w:highlight w:val="none"/>
                <w:u w:val="none"/>
              </w:rPr>
              <w:t>。</w:t>
            </w:r>
            <w:r>
              <w:rPr>
                <w:rFonts w:hint="eastAsia" w:ascii="Times New Roman" w:hAnsi="Times New Roman" w:eastAsia="宋体" w:cs="宋体"/>
                <w:color w:val="auto"/>
                <w:sz w:val="24"/>
                <w:szCs w:val="24"/>
                <w:highlight w:val="none"/>
                <w:u w:val="none"/>
                <w:lang w:eastAsia="zh-CN"/>
              </w:rPr>
              <w:t>粉尘拟建排气筒高度为</w:t>
            </w:r>
            <w:r>
              <w:rPr>
                <w:rFonts w:hint="eastAsia" w:ascii="Times New Roman" w:hAnsi="Times New Roman" w:eastAsia="宋体" w:cs="宋体"/>
                <w:color w:val="auto"/>
                <w:sz w:val="24"/>
                <w:szCs w:val="24"/>
                <w:highlight w:val="none"/>
                <w:u w:val="none"/>
                <w:lang w:val="en-US" w:eastAsia="zh-CN"/>
              </w:rPr>
              <w:t>15m，低于</w:t>
            </w:r>
            <w:r>
              <w:rPr>
                <w:rFonts w:hint="default" w:ascii="Times New Roman" w:hAnsi="Times New Roman" w:eastAsia="宋体" w:cs="宋体"/>
                <w:color w:val="auto"/>
                <w:sz w:val="24"/>
                <w:szCs w:val="24"/>
                <w:highlight w:val="none"/>
                <w:u w:val="none"/>
              </w:rPr>
              <w:t>建筑物</w:t>
            </w:r>
            <w:r>
              <w:rPr>
                <w:rFonts w:hint="eastAsia" w:ascii="Times New Roman" w:hAnsi="Times New Roman" w:eastAsia="宋体" w:cs="宋体"/>
                <w:color w:val="auto"/>
                <w:sz w:val="24"/>
                <w:szCs w:val="24"/>
                <w:highlight w:val="none"/>
                <w:u w:val="none"/>
                <w:lang w:eastAsia="zh-CN"/>
              </w:rPr>
              <w:t>，</w:t>
            </w:r>
            <w:r>
              <w:rPr>
                <w:rFonts w:hint="eastAsia" w:ascii="Times New Roman" w:hAnsi="Times New Roman" w:eastAsia="宋体" w:cs="宋体"/>
                <w:color w:val="auto"/>
                <w:sz w:val="24"/>
                <w:szCs w:val="24"/>
                <w:highlight w:val="none"/>
                <w:u w:val="none"/>
                <w:lang w:val="en-US" w:eastAsia="zh-CN"/>
              </w:rPr>
              <w:t>按照排放限值严格50%执行。</w:t>
            </w:r>
          </w:p>
          <w:p>
            <w:pPr>
              <w:pStyle w:val="59"/>
              <w:bidi w:val="0"/>
              <w:rPr>
                <w:rFonts w:hint="eastAsia"/>
                <w:color w:val="auto"/>
                <w:sz w:val="24"/>
                <w:szCs w:val="24"/>
                <w:u w:val="single"/>
                <w:lang w:val="en-US" w:eastAsia="zh-CN"/>
              </w:rPr>
            </w:pPr>
            <w:r>
              <w:rPr>
                <w:rFonts w:hint="eastAsia"/>
                <w:color w:val="auto"/>
                <w:sz w:val="24"/>
                <w:szCs w:val="24"/>
                <w:u w:val="single"/>
                <w:lang w:val="en-US" w:eastAsia="zh-CN"/>
              </w:rPr>
              <w:t>（5）排气筒等效分析</w:t>
            </w:r>
          </w:p>
          <w:p>
            <w:pPr>
              <w:pStyle w:val="59"/>
              <w:bidi w:val="0"/>
              <w:rPr>
                <w:rFonts w:hint="default"/>
                <w:b w:val="0"/>
                <w:bCs w:val="0"/>
                <w:color w:val="auto"/>
                <w:sz w:val="24"/>
                <w:szCs w:val="24"/>
                <w:u w:val="single"/>
                <w:lang w:val="en-US" w:eastAsia="zh-CN"/>
              </w:rPr>
            </w:pPr>
            <w:r>
              <w:rPr>
                <w:rFonts w:hint="eastAsia"/>
                <w:b w:val="0"/>
                <w:bCs w:val="0"/>
                <w:color w:val="auto"/>
                <w:sz w:val="24"/>
                <w:szCs w:val="24"/>
                <w:u w:val="single"/>
                <w:lang w:val="en-US" w:eastAsia="zh-CN"/>
              </w:rPr>
              <w:t>根据本项目各排气筒排放情况及排气筒布局情况可知，现有排气筒DA001~DA004与本项目DA007排气筒排放的污染物均为硫酸雾，本项目DA007排气筒与DA001~DA004现有排气筒距离约80m，大于两排气筒高度之和（30m），因此本项目排气筒不需要等效。</w:t>
            </w:r>
          </w:p>
          <w:p>
            <w:pPr>
              <w:pStyle w:val="59"/>
              <w:bidi w:val="0"/>
              <w:rPr>
                <w:color w:val="auto"/>
                <w:sz w:val="24"/>
                <w:szCs w:val="24"/>
                <w:u w:val="none"/>
              </w:rPr>
            </w:pPr>
            <w:r>
              <w:rPr>
                <w:rFonts w:hint="eastAsia"/>
                <w:color w:val="auto"/>
                <w:sz w:val="24"/>
                <w:szCs w:val="24"/>
                <w:u w:val="none"/>
                <w:lang w:val="en-US" w:eastAsia="zh-CN"/>
              </w:rPr>
              <w:t>4.1.5</w:t>
            </w:r>
            <w:r>
              <w:rPr>
                <w:color w:val="auto"/>
                <w:sz w:val="24"/>
                <w:szCs w:val="24"/>
                <w:u w:val="none"/>
              </w:rPr>
              <w:t>非正常工况大气环境影响分析</w:t>
            </w:r>
          </w:p>
          <w:p>
            <w:pPr>
              <w:pStyle w:val="62"/>
              <w:bidi w:val="0"/>
              <w:rPr>
                <w:color w:val="auto"/>
                <w:sz w:val="24"/>
                <w:szCs w:val="24"/>
                <w:u w:val="none"/>
              </w:rPr>
            </w:pPr>
            <w:r>
              <w:rPr>
                <w:color w:val="auto"/>
                <w:sz w:val="24"/>
                <w:szCs w:val="24"/>
                <w:u w:val="none"/>
              </w:rPr>
              <w:t>项目非正常工况废气排放分析及防范措施具体如下：</w:t>
            </w:r>
          </w:p>
          <w:p>
            <w:pPr>
              <w:pStyle w:val="62"/>
              <w:bidi w:val="0"/>
              <w:rPr>
                <w:color w:val="auto"/>
                <w:sz w:val="24"/>
                <w:szCs w:val="24"/>
                <w:u w:val="none"/>
              </w:rPr>
            </w:pPr>
            <w:r>
              <w:rPr>
                <w:rFonts w:hint="eastAsia"/>
                <w:color w:val="auto"/>
                <w:sz w:val="24"/>
                <w:szCs w:val="24"/>
                <w:u w:val="none"/>
              </w:rPr>
              <w:t>（</w:t>
            </w:r>
            <w:r>
              <w:rPr>
                <w:color w:val="auto"/>
                <w:sz w:val="24"/>
                <w:szCs w:val="24"/>
                <w:u w:val="none"/>
              </w:rPr>
              <w:t>1）非正常工况源强分析</w:t>
            </w:r>
          </w:p>
          <w:p>
            <w:pPr>
              <w:pStyle w:val="62"/>
              <w:bidi w:val="0"/>
              <w:rPr>
                <w:color w:val="auto"/>
                <w:sz w:val="24"/>
                <w:szCs w:val="24"/>
                <w:u w:val="none"/>
              </w:rPr>
            </w:pPr>
            <w:r>
              <w:rPr>
                <w:color w:val="auto"/>
                <w:sz w:val="24"/>
                <w:szCs w:val="24"/>
                <w:u w:val="none"/>
              </w:rPr>
              <w:t>非正常工况一般包括开</w:t>
            </w:r>
            <w:r>
              <w:rPr>
                <w:rFonts w:hint="eastAsia"/>
                <w:color w:val="auto"/>
                <w:sz w:val="24"/>
                <w:szCs w:val="24"/>
                <w:u w:val="none"/>
              </w:rPr>
              <w:t>关</w:t>
            </w:r>
            <w:r>
              <w:rPr>
                <w:color w:val="auto"/>
                <w:sz w:val="24"/>
                <w:szCs w:val="24"/>
                <w:u w:val="none"/>
              </w:rPr>
              <w:t>、检修、环保设施不达标三种情况。</w:t>
            </w:r>
          </w:p>
          <w:p>
            <w:pPr>
              <w:pStyle w:val="62"/>
              <w:bidi w:val="0"/>
              <w:rPr>
                <w:color w:val="auto"/>
                <w:sz w:val="32"/>
                <w:szCs w:val="32"/>
                <w:u w:val="none"/>
              </w:rPr>
            </w:pPr>
            <w:r>
              <w:rPr>
                <w:color w:val="auto"/>
                <w:sz w:val="24"/>
                <w:szCs w:val="24"/>
                <w:u w:val="none"/>
              </w:rPr>
              <w:t>项目各产生废气的设备在</w:t>
            </w:r>
            <w:r>
              <w:rPr>
                <w:rFonts w:hint="eastAsia"/>
                <w:color w:val="auto"/>
                <w:sz w:val="24"/>
                <w:szCs w:val="24"/>
                <w:u w:val="none"/>
              </w:rPr>
              <w:t>开启</w:t>
            </w:r>
            <w:r>
              <w:rPr>
                <w:color w:val="auto"/>
                <w:sz w:val="24"/>
                <w:szCs w:val="24"/>
                <w:u w:val="none"/>
              </w:rPr>
              <w:t>时，首先运行所有的废气处理装置，然后进行生产作业，使生产中的废气都能得到及时处理。</w:t>
            </w:r>
            <w:r>
              <w:rPr>
                <w:rFonts w:hint="eastAsia"/>
                <w:color w:val="auto"/>
                <w:sz w:val="24"/>
                <w:szCs w:val="24"/>
                <w:u w:val="none"/>
              </w:rPr>
              <w:t>关闭</w:t>
            </w:r>
            <w:r>
              <w:rPr>
                <w:color w:val="auto"/>
                <w:sz w:val="24"/>
                <w:szCs w:val="24"/>
                <w:u w:val="none"/>
              </w:rPr>
              <w:t>时，所有废气处理装置继续运转，待工艺中的废气完全排出后再关闭。设备检修以及突发性故障（如，区域性停电时的</w:t>
            </w:r>
            <w:r>
              <w:rPr>
                <w:rFonts w:hint="eastAsia"/>
                <w:color w:val="auto"/>
                <w:sz w:val="24"/>
                <w:szCs w:val="24"/>
                <w:u w:val="none"/>
              </w:rPr>
              <w:t>关停</w:t>
            </w:r>
            <w:r>
              <w:rPr>
                <w:color w:val="auto"/>
                <w:sz w:val="24"/>
                <w:szCs w:val="24"/>
                <w:u w:val="none"/>
              </w:rPr>
              <w:t>），企业会事先安排好设备正常</w:t>
            </w:r>
            <w:r>
              <w:rPr>
                <w:rFonts w:hint="eastAsia"/>
                <w:color w:val="auto"/>
                <w:sz w:val="24"/>
                <w:szCs w:val="24"/>
                <w:u w:val="none"/>
              </w:rPr>
              <w:t>关闭</w:t>
            </w:r>
            <w:r>
              <w:rPr>
                <w:color w:val="auto"/>
                <w:sz w:val="24"/>
                <w:szCs w:val="24"/>
                <w:u w:val="none"/>
              </w:rPr>
              <w:t>，停止生产。项目在开、</w:t>
            </w:r>
            <w:r>
              <w:rPr>
                <w:rFonts w:hint="eastAsia"/>
                <w:color w:val="auto"/>
                <w:sz w:val="24"/>
                <w:szCs w:val="24"/>
                <w:u w:val="none"/>
              </w:rPr>
              <w:t>关</w:t>
            </w:r>
            <w:r>
              <w:rPr>
                <w:color w:val="auto"/>
                <w:sz w:val="24"/>
                <w:szCs w:val="24"/>
                <w:u w:val="none"/>
              </w:rPr>
              <w:t>时排出污染物均可得到有效处理，排出的污染物和正常生产时的情况基本一致。因此，非正常工况考虑废气环保设施运行不正常的情况，本报告按最不利的情况考虑，即废气处理装置完全失效，处理效率下降至0%。项目非正常工况为</w:t>
            </w:r>
            <w:r>
              <w:rPr>
                <w:rFonts w:hint="eastAsia"/>
                <w:color w:val="auto"/>
                <w:sz w:val="24"/>
                <w:szCs w:val="24"/>
                <w:u w:val="none"/>
                <w:lang w:val="en-US" w:eastAsia="zh-CN"/>
              </w:rPr>
              <w:t>环保设施</w:t>
            </w:r>
            <w:r>
              <w:rPr>
                <w:color w:val="auto"/>
                <w:sz w:val="24"/>
                <w:szCs w:val="24"/>
                <w:u w:val="none"/>
              </w:rPr>
              <w:t>发生故障。</w:t>
            </w:r>
          </w:p>
          <w:p>
            <w:pPr>
              <w:pStyle w:val="25"/>
              <w:spacing w:before="0" w:beforeAutospacing="0" w:after="0" w:afterAutospacing="0"/>
              <w:jc w:val="center"/>
              <w:rPr>
                <w:rFonts w:hint="eastAsia" w:ascii="Times New Roman" w:hAnsi="Times New Roman"/>
                <w:b/>
                <w:color w:val="auto"/>
                <w:kern w:val="2"/>
                <w:sz w:val="24"/>
                <w:szCs w:val="24"/>
                <w:u w:val="none"/>
                <w:lang w:val="en-US" w:eastAsia="zh-CN" w:bidi="ar"/>
              </w:rPr>
            </w:pPr>
            <w:bookmarkStart w:id="67" w:name="_Ref42799371"/>
            <w:r>
              <w:rPr>
                <w:rFonts w:hint="eastAsia" w:ascii="Times New Roman" w:hAnsi="Times New Roman"/>
                <w:b/>
                <w:color w:val="auto"/>
                <w:kern w:val="2"/>
                <w:sz w:val="24"/>
                <w:szCs w:val="24"/>
                <w:u w:val="none"/>
                <w:lang w:val="en-US" w:eastAsia="zh-CN" w:bidi="ar"/>
              </w:rPr>
              <w:t>表</w:t>
            </w:r>
            <w:bookmarkEnd w:id="67"/>
            <w:r>
              <w:rPr>
                <w:rFonts w:hint="eastAsia" w:ascii="Times New Roman" w:hAnsi="Times New Roman"/>
                <w:b/>
                <w:color w:val="auto"/>
                <w:kern w:val="2"/>
                <w:sz w:val="24"/>
                <w:szCs w:val="24"/>
                <w:u w:val="none"/>
                <w:lang w:val="en-US" w:eastAsia="zh-CN" w:bidi="ar"/>
              </w:rPr>
              <w:t>4.1-13废气事故排放情况</w:t>
            </w:r>
          </w:p>
          <w:tbl>
            <w:tblPr>
              <w:tblStyle w:val="30"/>
              <w:tblW w:w="7946"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270"/>
              <w:gridCol w:w="1350"/>
              <w:gridCol w:w="881"/>
              <w:gridCol w:w="894"/>
              <w:gridCol w:w="150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none"/>
                      <w:lang w:eastAsia="zh-CN"/>
                    </w:rPr>
                  </w:pPr>
                  <w:r>
                    <w:rPr>
                      <w:rFonts w:hint="eastAsia" w:ascii="Times New Roman" w:hAnsi="Times New Roman" w:eastAsia="宋体" w:cs="Times New Roman"/>
                      <w:b/>
                      <w:bCs w:val="0"/>
                      <w:color w:val="auto"/>
                      <w:u w:val="none"/>
                      <w:lang w:eastAsia="zh-CN"/>
                    </w:rPr>
                    <w:t>污染源</w:t>
                  </w:r>
                </w:p>
              </w:tc>
              <w:tc>
                <w:tcPr>
                  <w:tcW w:w="127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none"/>
                      <w:lang w:eastAsia="zh-CN"/>
                    </w:rPr>
                  </w:pPr>
                  <w:r>
                    <w:rPr>
                      <w:rFonts w:hint="eastAsia" w:ascii="Times New Roman" w:hAnsi="Times New Roman" w:eastAsia="宋体" w:cs="Times New Roman"/>
                      <w:b/>
                      <w:bCs w:val="0"/>
                      <w:color w:val="auto"/>
                      <w:u w:val="none"/>
                      <w:lang w:eastAsia="zh-CN"/>
                    </w:rPr>
                    <w:t>污染物</w:t>
                  </w:r>
                </w:p>
              </w:tc>
              <w:tc>
                <w:tcPr>
                  <w:tcW w:w="135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u w:val="none"/>
                      <w:lang w:val="en-US" w:eastAsia="zh-CN"/>
                    </w:rPr>
                  </w:pPr>
                  <w:r>
                    <w:rPr>
                      <w:rFonts w:hint="eastAsia" w:ascii="Times New Roman" w:hAnsi="Times New Roman" w:eastAsia="宋体" w:cs="Times New Roman"/>
                      <w:b/>
                      <w:bCs w:val="0"/>
                      <w:color w:val="auto"/>
                      <w:u w:val="none"/>
                      <w:lang w:eastAsia="zh-CN"/>
                    </w:rPr>
                    <w:t>非正常排放速率</w:t>
                  </w:r>
                  <w:r>
                    <w:rPr>
                      <w:rFonts w:hint="eastAsia" w:ascii="Times New Roman" w:hAnsi="Times New Roman" w:eastAsia="宋体" w:cs="Times New Roman"/>
                      <w:b/>
                      <w:bCs w:val="0"/>
                      <w:color w:val="auto"/>
                      <w:u w:val="none"/>
                      <w:lang w:val="en-US" w:eastAsia="zh-CN"/>
                    </w:rPr>
                    <w:t>kg/h</w:t>
                  </w:r>
                </w:p>
              </w:tc>
              <w:tc>
                <w:tcPr>
                  <w:tcW w:w="881"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none"/>
                      <w:lang w:eastAsia="zh-CN"/>
                    </w:rPr>
                  </w:pPr>
                  <w:r>
                    <w:rPr>
                      <w:rFonts w:hint="eastAsia" w:ascii="Times New Roman" w:hAnsi="Times New Roman" w:eastAsia="宋体" w:cs="Times New Roman"/>
                      <w:b/>
                      <w:bCs w:val="0"/>
                      <w:color w:val="auto"/>
                      <w:u w:val="none"/>
                      <w:lang w:eastAsia="zh-CN"/>
                    </w:rPr>
                    <w:t>单次持续时间</w:t>
                  </w:r>
                </w:p>
              </w:tc>
              <w:tc>
                <w:tcPr>
                  <w:tcW w:w="894"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none"/>
                      <w:lang w:eastAsia="zh-CN"/>
                    </w:rPr>
                  </w:pPr>
                  <w:r>
                    <w:rPr>
                      <w:rFonts w:hint="eastAsia" w:ascii="Times New Roman" w:hAnsi="Times New Roman" w:eastAsia="宋体" w:cs="Times New Roman"/>
                      <w:b/>
                      <w:bCs w:val="0"/>
                      <w:color w:val="auto"/>
                      <w:u w:val="none"/>
                      <w:lang w:eastAsia="zh-CN"/>
                    </w:rPr>
                    <w:t>年发生频次</w:t>
                  </w:r>
                </w:p>
              </w:tc>
              <w:tc>
                <w:tcPr>
                  <w:tcW w:w="150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none"/>
                      <w:lang w:eastAsia="zh-CN"/>
                    </w:rPr>
                  </w:pPr>
                  <w:r>
                    <w:rPr>
                      <w:rFonts w:hint="eastAsia" w:ascii="Times New Roman" w:hAnsi="Times New Roman" w:eastAsia="宋体" w:cs="Times New Roman"/>
                      <w:b/>
                      <w:bCs w:val="0"/>
                      <w:color w:val="auto"/>
                      <w:u w:val="none"/>
                      <w:lang w:eastAsia="zh-CN"/>
                    </w:rPr>
                    <w:t>非正常排放原因</w:t>
                  </w:r>
                </w:p>
              </w:tc>
              <w:tc>
                <w:tcPr>
                  <w:tcW w:w="1266"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u w:val="none"/>
                      <w:lang w:eastAsia="zh-CN"/>
                    </w:rPr>
                  </w:pPr>
                  <w:r>
                    <w:rPr>
                      <w:rFonts w:hint="eastAsia" w:ascii="Times New Roman" w:hAnsi="Times New Roman" w:eastAsia="宋体" w:cs="Times New Roman"/>
                      <w:b/>
                      <w:bCs w:val="0"/>
                      <w:color w:val="auto"/>
                      <w:u w:val="none"/>
                      <w:lang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酸雾废气</w:t>
                  </w:r>
                </w:p>
              </w:tc>
              <w:tc>
                <w:tcPr>
                  <w:tcW w:w="127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酸雾</w:t>
                  </w:r>
                </w:p>
              </w:tc>
              <w:tc>
                <w:tcPr>
                  <w:tcW w:w="1350" w:type="dxa"/>
                  <w:noWrap w:val="0"/>
                  <w:vAlign w:val="center"/>
                </w:tcPr>
                <w:p>
                  <w:pPr>
                    <w:pStyle w:val="55"/>
                    <w:bidi w:val="0"/>
                    <w:spacing w:line="240" w:lineRule="auto"/>
                    <w:rPr>
                      <w:rFonts w:hint="default" w:ascii="Times New Roman" w:hAnsi="Times New Roman" w:eastAsia="宋体" w:cs="Times New Roman"/>
                      <w:color w:val="auto"/>
                      <w:highlight w:val="none"/>
                      <w:u w:val="single"/>
                      <w:lang w:val="en-US" w:eastAsia="zh-CN"/>
                    </w:rPr>
                  </w:pPr>
                  <w:r>
                    <w:rPr>
                      <w:rFonts w:hint="eastAsia"/>
                      <w:color w:val="auto"/>
                      <w:highlight w:val="none"/>
                      <w:u w:val="single"/>
                      <w:lang w:val="en-US" w:eastAsia="zh-CN"/>
                    </w:rPr>
                    <w:t>0.207</w:t>
                  </w:r>
                </w:p>
              </w:tc>
              <w:tc>
                <w:tcPr>
                  <w:tcW w:w="881" w:type="dxa"/>
                  <w:vMerge w:val="restart"/>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lang w:val="en-US" w:eastAsia="zh-CN"/>
                    </w:rPr>
                    <w:t>1h</w:t>
                  </w:r>
                </w:p>
              </w:tc>
              <w:tc>
                <w:tcPr>
                  <w:tcW w:w="894" w:type="dxa"/>
                  <w:vMerge w:val="restart"/>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w:t>
                  </w:r>
                  <w:r>
                    <w:rPr>
                      <w:rFonts w:hint="eastAsia" w:ascii="Times New Roman" w:hAnsi="Times New Roman" w:eastAsia="宋体" w:cs="Times New Roman"/>
                      <w:color w:val="auto"/>
                      <w:u w:val="none"/>
                      <w:lang w:val="en-US" w:eastAsia="zh-CN"/>
                    </w:rPr>
                    <w:t>1次</w:t>
                  </w:r>
                </w:p>
              </w:tc>
              <w:tc>
                <w:tcPr>
                  <w:tcW w:w="150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u w:val="none"/>
                      <w:lang w:eastAsia="zh-CN"/>
                    </w:rPr>
                  </w:pPr>
                  <w:r>
                    <w:rPr>
                      <w:rFonts w:hint="eastAsia" w:cs="Times New Roman"/>
                      <w:color w:val="auto"/>
                      <w:u w:val="none"/>
                      <w:lang w:eastAsia="zh-CN"/>
                    </w:rPr>
                    <w:t>碱喷淋处理设施故障</w:t>
                  </w:r>
                </w:p>
              </w:tc>
              <w:tc>
                <w:tcPr>
                  <w:tcW w:w="1266" w:type="dxa"/>
                  <w:vMerge w:val="restart"/>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专人负责，定期检查；发现故障立即停产检修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u w:val="none"/>
                      <w:lang w:eastAsia="zh-CN"/>
                    </w:rPr>
                  </w:pPr>
                  <w:r>
                    <w:rPr>
                      <w:rFonts w:hint="eastAsia"/>
                      <w:color w:val="auto"/>
                      <w:u w:val="none"/>
                      <w:lang w:eastAsia="zh-CN"/>
                    </w:rPr>
                    <w:t>配粉粉尘</w:t>
                  </w:r>
                </w:p>
              </w:tc>
              <w:tc>
                <w:tcPr>
                  <w:tcW w:w="127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颗粒物</w:t>
                  </w:r>
                </w:p>
              </w:tc>
              <w:tc>
                <w:tcPr>
                  <w:tcW w:w="1350" w:type="dxa"/>
                  <w:noWrap w:val="0"/>
                  <w:vAlign w:val="center"/>
                </w:tcPr>
                <w:p>
                  <w:pPr>
                    <w:pStyle w:val="55"/>
                    <w:bidi w:val="0"/>
                    <w:spacing w:line="240" w:lineRule="auto"/>
                    <w:rPr>
                      <w:rFonts w:hint="default" w:ascii="Times New Roman" w:hAnsi="Times New Roman" w:eastAsia="宋体" w:cs="Times New Roman"/>
                      <w:color w:val="auto"/>
                      <w:highlight w:val="none"/>
                      <w:u w:val="single"/>
                      <w:lang w:val="en-US" w:eastAsia="zh-CN"/>
                    </w:rPr>
                  </w:pPr>
                  <w:r>
                    <w:rPr>
                      <w:rFonts w:hint="eastAsia"/>
                      <w:color w:val="auto"/>
                      <w:highlight w:val="none"/>
                      <w:u w:val="single"/>
                      <w:lang w:val="en-US" w:eastAsia="zh-CN"/>
                    </w:rPr>
                    <w:t>1.380</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r>
                    <w:rPr>
                      <w:rFonts w:hint="eastAsia" w:eastAsia="宋体" w:cs="Times New Roman"/>
                      <w:color w:val="auto"/>
                      <w:u w:val="none"/>
                      <w:lang w:val="en-US" w:eastAsia="zh-CN"/>
                    </w:rPr>
                    <w:t>布袋处理</w:t>
                  </w:r>
                  <w:r>
                    <w:rPr>
                      <w:rFonts w:hint="eastAsia" w:ascii="Times New Roman" w:hAnsi="Times New Roman" w:eastAsia="宋体" w:cs="Times New Roman"/>
                      <w:color w:val="auto"/>
                      <w:u w:val="none"/>
                      <w:lang w:eastAsia="zh-CN"/>
                    </w:rPr>
                    <w:t>设备故障</w:t>
                  </w: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vMerge w:val="restart"/>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u w:val="none"/>
                      <w:lang w:eastAsia="zh-CN"/>
                    </w:rPr>
                  </w:pPr>
                  <w:r>
                    <w:rPr>
                      <w:rFonts w:hint="eastAsia"/>
                      <w:color w:val="auto"/>
                      <w:u w:val="none"/>
                      <w:lang w:eastAsia="zh-CN"/>
                    </w:rPr>
                    <w:t>注塑废气</w:t>
                  </w:r>
                </w:p>
              </w:tc>
              <w:tc>
                <w:tcPr>
                  <w:tcW w:w="1270" w:type="dxa"/>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u w:val="none"/>
                      <w:lang w:val="en-US" w:eastAsia="zh-CN"/>
                    </w:rPr>
                  </w:pPr>
                  <w:r>
                    <w:rPr>
                      <w:rFonts w:hint="eastAsia" w:cs="Times New Roman"/>
                      <w:color w:val="auto"/>
                      <w:u w:val="none"/>
                      <w:lang w:val="en-US" w:eastAsia="zh-CN"/>
                    </w:rPr>
                    <w:t>非甲烷总烃</w:t>
                  </w:r>
                </w:p>
              </w:tc>
              <w:tc>
                <w:tcPr>
                  <w:tcW w:w="1350" w:type="dxa"/>
                  <w:noWrap w:val="0"/>
                  <w:vAlign w:val="center"/>
                </w:tcPr>
                <w:p>
                  <w:pPr>
                    <w:pStyle w:val="55"/>
                    <w:bidi w:val="0"/>
                    <w:spacing w:line="240" w:lineRule="auto"/>
                    <w:rPr>
                      <w:rFonts w:hint="default"/>
                      <w:color w:val="auto"/>
                      <w:highlight w:val="none"/>
                      <w:u w:val="none"/>
                      <w:lang w:val="en-US" w:eastAsia="zh-CN"/>
                    </w:rPr>
                  </w:pPr>
                  <w:r>
                    <w:rPr>
                      <w:rFonts w:hint="eastAsia"/>
                      <w:color w:val="auto"/>
                      <w:highlight w:val="none"/>
                      <w:u w:val="none"/>
                      <w:lang w:val="en-US" w:eastAsia="zh-CN"/>
                    </w:rPr>
                    <w:t>0.455</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vMerge w:val="restart"/>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u w:val="none"/>
                      <w:lang w:val="en-US" w:eastAsia="zh-CN"/>
                    </w:rPr>
                  </w:pPr>
                  <w:r>
                    <w:rPr>
                      <w:rFonts w:hint="eastAsia" w:cs="Times New Roman"/>
                      <w:color w:val="auto"/>
                      <w:u w:val="none"/>
                      <w:lang w:val="en-US" w:eastAsia="zh-CN"/>
                    </w:rPr>
                    <w:t>两级活性炭吸附处理设施故障</w:t>
                  </w: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u w:val="none"/>
                      <w:lang w:eastAsia="zh-CN"/>
                    </w:rPr>
                  </w:pPr>
                </w:p>
              </w:tc>
              <w:tc>
                <w:tcPr>
                  <w:tcW w:w="1270" w:type="dxa"/>
                  <w:noWrap w:val="0"/>
                  <w:vAlign w:val="center"/>
                </w:tcPr>
                <w:p>
                  <w:pPr>
                    <w:adjustRightInd w:val="0"/>
                    <w:snapToGrid w:val="0"/>
                    <w:jc w:val="center"/>
                    <w:rPr>
                      <w:rFonts w:hint="eastAsia" w:cs="Times New Roman"/>
                      <w:color w:val="auto"/>
                      <w:u w:val="none"/>
                      <w:lang w:val="en-US" w:eastAsia="zh-CN"/>
                    </w:rPr>
                  </w:pPr>
                  <w:r>
                    <w:rPr>
                      <w:rFonts w:hint="eastAsia" w:cs="Times New Roman"/>
                      <w:color w:val="auto"/>
                      <w:szCs w:val="21"/>
                      <w:highlight w:val="none"/>
                      <w:u w:val="none"/>
                      <w:lang w:val="en-US" w:eastAsia="zh-CN"/>
                    </w:rPr>
                    <w:t>苯</w:t>
                  </w:r>
                </w:p>
              </w:tc>
              <w:tc>
                <w:tcPr>
                  <w:tcW w:w="1350" w:type="dxa"/>
                  <w:noWrap w:val="0"/>
                  <w:vAlign w:val="center"/>
                </w:tcPr>
                <w:p>
                  <w:pPr>
                    <w:keepNext w:val="0"/>
                    <w:keepLines w:val="0"/>
                    <w:widowControl/>
                    <w:suppressLineNumbers w:val="0"/>
                    <w:jc w:val="center"/>
                    <w:textAlignment w:val="center"/>
                    <w:rPr>
                      <w:rFonts w:hint="eastAsia"/>
                      <w:color w:val="auto"/>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0.094</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u w:val="none"/>
                      <w:lang w:val="en-US" w:eastAsia="zh-CN"/>
                    </w:rPr>
                  </w:pP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u w:val="none"/>
                      <w:lang w:eastAsia="zh-CN"/>
                    </w:rPr>
                  </w:pPr>
                </w:p>
              </w:tc>
              <w:tc>
                <w:tcPr>
                  <w:tcW w:w="1270" w:type="dxa"/>
                  <w:noWrap w:val="0"/>
                  <w:vAlign w:val="center"/>
                </w:tcPr>
                <w:p>
                  <w:pPr>
                    <w:adjustRightInd w:val="0"/>
                    <w:snapToGrid w:val="0"/>
                    <w:jc w:val="center"/>
                    <w:rPr>
                      <w:rFonts w:hint="eastAsia" w:cs="Times New Roman"/>
                      <w:color w:val="auto"/>
                      <w:u w:val="none"/>
                      <w:lang w:val="en-US" w:eastAsia="zh-CN"/>
                    </w:rPr>
                  </w:pPr>
                  <w:r>
                    <w:rPr>
                      <w:rFonts w:hint="eastAsia" w:cs="Times New Roman"/>
                      <w:color w:val="auto"/>
                      <w:szCs w:val="21"/>
                      <w:highlight w:val="none"/>
                      <w:u w:val="none"/>
                      <w:lang w:val="en-US" w:eastAsia="zh-CN"/>
                    </w:rPr>
                    <w:t>甲苯</w:t>
                  </w:r>
                </w:p>
              </w:tc>
              <w:tc>
                <w:tcPr>
                  <w:tcW w:w="1350" w:type="dxa"/>
                  <w:noWrap w:val="0"/>
                  <w:vAlign w:val="center"/>
                </w:tcPr>
                <w:p>
                  <w:pPr>
                    <w:keepNext w:val="0"/>
                    <w:keepLines w:val="0"/>
                    <w:widowControl/>
                    <w:suppressLineNumbers w:val="0"/>
                    <w:jc w:val="center"/>
                    <w:textAlignment w:val="center"/>
                    <w:rPr>
                      <w:rFonts w:hint="eastAsia"/>
                      <w:color w:val="auto"/>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u w:val="none"/>
                      <w:lang w:val="en-US" w:eastAsia="zh-CN"/>
                    </w:rPr>
                  </w:pP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u w:val="none"/>
                      <w:lang w:eastAsia="zh-CN"/>
                    </w:rPr>
                  </w:pPr>
                </w:p>
              </w:tc>
              <w:tc>
                <w:tcPr>
                  <w:tcW w:w="1270" w:type="dxa"/>
                  <w:noWrap w:val="0"/>
                  <w:vAlign w:val="center"/>
                </w:tcPr>
                <w:p>
                  <w:pPr>
                    <w:adjustRightInd w:val="0"/>
                    <w:snapToGrid w:val="0"/>
                    <w:jc w:val="center"/>
                    <w:rPr>
                      <w:rFonts w:hint="eastAsia" w:cs="Times New Roman"/>
                      <w:color w:val="auto"/>
                      <w:u w:val="none"/>
                      <w:lang w:val="en-US" w:eastAsia="zh-CN"/>
                    </w:rPr>
                  </w:pPr>
                  <w:r>
                    <w:rPr>
                      <w:rFonts w:hint="eastAsia" w:cs="Times New Roman"/>
                      <w:color w:val="auto"/>
                      <w:szCs w:val="21"/>
                      <w:highlight w:val="none"/>
                      <w:u w:val="none"/>
                      <w:lang w:val="en-US" w:eastAsia="zh-CN"/>
                    </w:rPr>
                    <w:t>二甲苯</w:t>
                  </w:r>
                </w:p>
              </w:tc>
              <w:tc>
                <w:tcPr>
                  <w:tcW w:w="1350" w:type="dxa"/>
                  <w:noWrap w:val="0"/>
                  <w:vAlign w:val="center"/>
                </w:tcPr>
                <w:p>
                  <w:pPr>
                    <w:keepNext w:val="0"/>
                    <w:keepLines w:val="0"/>
                    <w:widowControl/>
                    <w:suppressLineNumbers w:val="0"/>
                    <w:jc w:val="center"/>
                    <w:textAlignment w:val="center"/>
                    <w:rPr>
                      <w:rFonts w:hint="eastAsia"/>
                      <w:color w:val="auto"/>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0.279</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u w:val="none"/>
                      <w:lang w:val="en-US" w:eastAsia="zh-CN"/>
                    </w:rPr>
                  </w:pP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u w:val="none"/>
                      <w:lang w:eastAsia="zh-CN"/>
                    </w:rPr>
                  </w:pPr>
                </w:p>
              </w:tc>
              <w:tc>
                <w:tcPr>
                  <w:tcW w:w="1270" w:type="dxa"/>
                  <w:noWrap w:val="0"/>
                  <w:vAlign w:val="center"/>
                </w:tcPr>
                <w:p>
                  <w:pPr>
                    <w:adjustRightInd w:val="0"/>
                    <w:snapToGrid w:val="0"/>
                    <w:jc w:val="center"/>
                    <w:rPr>
                      <w:rFonts w:hint="eastAsia" w:cs="Times New Roman"/>
                      <w:color w:val="auto"/>
                      <w:u w:val="none"/>
                      <w:lang w:val="en-US" w:eastAsia="zh-CN"/>
                    </w:rPr>
                  </w:pPr>
                  <w:r>
                    <w:rPr>
                      <w:rFonts w:hint="eastAsia" w:cs="Times New Roman"/>
                      <w:color w:val="auto"/>
                      <w:szCs w:val="21"/>
                      <w:highlight w:val="none"/>
                      <w:u w:val="none"/>
                      <w:lang w:val="en-US" w:eastAsia="zh-CN"/>
                    </w:rPr>
                    <w:t>乙苯</w:t>
                  </w:r>
                </w:p>
              </w:tc>
              <w:tc>
                <w:tcPr>
                  <w:tcW w:w="1350" w:type="dxa"/>
                  <w:noWrap w:val="0"/>
                  <w:vAlign w:val="center"/>
                </w:tcPr>
                <w:p>
                  <w:pPr>
                    <w:keepNext w:val="0"/>
                    <w:keepLines w:val="0"/>
                    <w:widowControl/>
                    <w:suppressLineNumbers w:val="0"/>
                    <w:jc w:val="center"/>
                    <w:textAlignment w:val="center"/>
                    <w:rPr>
                      <w:rFonts w:hint="eastAsia"/>
                      <w:color w:val="auto"/>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0.018</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u w:val="none"/>
                      <w:lang w:val="en-US" w:eastAsia="zh-CN"/>
                    </w:rPr>
                  </w:pP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5"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u w:val="none"/>
                      <w:lang w:eastAsia="zh-CN"/>
                    </w:rPr>
                  </w:pPr>
                </w:p>
              </w:tc>
              <w:tc>
                <w:tcPr>
                  <w:tcW w:w="1270" w:type="dxa"/>
                  <w:noWrap w:val="0"/>
                  <w:vAlign w:val="center"/>
                </w:tcPr>
                <w:p>
                  <w:pPr>
                    <w:adjustRightInd w:val="0"/>
                    <w:snapToGrid w:val="0"/>
                    <w:jc w:val="center"/>
                    <w:rPr>
                      <w:rFonts w:hint="eastAsia" w:cs="Times New Roman"/>
                      <w:color w:val="auto"/>
                      <w:u w:val="none"/>
                      <w:lang w:val="en-US" w:eastAsia="zh-CN"/>
                    </w:rPr>
                  </w:pPr>
                  <w:r>
                    <w:rPr>
                      <w:rFonts w:hint="eastAsia" w:cs="Times New Roman"/>
                      <w:color w:val="auto"/>
                      <w:szCs w:val="21"/>
                      <w:highlight w:val="none"/>
                      <w:u w:val="none"/>
                      <w:lang w:val="en-US" w:eastAsia="zh-CN"/>
                    </w:rPr>
                    <w:t>苯乙烯</w:t>
                  </w:r>
                </w:p>
              </w:tc>
              <w:tc>
                <w:tcPr>
                  <w:tcW w:w="1350" w:type="dxa"/>
                  <w:noWrap w:val="0"/>
                  <w:vAlign w:val="center"/>
                </w:tcPr>
                <w:p>
                  <w:pPr>
                    <w:keepNext w:val="0"/>
                    <w:keepLines w:val="0"/>
                    <w:widowControl/>
                    <w:suppressLineNumbers w:val="0"/>
                    <w:jc w:val="center"/>
                    <w:textAlignment w:val="center"/>
                    <w:rPr>
                      <w:rFonts w:hint="eastAsia"/>
                      <w:color w:val="auto"/>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0.016</w:t>
                  </w:r>
                </w:p>
              </w:tc>
              <w:tc>
                <w:tcPr>
                  <w:tcW w:w="881"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894"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c>
                <w:tcPr>
                  <w:tcW w:w="1500"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u w:val="none"/>
                      <w:lang w:val="en-US" w:eastAsia="zh-CN"/>
                    </w:rPr>
                  </w:pPr>
                </w:p>
              </w:tc>
              <w:tc>
                <w:tcPr>
                  <w:tcW w:w="1266" w:type="dxa"/>
                  <w:vMerge w:val="continue"/>
                  <w:noWrap w:val="0"/>
                  <w:vAlign w:val="center"/>
                </w:tcPr>
                <w:p>
                  <w:pPr>
                    <w:pStyle w:val="9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u w:val="none"/>
                      <w:lang w:val="en-US" w:eastAsia="zh-CN"/>
                    </w:rPr>
                  </w:pPr>
                </w:p>
              </w:tc>
            </w:tr>
          </w:tbl>
          <w:p>
            <w:pPr>
              <w:pStyle w:val="4"/>
              <w:autoSpaceDE w:val="0"/>
              <w:autoSpaceDN w:val="0"/>
              <w:spacing w:line="360" w:lineRule="auto"/>
              <w:ind w:left="480"/>
              <w:textAlignment w:val="baseline"/>
              <w:outlineLvl w:val="2"/>
              <w:rPr>
                <w:b/>
                <w:bCs w:val="0"/>
                <w:color w:val="auto"/>
                <w:sz w:val="24"/>
                <w:szCs w:val="24"/>
                <w:u w:val="none"/>
              </w:rPr>
            </w:pPr>
            <w:r>
              <w:rPr>
                <w:b/>
                <w:bCs w:val="0"/>
                <w:color w:val="auto"/>
                <w:sz w:val="24"/>
                <w:szCs w:val="24"/>
                <w:u w:val="none"/>
              </w:rPr>
              <w:t>（2）非正常工况防范措施</w:t>
            </w:r>
          </w:p>
          <w:p>
            <w:pPr>
              <w:pStyle w:val="4"/>
              <w:autoSpaceDE w:val="0"/>
              <w:autoSpaceDN w:val="0"/>
              <w:spacing w:line="360" w:lineRule="auto"/>
              <w:ind w:firstLine="480" w:firstLineChars="200"/>
              <w:textAlignment w:val="baseline"/>
              <w:outlineLvl w:val="2"/>
              <w:rPr>
                <w:b w:val="0"/>
                <w:color w:val="auto"/>
                <w:sz w:val="24"/>
                <w:szCs w:val="24"/>
                <w:u w:val="none"/>
              </w:rPr>
            </w:pPr>
            <w:r>
              <w:rPr>
                <w:b w:val="0"/>
                <w:color w:val="auto"/>
                <w:sz w:val="24"/>
                <w:szCs w:val="24"/>
                <w:u w:val="none"/>
              </w:rPr>
              <w:t>为确保项目废气处理装置正常运行，建设方在日常运行过程中，建议采取如下措施：</w:t>
            </w:r>
          </w:p>
          <w:p>
            <w:pPr>
              <w:pStyle w:val="4"/>
              <w:autoSpaceDE w:val="0"/>
              <w:autoSpaceDN w:val="0"/>
              <w:spacing w:line="360" w:lineRule="auto"/>
              <w:ind w:firstLine="480" w:firstLineChars="200"/>
              <w:textAlignment w:val="baseline"/>
              <w:outlineLvl w:val="2"/>
              <w:rPr>
                <w:b w:val="0"/>
                <w:color w:val="auto"/>
                <w:sz w:val="24"/>
                <w:szCs w:val="24"/>
                <w:u w:val="none"/>
              </w:rPr>
            </w:pPr>
            <w:r>
              <w:rPr>
                <w:b w:val="0"/>
                <w:color w:val="auto"/>
                <w:sz w:val="24"/>
                <w:szCs w:val="24"/>
                <w:u w:val="none"/>
              </w:rPr>
              <w:t>①由公司委派专人负责每日巡检</w:t>
            </w:r>
            <w:r>
              <w:rPr>
                <w:rFonts w:hint="eastAsia"/>
                <w:b w:val="0"/>
                <w:color w:val="auto"/>
                <w:sz w:val="24"/>
                <w:szCs w:val="24"/>
                <w:u w:val="none"/>
                <w:lang w:eastAsia="zh-CN"/>
              </w:rPr>
              <w:t>碱喷淋装置、</w:t>
            </w:r>
            <w:r>
              <w:rPr>
                <w:rFonts w:hint="eastAsia"/>
                <w:b w:val="0"/>
                <w:color w:val="auto"/>
                <w:sz w:val="24"/>
                <w:szCs w:val="24"/>
                <w:u w:val="none"/>
                <w:lang w:val="en-US" w:eastAsia="zh-CN"/>
              </w:rPr>
              <w:t>布袋除尘</w:t>
            </w:r>
            <w:r>
              <w:rPr>
                <w:b w:val="0"/>
                <w:color w:val="auto"/>
                <w:sz w:val="24"/>
                <w:szCs w:val="24"/>
                <w:u w:val="none"/>
              </w:rPr>
              <w:t>装置，做好巡检记录并与之前的记录对照，若发现数据异常应立即停产并通报环保设备厂商对设备进行故障排查；</w:t>
            </w:r>
          </w:p>
          <w:p>
            <w:pPr>
              <w:pStyle w:val="4"/>
              <w:autoSpaceDE w:val="0"/>
              <w:autoSpaceDN w:val="0"/>
              <w:spacing w:line="360" w:lineRule="auto"/>
              <w:ind w:firstLine="480" w:firstLineChars="200"/>
              <w:textAlignment w:val="baseline"/>
              <w:outlineLvl w:val="2"/>
              <w:rPr>
                <w:rFonts w:ascii="宋体" w:hAnsi="宋体" w:cs="宋体"/>
                <w:b w:val="0"/>
                <w:color w:val="auto"/>
                <w:sz w:val="24"/>
                <w:szCs w:val="24"/>
                <w:u w:val="none"/>
              </w:rPr>
            </w:pPr>
            <w:r>
              <w:rPr>
                <w:b w:val="0"/>
                <w:color w:val="auto"/>
                <w:sz w:val="24"/>
                <w:szCs w:val="24"/>
                <w:u w:val="none"/>
              </w:rPr>
              <w:t>②建立废气处理装置运行管理台账，由专人负责记录。</w:t>
            </w:r>
          </w:p>
          <w:p>
            <w:pPr>
              <w:pStyle w:val="56"/>
              <w:bidi w:val="0"/>
              <w:rPr>
                <w:rFonts w:hint="default"/>
                <w:color w:val="auto"/>
                <w:sz w:val="24"/>
                <w:szCs w:val="24"/>
                <w:highlight w:val="none"/>
                <w:u w:val="none"/>
              </w:rPr>
            </w:pPr>
            <w:r>
              <w:rPr>
                <w:rFonts w:hint="default"/>
                <w:color w:val="auto"/>
                <w:sz w:val="24"/>
                <w:szCs w:val="24"/>
                <w:highlight w:val="none"/>
                <w:u w:val="none"/>
              </w:rPr>
              <w:t>4.</w:t>
            </w:r>
            <w:r>
              <w:rPr>
                <w:rFonts w:hint="eastAsia"/>
                <w:color w:val="auto"/>
                <w:sz w:val="24"/>
                <w:szCs w:val="24"/>
                <w:highlight w:val="none"/>
                <w:u w:val="none"/>
                <w:lang w:val="en-US" w:eastAsia="zh-CN"/>
              </w:rPr>
              <w:t>3</w:t>
            </w:r>
            <w:r>
              <w:rPr>
                <w:rFonts w:hint="default"/>
                <w:color w:val="auto"/>
                <w:sz w:val="24"/>
                <w:szCs w:val="24"/>
                <w:highlight w:val="none"/>
                <w:u w:val="none"/>
              </w:rPr>
              <w:t>废水</w:t>
            </w:r>
          </w:p>
          <w:p>
            <w:pPr>
              <w:pStyle w:val="4"/>
              <w:spacing w:line="480" w:lineRule="exact"/>
              <w:ind w:firstLine="482" w:firstLineChars="200"/>
              <w:rPr>
                <w:rFonts w:hint="default" w:ascii="Times New Roman" w:hAnsi="Times New Roman" w:cs="Times New Roman"/>
                <w:color w:val="auto"/>
                <w:sz w:val="24"/>
                <w:szCs w:val="40"/>
                <w:highlight w:val="none"/>
                <w:u w:val="none"/>
              </w:rPr>
            </w:pPr>
            <w:r>
              <w:rPr>
                <w:rFonts w:hint="default" w:ascii="Times New Roman" w:hAnsi="Times New Roman" w:cs="Times New Roman"/>
                <w:color w:val="auto"/>
                <w:sz w:val="24"/>
                <w:szCs w:val="40"/>
                <w:highlight w:val="none"/>
                <w:u w:val="none"/>
              </w:rPr>
              <w:t>4.</w:t>
            </w:r>
            <w:r>
              <w:rPr>
                <w:rFonts w:hint="eastAsia" w:cs="Times New Roman"/>
                <w:color w:val="auto"/>
                <w:sz w:val="24"/>
                <w:szCs w:val="40"/>
                <w:highlight w:val="none"/>
                <w:u w:val="none"/>
                <w:lang w:val="en-US" w:eastAsia="zh-CN"/>
              </w:rPr>
              <w:t>3</w:t>
            </w:r>
            <w:r>
              <w:rPr>
                <w:rFonts w:hint="default" w:ascii="Times New Roman" w:hAnsi="Times New Roman" w:cs="Times New Roman"/>
                <w:color w:val="auto"/>
                <w:sz w:val="24"/>
                <w:szCs w:val="40"/>
                <w:highlight w:val="none"/>
                <w:u w:val="none"/>
              </w:rPr>
              <w:t>.1废水污染物源强及排放情况</w:t>
            </w:r>
          </w:p>
          <w:p>
            <w:pPr>
              <w:pStyle w:val="62"/>
              <w:bidi w:val="0"/>
              <w:rPr>
                <w:rFonts w:hint="default"/>
                <w:color w:val="auto"/>
                <w:sz w:val="24"/>
                <w:szCs w:val="24"/>
                <w:highlight w:val="none"/>
                <w:u w:val="none"/>
              </w:rPr>
            </w:pPr>
            <w:r>
              <w:rPr>
                <w:rFonts w:hint="eastAsia"/>
                <w:color w:val="auto"/>
                <w:sz w:val="24"/>
                <w:szCs w:val="24"/>
                <w:highlight w:val="none"/>
                <w:u w:val="single"/>
                <w:lang w:eastAsia="zh-CN"/>
              </w:rPr>
              <w:t>本次不新增员工，</w:t>
            </w:r>
            <w:r>
              <w:rPr>
                <w:rFonts w:hint="eastAsia" w:hAnsi="宋体" w:cs="宋体"/>
                <w:color w:val="auto"/>
                <w:sz w:val="24"/>
                <w:szCs w:val="24"/>
                <w:highlight w:val="none"/>
                <w:u w:val="single"/>
                <w:lang w:val="en-US" w:eastAsia="zh-CN"/>
              </w:rPr>
              <w:t>现</w:t>
            </w:r>
            <w:r>
              <w:rPr>
                <w:rFonts w:hint="eastAsia" w:ascii="Times New Roman" w:hAnsi="宋体" w:eastAsia="宋体" w:cs="宋体"/>
                <w:color w:val="auto"/>
                <w:sz w:val="24"/>
                <w:szCs w:val="24"/>
                <w:highlight w:val="none"/>
                <w:u w:val="single"/>
                <w:lang w:val="en-US" w:eastAsia="zh-CN"/>
              </w:rPr>
              <w:t>有工程生活污水未核算</w:t>
            </w:r>
            <w:r>
              <w:rPr>
                <w:rFonts w:hint="eastAsia" w:hAnsi="宋体" w:cs="宋体"/>
                <w:color w:val="auto"/>
                <w:sz w:val="24"/>
                <w:szCs w:val="24"/>
                <w:highlight w:val="none"/>
                <w:u w:val="single"/>
                <w:lang w:val="en-US" w:eastAsia="zh-CN"/>
              </w:rPr>
              <w:t>食堂、住宿等用水</w:t>
            </w:r>
            <w:r>
              <w:rPr>
                <w:rFonts w:hint="eastAsia" w:ascii="Times New Roman" w:hAnsi="宋体" w:eastAsia="宋体" w:cs="宋体"/>
                <w:color w:val="auto"/>
                <w:sz w:val="24"/>
                <w:szCs w:val="24"/>
                <w:highlight w:val="none"/>
                <w:u w:val="single"/>
                <w:lang w:val="en-US" w:eastAsia="zh-CN"/>
              </w:rPr>
              <w:t>，本次新建办公楼后，重新核算</w:t>
            </w:r>
            <w:r>
              <w:rPr>
                <w:rFonts w:hint="eastAsia" w:hAnsi="宋体" w:cs="宋体"/>
                <w:color w:val="auto"/>
                <w:sz w:val="24"/>
                <w:szCs w:val="24"/>
                <w:highlight w:val="none"/>
                <w:u w:val="single"/>
                <w:lang w:val="en-US" w:eastAsia="zh-CN"/>
              </w:rPr>
              <w:t>生活用水</w:t>
            </w:r>
            <w:r>
              <w:rPr>
                <w:rFonts w:hint="eastAsia"/>
                <w:color w:val="auto"/>
                <w:sz w:val="24"/>
                <w:szCs w:val="24"/>
                <w:highlight w:val="none"/>
                <w:u w:val="single"/>
                <w:lang w:eastAsia="zh-CN"/>
              </w:rPr>
              <w:t>。本</w:t>
            </w:r>
            <w:r>
              <w:rPr>
                <w:rFonts w:hint="eastAsia"/>
                <w:color w:val="auto"/>
                <w:sz w:val="24"/>
                <w:szCs w:val="24"/>
                <w:highlight w:val="none"/>
                <w:u w:val="single"/>
                <w:lang w:val="en-US" w:eastAsia="zh-CN"/>
              </w:rPr>
              <w:t>次改建主要为不锈钢焊丝生产线酸洗废水、水洗废水，新增废水主要为退火冷却水、清洗废水、喷淋废水、办公楼用水（包括食堂用水）。</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（1）酸洗废水</w:t>
            </w:r>
          </w:p>
          <w:p>
            <w:pPr>
              <w:pStyle w:val="62"/>
              <w:ind w:firstLine="480"/>
              <w:rPr>
                <w:rFonts w:hint="default"/>
                <w:color w:val="auto"/>
                <w:sz w:val="24"/>
                <w:szCs w:val="24"/>
                <w:highlight w:val="none"/>
                <w:u w:val="single"/>
                <w:lang w:val="en-US" w:eastAsia="zh-CN"/>
              </w:rPr>
            </w:pPr>
            <w:r>
              <w:rPr>
                <w:rFonts w:hint="eastAsia"/>
                <w:color w:val="auto"/>
                <w:sz w:val="24"/>
                <w:szCs w:val="24"/>
                <w:highlight w:val="none"/>
                <w:u w:val="single"/>
                <w:lang w:val="en-US" w:eastAsia="zh-CN"/>
              </w:rPr>
              <w:t>本项目改扩建前不锈钢焊丝生产线设1座酸电解槽和1座碱电解槽，每半年更换一次，酸洗排放量为5.6m</w:t>
            </w:r>
            <w:r>
              <w:rPr>
                <w:rFonts w:hint="eastAsia"/>
                <w:color w:val="auto"/>
                <w:sz w:val="24"/>
                <w:szCs w:val="24"/>
                <w:highlight w:val="none"/>
                <w:u w:val="single"/>
                <w:vertAlign w:val="superscript"/>
                <w:lang w:val="en-US" w:eastAsia="zh-CN"/>
              </w:rPr>
              <w:t>3</w:t>
            </w:r>
            <w:r>
              <w:rPr>
                <w:rFonts w:hint="eastAsia"/>
                <w:color w:val="auto"/>
                <w:sz w:val="24"/>
                <w:szCs w:val="24"/>
                <w:highlight w:val="none"/>
                <w:u w:val="single"/>
                <w:lang w:val="en-US" w:eastAsia="zh-CN"/>
              </w:rPr>
              <w:t>/a，碱洗排放量为5.6m</w:t>
            </w:r>
            <w:r>
              <w:rPr>
                <w:rFonts w:hint="eastAsia"/>
                <w:color w:val="auto"/>
                <w:sz w:val="24"/>
                <w:szCs w:val="24"/>
                <w:highlight w:val="none"/>
                <w:u w:val="single"/>
                <w:vertAlign w:val="superscript"/>
                <w:lang w:val="en-US" w:eastAsia="zh-CN"/>
              </w:rPr>
              <w:t>3</w:t>
            </w:r>
            <w:r>
              <w:rPr>
                <w:rFonts w:hint="eastAsia"/>
                <w:color w:val="auto"/>
                <w:sz w:val="24"/>
                <w:szCs w:val="24"/>
                <w:highlight w:val="none"/>
                <w:u w:val="single"/>
                <w:lang w:val="en-US" w:eastAsia="zh-CN"/>
              </w:rPr>
              <w:t>/a。</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改扩建后设5座酸电解槽，</w:t>
            </w:r>
            <w:r>
              <w:rPr>
                <w:rFonts w:hint="eastAsia" w:hAnsi="宋体"/>
                <w:color w:val="auto"/>
                <w:sz w:val="24"/>
                <w:szCs w:val="24"/>
                <w:highlight w:val="none"/>
                <w:lang w:eastAsia="zh-CN"/>
              </w:rPr>
              <w:t>每半年更换一次槽液</w:t>
            </w:r>
            <w:r>
              <w:rPr>
                <w:rFonts w:hint="eastAsia"/>
                <w:color w:val="auto"/>
                <w:sz w:val="24"/>
                <w:szCs w:val="24"/>
                <w:highlight w:val="none"/>
                <w:u w:val="none"/>
                <w:lang w:val="en-US" w:eastAsia="zh-CN"/>
              </w:rPr>
              <w:t>，则酸洗废水排放量为14m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，则年排水量28m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/a。主要污染因子为pH、SS、CODcr、BOD</w:t>
            </w:r>
            <w:r>
              <w:rPr>
                <w:rFonts w:hint="eastAsia"/>
                <w:color w:val="auto"/>
                <w:sz w:val="24"/>
                <w:szCs w:val="24"/>
                <w:highlight w:val="none"/>
                <w:u w:val="none"/>
                <w:vertAlign w:val="subscript"/>
                <w:lang w:val="en-US" w:eastAsia="zh-CN"/>
              </w:rPr>
              <w:t>5</w:t>
            </w:r>
            <w:r>
              <w:rPr>
                <w:rFonts w:hint="eastAsia"/>
                <w:color w:val="auto"/>
                <w:sz w:val="24"/>
                <w:szCs w:val="24"/>
                <w:highlight w:val="none"/>
                <w:u w:val="none"/>
                <w:lang w:val="en-US" w:eastAsia="zh-CN"/>
              </w:rPr>
              <w:t>、氨氮、总磷、总氮、石油类、总铁。</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（2）水洗废水</w:t>
            </w:r>
          </w:p>
          <w:p>
            <w:pPr>
              <w:pStyle w:val="62"/>
              <w:ind w:firstLine="480"/>
              <w:rPr>
                <w:rFonts w:hint="default" w:hAnsi="宋体" w:eastAsia="宋体"/>
                <w:color w:val="auto"/>
                <w:sz w:val="24"/>
                <w:szCs w:val="24"/>
                <w:highlight w:val="none"/>
                <w:u w:val="single"/>
                <w:lang w:val="en-US" w:eastAsia="zh-CN"/>
              </w:rPr>
            </w:pPr>
            <w:r>
              <w:rPr>
                <w:rFonts w:hint="eastAsia" w:hAnsi="宋体"/>
                <w:color w:val="auto"/>
                <w:sz w:val="24"/>
                <w:szCs w:val="24"/>
                <w:highlight w:val="none"/>
                <w:u w:val="single"/>
                <w:lang w:eastAsia="zh-CN"/>
              </w:rPr>
              <w:t>改扩建前</w:t>
            </w:r>
            <w:r>
              <w:rPr>
                <w:rFonts w:hint="eastAsia"/>
                <w:color w:val="auto"/>
                <w:sz w:val="24"/>
                <w:szCs w:val="24"/>
                <w:highlight w:val="none"/>
                <w:u w:val="single"/>
                <w:lang w:val="en-US" w:eastAsia="zh-CN"/>
              </w:rPr>
              <w:t>不锈钢焊丝生产线</w:t>
            </w:r>
            <w:r>
              <w:rPr>
                <w:rFonts w:hint="eastAsia" w:hAnsi="宋体"/>
                <w:color w:val="auto"/>
                <w:sz w:val="24"/>
                <w:szCs w:val="24"/>
                <w:highlight w:val="none"/>
                <w:u w:val="single"/>
                <w:lang w:eastAsia="zh-CN"/>
              </w:rPr>
              <w:t>设</w:t>
            </w:r>
            <w:r>
              <w:rPr>
                <w:rFonts w:hint="eastAsia" w:hAnsi="宋体"/>
                <w:color w:val="auto"/>
                <w:sz w:val="24"/>
                <w:szCs w:val="24"/>
                <w:highlight w:val="none"/>
                <w:u w:val="single"/>
                <w:lang w:val="en-US" w:eastAsia="zh-CN"/>
              </w:rPr>
              <w:t>2座水洗槽，每天更换一次，用水量为660</w:t>
            </w:r>
            <w:r>
              <w:rPr>
                <w:color w:val="auto"/>
                <w:sz w:val="24"/>
                <w:szCs w:val="24"/>
                <w:highlight w:val="none"/>
                <w:u w:val="single"/>
              </w:rPr>
              <w:t>m</w:t>
            </w:r>
            <w:r>
              <w:rPr>
                <w:color w:val="auto"/>
                <w:sz w:val="24"/>
                <w:szCs w:val="24"/>
                <w:highlight w:val="none"/>
                <w:u w:val="single"/>
                <w:vertAlign w:val="superscript"/>
              </w:rPr>
              <w:t>3</w:t>
            </w:r>
            <w:r>
              <w:rPr>
                <w:rFonts w:hint="eastAsia"/>
                <w:color w:val="auto"/>
                <w:sz w:val="24"/>
                <w:szCs w:val="24"/>
                <w:highlight w:val="none"/>
                <w:u w:val="single"/>
                <w:vertAlign w:val="baseline"/>
                <w:lang w:val="en-US" w:eastAsia="zh-CN"/>
              </w:rPr>
              <w:t>/a</w:t>
            </w:r>
            <w:r>
              <w:rPr>
                <w:rFonts w:hint="eastAsia"/>
                <w:color w:val="auto"/>
                <w:sz w:val="24"/>
                <w:szCs w:val="24"/>
                <w:highlight w:val="none"/>
                <w:u w:val="single"/>
                <w:lang w:val="en-US" w:eastAsia="zh-CN"/>
              </w:rPr>
              <w:t>，损耗20%，则排放量为528m</w:t>
            </w:r>
            <w:r>
              <w:rPr>
                <w:rFonts w:hint="eastAsia"/>
                <w:color w:val="auto"/>
                <w:sz w:val="24"/>
                <w:szCs w:val="24"/>
                <w:highlight w:val="none"/>
                <w:u w:val="single"/>
                <w:vertAlign w:val="superscript"/>
                <w:lang w:val="en-US" w:eastAsia="zh-CN"/>
              </w:rPr>
              <w:t>3</w:t>
            </w:r>
            <w:r>
              <w:rPr>
                <w:rFonts w:hint="eastAsia"/>
                <w:color w:val="auto"/>
                <w:sz w:val="24"/>
                <w:szCs w:val="24"/>
                <w:highlight w:val="none"/>
                <w:u w:val="single"/>
                <w:lang w:val="en-US" w:eastAsia="zh-CN"/>
              </w:rPr>
              <w:t>/a。</w:t>
            </w:r>
          </w:p>
          <w:p>
            <w:pPr>
              <w:pStyle w:val="62"/>
              <w:ind w:firstLine="480"/>
              <w:rPr>
                <w:rFonts w:hint="eastAsia"/>
                <w:color w:val="auto"/>
                <w:sz w:val="24"/>
                <w:szCs w:val="24"/>
                <w:highlight w:val="none"/>
                <w:u w:val="none"/>
                <w:lang w:val="en-US" w:eastAsia="zh-CN"/>
              </w:rPr>
            </w:pPr>
            <w:r>
              <w:rPr>
                <w:rFonts w:hAnsi="宋体"/>
                <w:color w:val="auto"/>
                <w:sz w:val="24"/>
                <w:szCs w:val="24"/>
                <w:highlight w:val="none"/>
              </w:rPr>
              <w:t>在电解酸洗工序后均需水洗，水洗槽每天</w:t>
            </w:r>
            <w:r>
              <w:rPr>
                <w:rFonts w:hint="eastAsia" w:hAnsi="宋体"/>
                <w:color w:val="auto"/>
                <w:sz w:val="24"/>
                <w:szCs w:val="24"/>
                <w:highlight w:val="none"/>
                <w:lang w:eastAsia="zh-CN"/>
              </w:rPr>
              <w:t>更换一次</w:t>
            </w:r>
            <w:r>
              <w:rPr>
                <w:rFonts w:hAnsi="宋体"/>
                <w:color w:val="auto"/>
                <w:sz w:val="24"/>
                <w:szCs w:val="24"/>
                <w:highlight w:val="none"/>
              </w:rPr>
              <w:t>，</w:t>
            </w:r>
            <w:r>
              <w:rPr>
                <w:rFonts w:hint="eastAsia"/>
                <w:color w:val="auto"/>
                <w:sz w:val="24"/>
                <w:szCs w:val="24"/>
                <w:highlight w:val="none"/>
                <w:u w:val="none"/>
                <w:lang w:val="en-US" w:eastAsia="zh-CN"/>
              </w:rPr>
              <w:t>用水量约为13m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w:t>
            </w:r>
            <w:r>
              <w:rPr>
                <w:rFonts w:hint="eastAsia"/>
                <w:color w:val="auto"/>
                <w:sz w:val="24"/>
                <w:szCs w:val="24"/>
                <w:highlight w:val="none"/>
                <w:lang w:val="en-US" w:eastAsia="zh-CN"/>
              </w:rPr>
              <w:t>4290</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vertAlign w:val="baseline"/>
                <w:lang w:val="en-US" w:eastAsia="zh-CN"/>
              </w:rPr>
              <w:t>/a</w:t>
            </w:r>
            <w:r>
              <w:rPr>
                <w:rFonts w:hint="eastAsia"/>
                <w:color w:val="auto"/>
                <w:sz w:val="24"/>
                <w:szCs w:val="24"/>
                <w:highlight w:val="none"/>
                <w:u w:val="none"/>
                <w:lang w:val="en-US" w:eastAsia="zh-CN"/>
              </w:rPr>
              <w:t>），损耗20%，则排放量为10.4m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/d（3432m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/a）。主要污染因子为pH、SS、CODcr、BOD</w:t>
            </w:r>
            <w:r>
              <w:rPr>
                <w:rFonts w:hint="eastAsia"/>
                <w:color w:val="auto"/>
                <w:sz w:val="24"/>
                <w:szCs w:val="24"/>
                <w:highlight w:val="none"/>
                <w:u w:val="none"/>
                <w:vertAlign w:val="subscript"/>
                <w:lang w:val="en-US" w:eastAsia="zh-CN"/>
              </w:rPr>
              <w:t>5</w:t>
            </w:r>
            <w:r>
              <w:rPr>
                <w:rFonts w:hint="eastAsia"/>
                <w:color w:val="auto"/>
                <w:sz w:val="24"/>
                <w:szCs w:val="24"/>
                <w:highlight w:val="none"/>
                <w:u w:val="none"/>
                <w:lang w:val="en-US" w:eastAsia="zh-CN"/>
              </w:rPr>
              <w:t>、氨氮、总磷、总氮、石油类、总铁。</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（3）清洗废水</w:t>
            </w:r>
          </w:p>
          <w:p>
            <w:pPr>
              <w:pStyle w:val="62"/>
              <w:ind w:firstLine="480"/>
              <w:rPr>
                <w:rFonts w:hint="default"/>
                <w:color w:val="auto"/>
                <w:sz w:val="24"/>
                <w:szCs w:val="24"/>
                <w:highlight w:val="none"/>
                <w:u w:val="none"/>
                <w:lang w:val="en-US" w:eastAsia="zh-CN"/>
              </w:rPr>
            </w:pPr>
            <w:r>
              <w:rPr>
                <w:rFonts w:hAnsi="宋体"/>
                <w:color w:val="auto"/>
                <w:sz w:val="24"/>
                <w:szCs w:val="24"/>
                <w:highlight w:val="none"/>
              </w:rPr>
              <w:t>在</w:t>
            </w:r>
            <w:r>
              <w:rPr>
                <w:rFonts w:hint="eastAsia" w:hAnsi="宋体"/>
                <w:color w:val="auto"/>
                <w:sz w:val="24"/>
                <w:szCs w:val="24"/>
                <w:highlight w:val="none"/>
                <w:lang w:eastAsia="zh-CN"/>
              </w:rPr>
              <w:t>单头拉、切丝</w:t>
            </w:r>
            <w:r>
              <w:rPr>
                <w:rFonts w:hAnsi="宋体"/>
                <w:color w:val="auto"/>
                <w:sz w:val="24"/>
                <w:szCs w:val="24"/>
                <w:highlight w:val="none"/>
              </w:rPr>
              <w:t>工序后需</w:t>
            </w:r>
            <w:r>
              <w:rPr>
                <w:rFonts w:hint="eastAsia" w:hAnsi="宋体"/>
                <w:color w:val="auto"/>
                <w:sz w:val="24"/>
                <w:szCs w:val="24"/>
                <w:highlight w:val="none"/>
                <w:lang w:eastAsia="zh-CN"/>
              </w:rPr>
              <w:t>清洗</w:t>
            </w:r>
            <w:r>
              <w:rPr>
                <w:rFonts w:hAnsi="宋体"/>
                <w:color w:val="auto"/>
                <w:sz w:val="24"/>
                <w:szCs w:val="24"/>
                <w:highlight w:val="none"/>
              </w:rPr>
              <w:t>，</w:t>
            </w:r>
            <w:r>
              <w:rPr>
                <w:rFonts w:hint="eastAsia" w:hAnsi="宋体"/>
                <w:color w:val="auto"/>
                <w:sz w:val="24"/>
                <w:szCs w:val="24"/>
                <w:highlight w:val="none"/>
                <w:lang w:eastAsia="zh-CN"/>
              </w:rPr>
              <w:t>清洗</w:t>
            </w:r>
            <w:r>
              <w:rPr>
                <w:rFonts w:hAnsi="宋体"/>
                <w:color w:val="auto"/>
                <w:sz w:val="24"/>
                <w:szCs w:val="24"/>
                <w:highlight w:val="none"/>
              </w:rPr>
              <w:t>槽每天</w:t>
            </w:r>
            <w:r>
              <w:rPr>
                <w:rFonts w:hint="eastAsia" w:hAnsi="宋体"/>
                <w:color w:val="auto"/>
                <w:sz w:val="24"/>
                <w:szCs w:val="24"/>
                <w:highlight w:val="none"/>
                <w:lang w:eastAsia="zh-CN"/>
              </w:rPr>
              <w:t>更换一次</w:t>
            </w:r>
            <w:r>
              <w:rPr>
                <w:rFonts w:hAnsi="宋体"/>
                <w:color w:val="auto"/>
                <w:sz w:val="24"/>
                <w:szCs w:val="24"/>
                <w:highlight w:val="none"/>
              </w:rPr>
              <w:t>，</w:t>
            </w:r>
            <w:r>
              <w:rPr>
                <w:rFonts w:hint="eastAsia"/>
                <w:color w:val="auto"/>
                <w:sz w:val="24"/>
                <w:szCs w:val="24"/>
                <w:highlight w:val="none"/>
                <w:u w:val="none"/>
                <w:lang w:val="en-US" w:eastAsia="zh-CN"/>
              </w:rPr>
              <w:t>用水量约为3.4m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/d（1122</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vertAlign w:val="baseline"/>
                <w:lang w:val="en-US" w:eastAsia="zh-CN"/>
              </w:rPr>
              <w:t>/a</w:t>
            </w:r>
            <w:r>
              <w:rPr>
                <w:rFonts w:hint="eastAsia"/>
                <w:color w:val="auto"/>
                <w:sz w:val="24"/>
                <w:szCs w:val="24"/>
                <w:highlight w:val="none"/>
                <w:u w:val="none"/>
                <w:lang w:val="en-US" w:eastAsia="zh-CN"/>
              </w:rPr>
              <w:t>），损耗20%，则排放量为2.72m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/d（897.6m</w:t>
            </w:r>
            <w:r>
              <w:rPr>
                <w:rFonts w:hint="eastAsia"/>
                <w:color w:val="auto"/>
                <w:sz w:val="24"/>
                <w:szCs w:val="24"/>
                <w:highlight w:val="none"/>
                <w:u w:val="none"/>
                <w:vertAlign w:val="superscript"/>
                <w:lang w:val="en-US" w:eastAsia="zh-CN"/>
              </w:rPr>
              <w:t>3</w:t>
            </w:r>
            <w:r>
              <w:rPr>
                <w:rFonts w:hint="eastAsia"/>
                <w:color w:val="auto"/>
                <w:sz w:val="24"/>
                <w:szCs w:val="24"/>
                <w:highlight w:val="none"/>
                <w:u w:val="none"/>
                <w:lang w:val="en-US" w:eastAsia="zh-CN"/>
              </w:rPr>
              <w:t>/a）。主要污染因子为pH、SS、CODcr、BOD</w:t>
            </w:r>
            <w:r>
              <w:rPr>
                <w:rFonts w:hint="eastAsia"/>
                <w:color w:val="auto"/>
                <w:sz w:val="24"/>
                <w:szCs w:val="24"/>
                <w:highlight w:val="none"/>
                <w:u w:val="none"/>
                <w:vertAlign w:val="subscript"/>
                <w:lang w:val="en-US" w:eastAsia="zh-CN"/>
              </w:rPr>
              <w:t>5</w:t>
            </w:r>
            <w:r>
              <w:rPr>
                <w:rFonts w:hint="eastAsia"/>
                <w:color w:val="auto"/>
                <w:sz w:val="24"/>
                <w:szCs w:val="24"/>
                <w:highlight w:val="none"/>
                <w:u w:val="none"/>
                <w:lang w:val="en-US" w:eastAsia="zh-CN"/>
              </w:rPr>
              <w:t>、氨氮、总磷、总氮、石油类。</w:t>
            </w:r>
          </w:p>
          <w:p>
            <w:pPr>
              <w:pStyle w:val="62"/>
              <w:ind w:firstLine="480"/>
              <w:rPr>
                <w:rFonts w:hint="eastAsia"/>
                <w:color w:val="auto"/>
                <w:sz w:val="24"/>
                <w:szCs w:val="24"/>
                <w:highlight w:val="none"/>
                <w:u w:val="none"/>
                <w:lang w:val="en-US" w:eastAsia="zh-CN"/>
              </w:rPr>
            </w:pPr>
            <w:r>
              <w:rPr>
                <w:rFonts w:hint="eastAsia"/>
                <w:color w:val="auto"/>
                <w:sz w:val="24"/>
                <w:szCs w:val="24"/>
                <w:highlight w:val="none"/>
                <w:u w:val="none"/>
                <w:lang w:val="en-US" w:eastAsia="zh-CN"/>
              </w:rPr>
              <w:t>（4）间接循环冷却水</w:t>
            </w:r>
          </w:p>
          <w:p>
            <w:pPr>
              <w:pStyle w:val="62"/>
              <w:ind w:firstLine="480"/>
              <w:rPr>
                <w:rFonts w:hint="default"/>
                <w:color w:val="auto"/>
                <w:sz w:val="24"/>
                <w:szCs w:val="24"/>
                <w:highlight w:val="none"/>
                <w:u w:val="none"/>
                <w:lang w:val="en-US" w:eastAsia="zh-CN"/>
              </w:rPr>
            </w:pPr>
            <w:r>
              <w:rPr>
                <w:rFonts w:hint="eastAsia" w:hAnsi="宋体" w:eastAsia="宋体" w:cs="宋体"/>
                <w:color w:val="auto"/>
                <w:sz w:val="24"/>
                <w:szCs w:val="24"/>
                <w:highlight w:val="none"/>
                <w:lang w:val="en-US" w:eastAsia="zh-CN"/>
              </w:rPr>
              <w:t>项目退火</w:t>
            </w:r>
            <w:r>
              <w:rPr>
                <w:rFonts w:hint="eastAsia" w:hAnsi="宋体" w:cs="宋体"/>
                <w:color w:val="auto"/>
                <w:sz w:val="24"/>
                <w:szCs w:val="24"/>
                <w:highlight w:val="none"/>
                <w:lang w:val="en-US" w:eastAsia="zh-CN"/>
              </w:rPr>
              <w:t>炉、注塑机等设备需采用循环冷却水冷却，均采用间接方式冷却，即冷却水不与工件直接接触。冷却水</w:t>
            </w:r>
            <w:r>
              <w:rPr>
                <w:rFonts w:hint="eastAsia"/>
                <w:color w:val="auto"/>
                <w:sz w:val="24"/>
                <w:szCs w:val="24"/>
                <w:highlight w:val="none"/>
                <w:u w:val="none"/>
                <w:lang w:val="en-US" w:eastAsia="zh-CN"/>
              </w:rPr>
              <w:t>循环使用后不外排。</w:t>
            </w:r>
          </w:p>
          <w:p>
            <w:pPr>
              <w:pStyle w:val="62"/>
              <w:ind w:firstLine="480"/>
              <w:jc w:val="both"/>
              <w:rPr>
                <w:rFonts w:hint="eastAsia"/>
                <w:b w:val="0"/>
                <w:bCs w:val="0"/>
                <w:color w:val="auto"/>
                <w:sz w:val="24"/>
                <w:szCs w:val="24"/>
                <w:highlight w:val="none"/>
                <w:u w:val="none"/>
                <w:lang w:val="en-US" w:eastAsia="zh-CN"/>
              </w:rPr>
            </w:pPr>
            <w:r>
              <w:rPr>
                <w:rFonts w:hint="eastAsia"/>
                <w:b w:val="0"/>
                <w:bCs w:val="0"/>
                <w:color w:val="auto"/>
                <w:sz w:val="24"/>
                <w:szCs w:val="24"/>
                <w:highlight w:val="none"/>
                <w:u w:val="none"/>
                <w:lang w:val="en-US" w:eastAsia="zh-CN"/>
              </w:rPr>
              <w:t>（5）喷淋废水</w:t>
            </w:r>
          </w:p>
          <w:p>
            <w:pPr>
              <w:pStyle w:val="60"/>
              <w:bidi w:val="0"/>
              <w:ind w:firstLine="480" w:firstLineChars="200"/>
              <w:jc w:val="both"/>
              <w:rPr>
                <w:rFonts w:hint="default"/>
                <w:b/>
                <w:bCs/>
                <w:color w:val="auto"/>
                <w:highlight w:val="none"/>
                <w:u w:val="none"/>
              </w:rPr>
            </w:pPr>
            <w:r>
              <w:rPr>
                <w:rFonts w:hint="eastAsia" w:hAnsi="宋体" w:eastAsia="宋体" w:cs="宋体"/>
                <w:b w:val="0"/>
                <w:bCs w:val="0"/>
                <w:color w:val="auto"/>
                <w:sz w:val="24"/>
                <w:szCs w:val="24"/>
                <w:highlight w:val="none"/>
                <w:lang w:val="en-US" w:eastAsia="zh-CN"/>
              </w:rPr>
              <w:t>本项目采用喷淋塔处理</w:t>
            </w:r>
            <w:r>
              <w:rPr>
                <w:rFonts w:hint="eastAsia" w:hAnsi="宋体" w:cs="宋体"/>
                <w:b w:val="0"/>
                <w:bCs w:val="0"/>
                <w:color w:val="auto"/>
                <w:sz w:val="24"/>
                <w:szCs w:val="24"/>
                <w:highlight w:val="none"/>
                <w:lang w:val="en-US" w:eastAsia="zh-CN"/>
              </w:rPr>
              <w:t>酸雾废气</w:t>
            </w:r>
            <w:r>
              <w:rPr>
                <w:rFonts w:hint="eastAsia" w:hAnsi="宋体" w:eastAsia="宋体" w:cs="宋体"/>
                <w:b w:val="0"/>
                <w:bCs w:val="0"/>
                <w:color w:val="auto"/>
                <w:sz w:val="24"/>
                <w:szCs w:val="24"/>
                <w:highlight w:val="none"/>
                <w:lang w:val="en-US" w:eastAsia="zh-CN"/>
              </w:rPr>
              <w:t>。生产时，向喷淋塔循环水池内加入一定量的NaOH溶液，喷淋塔配置1个1m</w:t>
            </w:r>
            <w:r>
              <w:rPr>
                <w:rFonts w:hint="eastAsia" w:hAnsi="宋体" w:eastAsia="宋体" w:cs="宋体"/>
                <w:b w:val="0"/>
                <w:bCs w:val="0"/>
                <w:color w:val="auto"/>
                <w:sz w:val="24"/>
                <w:szCs w:val="24"/>
                <w:highlight w:val="none"/>
                <w:vertAlign w:val="superscript"/>
                <w:lang w:val="en-US" w:eastAsia="zh-CN"/>
              </w:rPr>
              <w:t>3</w:t>
            </w:r>
            <w:r>
              <w:rPr>
                <w:rFonts w:hint="eastAsia" w:hAnsi="宋体" w:eastAsia="宋体" w:cs="宋体"/>
                <w:b w:val="0"/>
                <w:bCs w:val="0"/>
                <w:color w:val="auto"/>
                <w:sz w:val="24"/>
                <w:szCs w:val="24"/>
                <w:highlight w:val="none"/>
                <w:lang w:val="en-US" w:eastAsia="zh-CN"/>
              </w:rPr>
              <w:t>的循环水池，</w:t>
            </w:r>
            <w:r>
              <w:rPr>
                <w:rFonts w:hint="eastAsia" w:hAnsi="宋体" w:eastAsia="宋体" w:cs="宋体"/>
                <w:b w:val="0"/>
                <w:bCs w:val="0"/>
                <w:color w:val="auto"/>
                <w:sz w:val="24"/>
                <w:szCs w:val="24"/>
                <w:highlight w:val="none"/>
                <w:u w:val="none"/>
                <w:lang w:val="en-US" w:eastAsia="zh-CN"/>
              </w:rPr>
              <w:t>循环流量为0.5t/h，循环水损失率以20%计，补水量约为2.4t/d（792t/a）。喷淋水每四个月排放一次，则</w:t>
            </w:r>
            <w:r>
              <w:rPr>
                <w:rFonts w:hint="eastAsia" w:hAnsi="宋体" w:cs="宋体"/>
                <w:b w:val="0"/>
                <w:bCs w:val="0"/>
                <w:color w:val="auto"/>
                <w:sz w:val="24"/>
                <w:szCs w:val="24"/>
                <w:highlight w:val="none"/>
                <w:u w:val="none"/>
                <w:lang w:val="en-US" w:eastAsia="zh-CN"/>
              </w:rPr>
              <w:t>排放量</w:t>
            </w:r>
            <w:r>
              <w:rPr>
                <w:rFonts w:hint="eastAsia" w:hAnsi="宋体" w:eastAsia="宋体" w:cs="宋体"/>
                <w:b w:val="0"/>
                <w:bCs w:val="0"/>
                <w:color w:val="auto"/>
                <w:sz w:val="24"/>
                <w:szCs w:val="24"/>
                <w:highlight w:val="none"/>
                <w:u w:val="none"/>
                <w:lang w:val="en-US" w:eastAsia="zh-CN"/>
              </w:rPr>
              <w:t>为3t/a。</w:t>
            </w:r>
          </w:p>
          <w:p>
            <w:pPr>
              <w:pStyle w:val="62"/>
              <w:ind w:firstLine="480"/>
              <w:rPr>
                <w:rFonts w:hint="eastAsia" w:ascii="Times New Roman" w:hAnsi="宋体" w:eastAsia="宋体" w:cs="宋体"/>
                <w:color w:val="auto"/>
                <w:sz w:val="24"/>
                <w:szCs w:val="24"/>
                <w:highlight w:val="none"/>
                <w:u w:val="single"/>
                <w:lang w:val="en-US" w:eastAsia="zh-CN"/>
              </w:rPr>
            </w:pPr>
            <w:r>
              <w:rPr>
                <w:rFonts w:hint="eastAsia" w:ascii="Times New Roman" w:hAnsi="宋体" w:eastAsia="宋体" w:cs="宋体"/>
                <w:color w:val="auto"/>
                <w:sz w:val="24"/>
                <w:szCs w:val="24"/>
                <w:highlight w:val="none"/>
                <w:u w:val="single"/>
                <w:lang w:val="en-US" w:eastAsia="zh-CN"/>
              </w:rPr>
              <w:t>（6）办公楼用水（包括食堂用水）</w:t>
            </w:r>
          </w:p>
          <w:p>
            <w:pPr>
              <w:pStyle w:val="62"/>
              <w:bidi w:val="0"/>
              <w:rPr>
                <w:rFonts w:hint="eastAsia"/>
                <w:color w:val="auto"/>
                <w:sz w:val="24"/>
                <w:szCs w:val="24"/>
                <w:u w:val="none"/>
                <w:lang w:val="en-US" w:eastAsia="zh-CN"/>
              </w:rPr>
            </w:pPr>
            <w:r>
              <w:rPr>
                <w:rFonts w:hint="eastAsia" w:ascii="Times New Roman" w:hAnsi="宋体" w:eastAsia="宋体" w:cs="宋体"/>
                <w:color w:val="auto"/>
                <w:sz w:val="24"/>
                <w:szCs w:val="24"/>
                <w:highlight w:val="none"/>
                <w:u w:val="single"/>
                <w:lang w:val="en-US" w:eastAsia="zh-CN"/>
              </w:rPr>
              <w:t>本项目办公楼用水参照湖南省地方标准《用水定额》（DB43/T388-2020）中办公用水38m</w:t>
            </w:r>
            <w:r>
              <w:rPr>
                <w:rFonts w:hint="eastAsia" w:ascii="Times New Roman" w:hAnsi="宋体" w:eastAsia="宋体" w:cs="宋体"/>
                <w:color w:val="auto"/>
                <w:sz w:val="24"/>
                <w:szCs w:val="24"/>
                <w:highlight w:val="none"/>
                <w:u w:val="single"/>
                <w:vertAlign w:val="superscript"/>
                <w:lang w:val="en-US" w:eastAsia="zh-CN"/>
              </w:rPr>
              <w:t>3</w:t>
            </w:r>
            <w:r>
              <w:rPr>
                <w:rFonts w:hint="eastAsia" w:ascii="Times New Roman" w:hAnsi="宋体" w:eastAsia="宋体" w:cs="宋体"/>
                <w:color w:val="auto"/>
                <w:sz w:val="24"/>
                <w:szCs w:val="24"/>
                <w:highlight w:val="none"/>
                <w:u w:val="single"/>
                <w:lang w:val="en-US" w:eastAsia="zh-CN"/>
              </w:rPr>
              <w:t>/人·a，办公楼用水包括办公室、食堂</w:t>
            </w:r>
            <w:r>
              <w:rPr>
                <w:rFonts w:hint="eastAsia" w:hAnsi="宋体" w:cs="宋体"/>
                <w:color w:val="auto"/>
                <w:sz w:val="24"/>
                <w:szCs w:val="24"/>
                <w:highlight w:val="none"/>
                <w:u w:val="single"/>
                <w:lang w:val="en-US" w:eastAsia="zh-CN"/>
              </w:rPr>
              <w:t>、住宿</w:t>
            </w:r>
            <w:r>
              <w:rPr>
                <w:rFonts w:hint="eastAsia" w:ascii="Times New Roman" w:hAnsi="宋体" w:eastAsia="宋体" w:cs="宋体"/>
                <w:color w:val="auto"/>
                <w:sz w:val="24"/>
                <w:szCs w:val="24"/>
                <w:highlight w:val="none"/>
                <w:u w:val="single"/>
                <w:lang w:val="en-US" w:eastAsia="zh-CN"/>
              </w:rPr>
              <w:t>等相关用水，人员按160人计，则办公楼用水量约为6080t/a（18.4t/d），排污系数取0.8，则排水量约为4864t/a（14.74t/d）。</w:t>
            </w:r>
            <w:r>
              <w:rPr>
                <w:rFonts w:hint="eastAsia" w:hAnsi="宋体" w:cs="宋体"/>
                <w:color w:val="auto"/>
                <w:sz w:val="24"/>
                <w:szCs w:val="24"/>
                <w:highlight w:val="none"/>
                <w:u w:val="single"/>
                <w:lang w:val="en-US" w:eastAsia="zh-CN"/>
              </w:rPr>
              <w:t>参考</w:t>
            </w:r>
            <w:r>
              <w:rPr>
                <w:rFonts w:hint="eastAsia" w:ascii="Times New Roman" w:hAnsi="宋体" w:eastAsia="宋体" w:cs="宋体"/>
                <w:color w:val="auto"/>
                <w:sz w:val="24"/>
                <w:szCs w:val="24"/>
                <w:highlight w:val="none"/>
                <w:u w:val="single"/>
                <w:lang w:val="en-US" w:eastAsia="zh-CN"/>
              </w:rPr>
              <w:t>典型生活污水浓度取值：COD 450mg/L、BOD</w:t>
            </w:r>
            <w:r>
              <w:rPr>
                <w:rFonts w:hint="eastAsia" w:ascii="Times New Roman" w:hAnsi="宋体" w:eastAsia="宋体" w:cs="宋体"/>
                <w:color w:val="auto"/>
                <w:sz w:val="24"/>
                <w:szCs w:val="24"/>
                <w:highlight w:val="none"/>
                <w:u w:val="single"/>
                <w:vertAlign w:val="subscript"/>
                <w:lang w:val="en-US" w:eastAsia="zh-CN"/>
              </w:rPr>
              <w:t>5</w:t>
            </w:r>
            <w:r>
              <w:rPr>
                <w:rFonts w:hint="eastAsia" w:ascii="Times New Roman" w:hAnsi="宋体" w:eastAsia="宋体" w:cs="宋体"/>
                <w:color w:val="auto"/>
                <w:sz w:val="24"/>
                <w:szCs w:val="24"/>
                <w:highlight w:val="none"/>
                <w:u w:val="single"/>
                <w:lang w:val="en-US" w:eastAsia="zh-CN"/>
              </w:rPr>
              <w:t xml:space="preserve"> 350mg/L、氨氮35mg/L、SS300mg/L、总氮40mg/L</w:t>
            </w:r>
            <w:r>
              <w:rPr>
                <w:rFonts w:hint="eastAsia" w:hAnsi="宋体" w:cs="宋体"/>
                <w:color w:val="auto"/>
                <w:sz w:val="24"/>
                <w:szCs w:val="24"/>
                <w:highlight w:val="none"/>
                <w:u w:val="single"/>
                <w:lang w:val="en-US" w:eastAsia="zh-CN"/>
              </w:rPr>
              <w:t>、石油类100</w:t>
            </w:r>
            <w:r>
              <w:rPr>
                <w:rFonts w:hint="eastAsia" w:ascii="Times New Roman" w:hAnsi="宋体" w:eastAsia="宋体" w:cs="宋体"/>
                <w:color w:val="auto"/>
                <w:sz w:val="24"/>
                <w:szCs w:val="24"/>
                <w:highlight w:val="none"/>
                <w:u w:val="single"/>
                <w:lang w:val="en-US" w:eastAsia="zh-CN"/>
              </w:rPr>
              <w:t>mg/L</w:t>
            </w:r>
            <w:r>
              <w:rPr>
                <w:rFonts w:hint="eastAsia" w:hAnsi="宋体" w:cs="宋体"/>
                <w:color w:val="auto"/>
                <w:sz w:val="24"/>
                <w:szCs w:val="24"/>
                <w:highlight w:val="none"/>
                <w:u w:val="single"/>
                <w:lang w:val="en-US" w:eastAsia="zh-CN"/>
              </w:rPr>
              <w:t>。</w:t>
            </w:r>
          </w:p>
          <w:p>
            <w:pPr>
              <w:pStyle w:val="62"/>
              <w:bidi w:val="0"/>
              <w:rPr>
                <w:rFonts w:hint="eastAsia"/>
                <w:color w:val="auto"/>
                <w:sz w:val="24"/>
                <w:szCs w:val="24"/>
                <w:u w:val="none"/>
                <w:lang w:val="en-US" w:eastAsia="zh-CN"/>
              </w:rPr>
            </w:pPr>
            <w:r>
              <w:rPr>
                <w:rFonts w:hint="eastAsia"/>
                <w:color w:val="auto"/>
                <w:sz w:val="24"/>
                <w:szCs w:val="24"/>
                <w:u w:val="none"/>
                <w:lang w:val="en-US" w:eastAsia="zh-CN"/>
              </w:rPr>
              <w:t>本项目酸洗废水</w:t>
            </w:r>
            <w:r>
              <w:rPr>
                <w:rFonts w:hint="eastAsia"/>
                <w:color w:val="auto"/>
                <w:sz w:val="24"/>
                <w:szCs w:val="24"/>
                <w:highlight w:val="none"/>
                <w:u w:val="none"/>
                <w:lang w:val="en-US" w:eastAsia="zh-CN"/>
              </w:rPr>
              <w:t>、水洗废水、清洗废水、喷淋废水等生产废水与现有生产废水水质类似，</w:t>
            </w:r>
            <w:r>
              <w:rPr>
                <w:rFonts w:hint="eastAsia"/>
                <w:color w:val="auto"/>
                <w:sz w:val="24"/>
                <w:szCs w:val="24"/>
                <w:u w:val="none"/>
                <w:lang w:val="en-US" w:eastAsia="zh-CN"/>
              </w:rPr>
              <w:t>类比情况见下表。</w:t>
            </w:r>
          </w:p>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val="0"/>
                <w:color w:val="auto"/>
                <w:kern w:val="20"/>
                <w:sz w:val="24"/>
                <w:szCs w:val="24"/>
                <w:highlight w:val="none"/>
                <w:u w:val="single"/>
                <w:lang w:val="en-US" w:eastAsia="zh-CN" w:bidi="ar"/>
              </w:rPr>
            </w:pPr>
            <w:r>
              <w:rPr>
                <w:rFonts w:hint="default" w:ascii="Times New Roman" w:hAnsi="Times New Roman" w:eastAsia="宋体" w:cs="Times New Roman"/>
                <w:b/>
                <w:bCs w:val="0"/>
                <w:color w:val="auto"/>
                <w:kern w:val="20"/>
                <w:sz w:val="24"/>
                <w:szCs w:val="24"/>
                <w:highlight w:val="none"/>
                <w:u w:val="single"/>
                <w:lang w:val="en-US" w:eastAsia="zh-CN" w:bidi="ar"/>
              </w:rPr>
              <w:t>表</w:t>
            </w:r>
            <w:r>
              <w:rPr>
                <w:rFonts w:hint="eastAsia" w:ascii="Times New Roman" w:hAnsi="Times New Roman" w:eastAsia="宋体" w:cs="Times New Roman"/>
                <w:b/>
                <w:bCs w:val="0"/>
                <w:color w:val="auto"/>
                <w:kern w:val="20"/>
                <w:sz w:val="24"/>
                <w:szCs w:val="24"/>
                <w:highlight w:val="none"/>
                <w:u w:val="single"/>
                <w:lang w:val="en-US" w:eastAsia="zh-CN" w:bidi="ar"/>
              </w:rPr>
              <w:t>4.</w:t>
            </w:r>
            <w:r>
              <w:rPr>
                <w:rFonts w:hint="eastAsia" w:cs="Times New Roman"/>
                <w:b/>
                <w:bCs w:val="0"/>
                <w:color w:val="auto"/>
                <w:kern w:val="20"/>
                <w:sz w:val="24"/>
                <w:szCs w:val="24"/>
                <w:highlight w:val="none"/>
                <w:u w:val="single"/>
                <w:lang w:val="en-US" w:eastAsia="zh-CN" w:bidi="ar"/>
              </w:rPr>
              <w:t>3</w:t>
            </w:r>
            <w:r>
              <w:rPr>
                <w:rFonts w:hint="eastAsia" w:ascii="Times New Roman" w:hAnsi="Times New Roman" w:eastAsia="宋体" w:cs="Times New Roman"/>
                <w:b/>
                <w:bCs w:val="0"/>
                <w:color w:val="auto"/>
                <w:kern w:val="20"/>
                <w:sz w:val="24"/>
                <w:szCs w:val="24"/>
                <w:highlight w:val="none"/>
                <w:u w:val="single"/>
                <w:lang w:val="en-US" w:eastAsia="zh-CN" w:bidi="ar"/>
              </w:rPr>
              <w:t>-1</w:t>
            </w:r>
            <w:r>
              <w:rPr>
                <w:rFonts w:hint="eastAsia" w:cs="Times New Roman"/>
                <w:b/>
                <w:bCs w:val="0"/>
                <w:color w:val="auto"/>
                <w:kern w:val="20"/>
                <w:sz w:val="24"/>
                <w:szCs w:val="24"/>
                <w:highlight w:val="none"/>
                <w:u w:val="single"/>
                <w:lang w:val="en-US" w:eastAsia="zh-CN" w:bidi="ar"/>
              </w:rPr>
              <w:t>废水水质类比情况一览表</w:t>
            </w:r>
          </w:p>
          <w:tbl>
            <w:tblPr>
              <w:tblStyle w:val="98"/>
              <w:tblW w:w="8063"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751"/>
              <w:gridCol w:w="1629"/>
              <w:gridCol w:w="247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default" w:eastAsia="宋体" w:cs="Times New Roman"/>
                      <w:b/>
                      <w:bCs w:val="0"/>
                      <w:color w:val="auto"/>
                      <w:kern w:val="0"/>
                      <w:sz w:val="21"/>
                      <w:szCs w:val="21"/>
                      <w:highlight w:val="none"/>
                      <w:u w:val="single"/>
                      <w:lang w:val="en-US" w:eastAsia="zh-CN"/>
                    </w:rPr>
                  </w:pPr>
                  <w:r>
                    <w:rPr>
                      <w:rFonts w:hint="eastAsia" w:cs="Times New Roman"/>
                      <w:b/>
                      <w:bCs w:val="0"/>
                      <w:color w:val="auto"/>
                      <w:kern w:val="0"/>
                      <w:sz w:val="21"/>
                      <w:szCs w:val="21"/>
                      <w:highlight w:val="none"/>
                      <w:u w:val="single"/>
                      <w:lang w:val="en-US" w:eastAsia="zh-CN"/>
                    </w:rPr>
                    <w:t>项目</w:t>
                  </w:r>
                </w:p>
              </w:tc>
              <w:tc>
                <w:tcPr>
                  <w:tcW w:w="1705" w:type="pct"/>
                  <w:noWrap w:val="0"/>
                  <w:vAlign w:val="center"/>
                </w:tcPr>
                <w:p>
                  <w:pPr>
                    <w:jc w:val="center"/>
                    <w:rPr>
                      <w:rFonts w:hint="eastAsia" w:eastAsia="宋体" w:cs="Times New Roman"/>
                      <w:b/>
                      <w:bCs w:val="0"/>
                      <w:color w:val="auto"/>
                      <w:kern w:val="0"/>
                      <w:sz w:val="21"/>
                      <w:szCs w:val="21"/>
                      <w:highlight w:val="none"/>
                      <w:u w:val="single"/>
                      <w:lang w:eastAsia="zh-CN"/>
                    </w:rPr>
                  </w:pPr>
                  <w:r>
                    <w:rPr>
                      <w:rFonts w:hint="eastAsia" w:cs="Times New Roman"/>
                      <w:b/>
                      <w:bCs w:val="0"/>
                      <w:color w:val="auto"/>
                      <w:kern w:val="0"/>
                      <w:sz w:val="21"/>
                      <w:szCs w:val="21"/>
                      <w:highlight w:val="none"/>
                      <w:u w:val="single"/>
                      <w:lang w:eastAsia="zh-CN"/>
                    </w:rPr>
                    <w:t>现有工程</w:t>
                  </w:r>
                </w:p>
              </w:tc>
              <w:tc>
                <w:tcPr>
                  <w:tcW w:w="1010" w:type="pct"/>
                  <w:noWrap w:val="0"/>
                  <w:vAlign w:val="center"/>
                </w:tcPr>
                <w:p>
                  <w:pPr>
                    <w:jc w:val="center"/>
                    <w:rPr>
                      <w:rFonts w:hint="eastAsia" w:cs="Times New Roman"/>
                      <w:b/>
                      <w:bCs w:val="0"/>
                      <w:color w:val="auto"/>
                      <w:kern w:val="0"/>
                      <w:sz w:val="21"/>
                      <w:szCs w:val="21"/>
                      <w:highlight w:val="none"/>
                      <w:u w:val="single"/>
                      <w:lang w:eastAsia="zh-CN"/>
                    </w:rPr>
                  </w:pPr>
                  <w:r>
                    <w:rPr>
                      <w:rFonts w:hint="eastAsia" w:cs="Times New Roman"/>
                      <w:b/>
                      <w:bCs w:val="0"/>
                      <w:color w:val="auto"/>
                      <w:kern w:val="0"/>
                      <w:sz w:val="21"/>
                      <w:szCs w:val="21"/>
                      <w:highlight w:val="none"/>
                      <w:u w:val="single"/>
                      <w:lang w:eastAsia="zh-CN"/>
                    </w:rPr>
                    <w:t>本项目</w:t>
                  </w:r>
                </w:p>
              </w:tc>
              <w:tc>
                <w:tcPr>
                  <w:tcW w:w="1532" w:type="pct"/>
                  <w:noWrap w:val="0"/>
                  <w:vAlign w:val="center"/>
                </w:tcPr>
                <w:p>
                  <w:pPr>
                    <w:jc w:val="center"/>
                    <w:rPr>
                      <w:rFonts w:hint="eastAsia" w:cs="Times New Roman"/>
                      <w:b/>
                      <w:bCs w:val="0"/>
                      <w:color w:val="auto"/>
                      <w:kern w:val="0"/>
                      <w:sz w:val="21"/>
                      <w:szCs w:val="21"/>
                      <w:highlight w:val="none"/>
                      <w:u w:val="single"/>
                      <w:lang w:eastAsia="zh-CN"/>
                    </w:rPr>
                  </w:pPr>
                  <w:r>
                    <w:rPr>
                      <w:rFonts w:hint="eastAsia" w:cs="Times New Roman"/>
                      <w:b/>
                      <w:bCs w:val="0"/>
                      <w:color w:val="auto"/>
                      <w:kern w:val="0"/>
                      <w:sz w:val="21"/>
                      <w:szCs w:val="21"/>
                      <w:highlight w:val="none"/>
                      <w:u w:val="single"/>
                      <w:lang w:eastAsia="zh-CN"/>
                    </w:rPr>
                    <w:t>类比情况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val="en-US" w:eastAsia="zh-CN"/>
                    </w:rPr>
                    <w:t>属性</w:t>
                  </w:r>
                </w:p>
              </w:tc>
              <w:tc>
                <w:tcPr>
                  <w:tcW w:w="1705"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val="en-US" w:eastAsia="zh-CN"/>
                    </w:rPr>
                    <w:t>表面处理废水</w:t>
                  </w:r>
                </w:p>
              </w:tc>
              <w:tc>
                <w:tcPr>
                  <w:tcW w:w="1010" w:type="pct"/>
                  <w:noWrap w:val="0"/>
                  <w:vAlign w:val="center"/>
                </w:tcPr>
                <w:p>
                  <w:pPr>
                    <w:jc w:val="center"/>
                    <w:rPr>
                      <w:rFonts w:hint="eastAsia" w:cs="Times New Roman"/>
                      <w:b w:val="0"/>
                      <w:bCs/>
                      <w:color w:val="auto"/>
                      <w:kern w:val="0"/>
                      <w:sz w:val="21"/>
                      <w:szCs w:val="21"/>
                      <w:highlight w:val="none"/>
                      <w:u w:val="single"/>
                      <w:lang w:eastAsia="zh-CN"/>
                    </w:rPr>
                  </w:pPr>
                  <w:r>
                    <w:rPr>
                      <w:rFonts w:hint="eastAsia" w:cs="Times New Roman"/>
                      <w:b w:val="0"/>
                      <w:bCs/>
                      <w:color w:val="auto"/>
                      <w:kern w:val="0"/>
                      <w:sz w:val="21"/>
                      <w:szCs w:val="21"/>
                      <w:highlight w:val="none"/>
                      <w:u w:val="single"/>
                      <w:lang w:val="en-US" w:eastAsia="zh-CN"/>
                    </w:rPr>
                    <w:t>表面处理废水</w:t>
                  </w:r>
                </w:p>
              </w:tc>
              <w:tc>
                <w:tcPr>
                  <w:tcW w:w="1532"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eastAsia"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val="en-US" w:eastAsia="zh-CN"/>
                    </w:rPr>
                    <w:t>废水类别</w:t>
                  </w:r>
                </w:p>
              </w:tc>
              <w:tc>
                <w:tcPr>
                  <w:tcW w:w="1705" w:type="pct"/>
                  <w:noWrap w:val="0"/>
                  <w:vAlign w:val="center"/>
                </w:tcPr>
                <w:p>
                  <w:pPr>
                    <w:jc w:val="center"/>
                    <w:rPr>
                      <w:rFonts w:hint="eastAsia" w:cs="Times New Roman"/>
                      <w:b w:val="0"/>
                      <w:bCs/>
                      <w:color w:val="auto"/>
                      <w:kern w:val="0"/>
                      <w:sz w:val="21"/>
                      <w:szCs w:val="21"/>
                      <w:highlight w:val="none"/>
                      <w:u w:val="single"/>
                      <w:lang w:eastAsia="zh-CN"/>
                    </w:rPr>
                  </w:pPr>
                  <w:r>
                    <w:rPr>
                      <w:rFonts w:hint="eastAsia"/>
                      <w:bCs/>
                      <w:color w:val="auto"/>
                      <w:sz w:val="21"/>
                      <w:szCs w:val="21"/>
                      <w:highlight w:val="none"/>
                      <w:u w:val="single"/>
                      <w:lang w:val="en-US" w:eastAsia="zh-CN"/>
                    </w:rPr>
                    <w:t>除锈废水、化学置换废水、酸电解废水、碱电解废水、活化废水、水洗废水、地面拖洗废水、喷淋废水</w:t>
                  </w:r>
                </w:p>
              </w:tc>
              <w:tc>
                <w:tcPr>
                  <w:tcW w:w="1010" w:type="pct"/>
                  <w:noWrap w:val="0"/>
                  <w:vAlign w:val="center"/>
                </w:tcPr>
                <w:p>
                  <w:pPr>
                    <w:jc w:val="center"/>
                    <w:rPr>
                      <w:rFonts w:hint="eastAsia" w:cs="Times New Roman"/>
                      <w:b w:val="0"/>
                      <w:bCs/>
                      <w:color w:val="auto"/>
                      <w:kern w:val="0"/>
                      <w:sz w:val="21"/>
                      <w:szCs w:val="21"/>
                      <w:highlight w:val="none"/>
                      <w:u w:val="single"/>
                      <w:lang w:eastAsia="zh-CN"/>
                    </w:rPr>
                  </w:pPr>
                  <w:r>
                    <w:rPr>
                      <w:rFonts w:hint="eastAsia"/>
                      <w:bCs/>
                      <w:color w:val="auto"/>
                      <w:sz w:val="21"/>
                      <w:szCs w:val="21"/>
                      <w:highlight w:val="none"/>
                      <w:u w:val="single"/>
                      <w:lang w:val="en-US" w:eastAsia="zh-CN"/>
                    </w:rPr>
                    <w:t>酸电解废水、水洗废水、清洗废水、喷淋废水</w:t>
                  </w:r>
                </w:p>
              </w:tc>
              <w:tc>
                <w:tcPr>
                  <w:tcW w:w="1532" w:type="pct"/>
                  <w:noWrap w:val="0"/>
                  <w:vAlign w:val="center"/>
                </w:tcPr>
                <w:p>
                  <w:pPr>
                    <w:jc w:val="center"/>
                    <w:rPr>
                      <w:rFonts w:hint="eastAsia" w:cs="Times New Roman"/>
                      <w:b w:val="0"/>
                      <w:bCs/>
                      <w:color w:val="auto"/>
                      <w:kern w:val="0"/>
                      <w:sz w:val="21"/>
                      <w:szCs w:val="21"/>
                      <w:highlight w:val="none"/>
                      <w:u w:val="single"/>
                      <w:lang w:eastAsia="zh-CN"/>
                    </w:rPr>
                  </w:pPr>
                  <w:r>
                    <w:rPr>
                      <w:rFonts w:hint="eastAsia" w:cs="Times New Roman"/>
                      <w:b w:val="0"/>
                      <w:bCs/>
                      <w:color w:val="auto"/>
                      <w:kern w:val="0"/>
                      <w:sz w:val="21"/>
                      <w:szCs w:val="21"/>
                      <w:highlight w:val="none"/>
                      <w:u w:val="single"/>
                      <w:lang w:eastAsia="zh-CN"/>
                    </w:rPr>
                    <w:t>项目水质与现有工程类似，水质相近。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eastAsia"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val="en-US" w:eastAsia="zh-CN"/>
                    </w:rPr>
                    <w:t>废水配液浓度</w:t>
                  </w:r>
                </w:p>
              </w:tc>
              <w:tc>
                <w:tcPr>
                  <w:tcW w:w="1705"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eastAsia="zh-CN"/>
                    </w:rPr>
                    <w:t>酸洗</w:t>
                  </w:r>
                  <w:r>
                    <w:rPr>
                      <w:rFonts w:hint="eastAsia" w:cs="Times New Roman"/>
                      <w:b w:val="0"/>
                      <w:bCs/>
                      <w:color w:val="auto"/>
                      <w:kern w:val="0"/>
                      <w:sz w:val="21"/>
                      <w:szCs w:val="21"/>
                      <w:highlight w:val="none"/>
                      <w:u w:val="single"/>
                      <w:lang w:val="en-US" w:eastAsia="zh-CN"/>
                    </w:rPr>
                    <w:t>300g/L、碱洗120g/L、化学置换200g/L</w:t>
                  </w:r>
                </w:p>
              </w:tc>
              <w:tc>
                <w:tcPr>
                  <w:tcW w:w="1010" w:type="pct"/>
                  <w:noWrap w:val="0"/>
                  <w:vAlign w:val="center"/>
                </w:tcPr>
                <w:p>
                  <w:pPr>
                    <w:jc w:val="center"/>
                    <w:rPr>
                      <w:rFonts w:hint="eastAsia" w:cs="Times New Roman"/>
                      <w:b w:val="0"/>
                      <w:bCs/>
                      <w:color w:val="auto"/>
                      <w:kern w:val="0"/>
                      <w:sz w:val="21"/>
                      <w:szCs w:val="21"/>
                      <w:highlight w:val="none"/>
                      <w:u w:val="single"/>
                      <w:lang w:eastAsia="zh-CN"/>
                    </w:rPr>
                  </w:pPr>
                  <w:r>
                    <w:rPr>
                      <w:rFonts w:hint="eastAsia" w:cs="Times New Roman"/>
                      <w:b w:val="0"/>
                      <w:bCs/>
                      <w:color w:val="auto"/>
                      <w:kern w:val="0"/>
                      <w:sz w:val="21"/>
                      <w:szCs w:val="21"/>
                      <w:highlight w:val="none"/>
                      <w:u w:val="single"/>
                      <w:lang w:eastAsia="zh-CN"/>
                    </w:rPr>
                    <w:t>酸洗</w:t>
                  </w:r>
                  <w:r>
                    <w:rPr>
                      <w:rFonts w:hint="eastAsia" w:cs="Times New Roman"/>
                      <w:b w:val="0"/>
                      <w:bCs/>
                      <w:color w:val="auto"/>
                      <w:kern w:val="0"/>
                      <w:sz w:val="21"/>
                      <w:szCs w:val="21"/>
                      <w:highlight w:val="none"/>
                      <w:u w:val="single"/>
                      <w:lang w:val="en-US" w:eastAsia="zh-CN"/>
                    </w:rPr>
                    <w:t>300g/L</w:t>
                  </w:r>
                </w:p>
              </w:tc>
              <w:tc>
                <w:tcPr>
                  <w:tcW w:w="1532" w:type="pct"/>
                  <w:noWrap w:val="0"/>
                  <w:vAlign w:val="center"/>
                </w:tcPr>
                <w:p>
                  <w:pPr>
                    <w:jc w:val="center"/>
                    <w:rPr>
                      <w:rFonts w:hint="eastAsia" w:cs="Times New Roman"/>
                      <w:b w:val="0"/>
                      <w:bCs/>
                      <w:color w:val="auto"/>
                      <w:kern w:val="0"/>
                      <w:sz w:val="21"/>
                      <w:szCs w:val="21"/>
                      <w:highlight w:val="none"/>
                      <w:u w:val="single"/>
                      <w:lang w:eastAsia="zh-CN"/>
                    </w:rPr>
                  </w:pPr>
                  <w:r>
                    <w:rPr>
                      <w:rFonts w:hint="eastAsia" w:cs="Times New Roman"/>
                      <w:b w:val="0"/>
                      <w:bCs/>
                      <w:color w:val="auto"/>
                      <w:kern w:val="0"/>
                      <w:sz w:val="21"/>
                      <w:szCs w:val="21"/>
                      <w:highlight w:val="none"/>
                      <w:u w:val="single"/>
                      <w:lang w:eastAsia="zh-CN"/>
                    </w:rPr>
                    <w:t>酸洗废水配液一致，现有工程浓度高些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eastAsia"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val="en-US" w:eastAsia="zh-CN"/>
                    </w:rPr>
                    <w:t>原料材料</w:t>
                  </w:r>
                </w:p>
              </w:tc>
              <w:tc>
                <w:tcPr>
                  <w:tcW w:w="1705"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eastAsia="zh-CN"/>
                    </w:rPr>
                    <w:t>硫酸</w:t>
                  </w:r>
                  <w:r>
                    <w:rPr>
                      <w:rFonts w:hint="eastAsia" w:cs="Times New Roman"/>
                      <w:b w:val="0"/>
                      <w:bCs/>
                      <w:color w:val="auto"/>
                      <w:kern w:val="0"/>
                      <w:sz w:val="21"/>
                      <w:szCs w:val="21"/>
                      <w:highlight w:val="none"/>
                      <w:u w:val="single"/>
                      <w:lang w:val="en-US" w:eastAsia="zh-CN"/>
                    </w:rPr>
                    <w:t>、硫酸铜、片碱等</w:t>
                  </w:r>
                </w:p>
              </w:tc>
              <w:tc>
                <w:tcPr>
                  <w:tcW w:w="1010"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eastAsia="zh-CN"/>
                    </w:rPr>
                    <w:t>硫酸</w:t>
                  </w:r>
                </w:p>
              </w:tc>
              <w:tc>
                <w:tcPr>
                  <w:tcW w:w="1532" w:type="pct"/>
                  <w:noWrap w:val="0"/>
                  <w:vAlign w:val="center"/>
                </w:tcPr>
                <w:p>
                  <w:pPr>
                    <w:jc w:val="center"/>
                    <w:rPr>
                      <w:rFonts w:hint="default" w:cs="Times New Roman"/>
                      <w:b w:val="0"/>
                      <w:bCs/>
                      <w:color w:val="auto"/>
                      <w:kern w:val="0"/>
                      <w:sz w:val="21"/>
                      <w:szCs w:val="21"/>
                      <w:highlight w:val="none"/>
                      <w:u w:val="single"/>
                      <w:lang w:val="en-US" w:eastAsia="zh-CN"/>
                    </w:rPr>
                  </w:pPr>
                  <w:r>
                    <w:rPr>
                      <w:rFonts w:hint="eastAsia" w:cs="Times New Roman"/>
                      <w:b w:val="0"/>
                      <w:bCs/>
                      <w:color w:val="auto"/>
                      <w:kern w:val="0"/>
                      <w:sz w:val="21"/>
                      <w:szCs w:val="21"/>
                      <w:highlight w:val="none"/>
                      <w:u w:val="single"/>
                      <w:lang w:eastAsia="zh-CN"/>
                    </w:rPr>
                    <w:t>本项目酸洗的原辅料种类一致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eastAsia" w:cs="Times New Roman"/>
                      <w:b w:val="0"/>
                      <w:bCs/>
                      <w:color w:val="auto"/>
                      <w:kern w:val="0"/>
                      <w:sz w:val="21"/>
                      <w:szCs w:val="21"/>
                      <w:highlight w:val="none"/>
                      <w:u w:val="single"/>
                      <w:lang w:val="en-US" w:eastAsia="zh-CN"/>
                    </w:rPr>
                  </w:pPr>
                  <w:r>
                    <w:rPr>
                      <w:rFonts w:hint="eastAsia" w:ascii="Times New Roman" w:hAnsi="Times New Roman" w:cs="Times New Roman"/>
                      <w:color w:val="auto"/>
                      <w:kern w:val="0"/>
                      <w:highlight w:val="none"/>
                      <w:u w:val="single"/>
                    </w:rPr>
                    <w:t>生产工艺</w:t>
                  </w:r>
                </w:p>
              </w:tc>
              <w:tc>
                <w:tcPr>
                  <w:tcW w:w="1705" w:type="pct"/>
                  <w:noWrap w:val="0"/>
                  <w:vAlign w:val="center"/>
                </w:tcPr>
                <w:p>
                  <w:pPr>
                    <w:autoSpaceDE w:val="0"/>
                    <w:autoSpaceDN w:val="0"/>
                    <w:adjustRightInd w:val="0"/>
                    <w:jc w:val="center"/>
                    <w:rPr>
                      <w:rFonts w:hint="eastAsia" w:eastAsia="宋体" w:cs="Times New Roman"/>
                      <w:b w:val="0"/>
                      <w:bCs/>
                      <w:color w:val="auto"/>
                      <w:kern w:val="0"/>
                      <w:sz w:val="21"/>
                      <w:szCs w:val="21"/>
                      <w:highlight w:val="none"/>
                      <w:u w:val="single"/>
                      <w:lang w:eastAsia="zh-CN"/>
                    </w:rPr>
                  </w:pPr>
                  <w:r>
                    <w:rPr>
                      <w:rFonts w:hint="eastAsia" w:cs="Times New Roman"/>
                      <w:color w:val="auto"/>
                      <w:kern w:val="0"/>
                      <w:highlight w:val="none"/>
                      <w:u w:val="single"/>
                      <w:lang w:eastAsia="zh-CN"/>
                    </w:rPr>
                    <w:t>酸洗、碱洗、化学置换、活化、水洗</w:t>
                  </w:r>
                </w:p>
              </w:tc>
              <w:tc>
                <w:tcPr>
                  <w:tcW w:w="1010" w:type="pct"/>
                  <w:noWrap w:val="0"/>
                  <w:vAlign w:val="center"/>
                </w:tcPr>
                <w:p>
                  <w:pPr>
                    <w:autoSpaceDE w:val="0"/>
                    <w:autoSpaceDN w:val="0"/>
                    <w:adjustRightInd w:val="0"/>
                    <w:jc w:val="center"/>
                    <w:rPr>
                      <w:rFonts w:hint="eastAsia" w:cs="Times New Roman"/>
                      <w:b w:val="0"/>
                      <w:bCs/>
                      <w:color w:val="auto"/>
                      <w:kern w:val="0"/>
                      <w:sz w:val="21"/>
                      <w:szCs w:val="21"/>
                      <w:highlight w:val="none"/>
                      <w:u w:val="single"/>
                      <w:lang w:eastAsia="zh-CN"/>
                    </w:rPr>
                  </w:pPr>
                  <w:r>
                    <w:rPr>
                      <w:rFonts w:hint="eastAsia" w:cs="Times New Roman"/>
                      <w:color w:val="auto"/>
                      <w:kern w:val="0"/>
                      <w:highlight w:val="none"/>
                      <w:u w:val="single"/>
                      <w:lang w:eastAsia="zh-CN"/>
                    </w:rPr>
                    <w:t>酸洗、水洗</w:t>
                  </w:r>
                </w:p>
              </w:tc>
              <w:tc>
                <w:tcPr>
                  <w:tcW w:w="1532" w:type="pct"/>
                  <w:noWrap w:val="0"/>
                  <w:vAlign w:val="center"/>
                </w:tcPr>
                <w:p>
                  <w:pPr>
                    <w:autoSpaceDE w:val="0"/>
                    <w:autoSpaceDN w:val="0"/>
                    <w:adjustRightInd w:val="0"/>
                    <w:jc w:val="center"/>
                    <w:rPr>
                      <w:rFonts w:hint="eastAsia" w:eastAsia="宋体" w:cs="Times New Roman"/>
                      <w:b w:val="0"/>
                      <w:bCs/>
                      <w:color w:val="auto"/>
                      <w:kern w:val="0"/>
                      <w:sz w:val="21"/>
                      <w:szCs w:val="21"/>
                      <w:highlight w:val="none"/>
                      <w:u w:val="single"/>
                      <w:lang w:eastAsia="zh-CN"/>
                    </w:rPr>
                  </w:pPr>
                  <w:r>
                    <w:rPr>
                      <w:rFonts w:hint="eastAsia" w:cs="Times New Roman"/>
                      <w:color w:val="auto"/>
                      <w:kern w:val="0"/>
                      <w:highlight w:val="none"/>
                      <w:u w:val="single"/>
                      <w:lang w:eastAsia="zh-CN"/>
                    </w:rPr>
                    <w:t>酸洗废水相似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noWrap w:val="0"/>
                  <w:vAlign w:val="center"/>
                </w:tcPr>
                <w:p>
                  <w:pPr>
                    <w:jc w:val="center"/>
                    <w:rPr>
                      <w:rFonts w:hint="eastAsia" w:ascii="Times New Roman" w:hAnsi="Times New Roman" w:eastAsia="宋体" w:cs="Times New Roman"/>
                      <w:color w:val="auto"/>
                      <w:kern w:val="0"/>
                      <w:highlight w:val="none"/>
                      <w:u w:val="single"/>
                      <w:lang w:eastAsia="zh-CN"/>
                    </w:rPr>
                  </w:pPr>
                  <w:r>
                    <w:rPr>
                      <w:rFonts w:hint="eastAsia" w:cs="Times New Roman"/>
                      <w:color w:val="auto"/>
                      <w:kern w:val="0"/>
                      <w:highlight w:val="none"/>
                      <w:u w:val="single"/>
                      <w:lang w:eastAsia="zh-CN"/>
                    </w:rPr>
                    <w:t>废水处理量</w:t>
                  </w:r>
                </w:p>
              </w:tc>
              <w:tc>
                <w:tcPr>
                  <w:tcW w:w="1705" w:type="pct"/>
                  <w:noWrap w:val="0"/>
                  <w:vAlign w:val="center"/>
                </w:tcPr>
                <w:p>
                  <w:pPr>
                    <w:autoSpaceDE w:val="0"/>
                    <w:autoSpaceDN w:val="0"/>
                    <w:adjustRightInd w:val="0"/>
                    <w:jc w:val="center"/>
                    <w:rPr>
                      <w:rFonts w:hint="default" w:ascii="Times New Roman" w:hAnsi="Times New Roman" w:eastAsia="宋体" w:cs="Times New Roman"/>
                      <w:color w:val="auto"/>
                      <w:kern w:val="0"/>
                      <w:highlight w:val="none"/>
                      <w:u w:val="single"/>
                      <w:lang w:val="en-US" w:eastAsia="zh-CN"/>
                    </w:rPr>
                  </w:pPr>
                  <w:r>
                    <w:rPr>
                      <w:rFonts w:hint="eastAsia" w:cs="Times New Roman"/>
                      <w:color w:val="auto"/>
                      <w:kern w:val="0"/>
                      <w:highlight w:val="none"/>
                      <w:u w:val="single"/>
                      <w:lang w:val="en-US" w:eastAsia="zh-CN"/>
                    </w:rPr>
                    <w:t>64.15t/d</w:t>
                  </w:r>
                </w:p>
              </w:tc>
              <w:tc>
                <w:tcPr>
                  <w:tcW w:w="1010" w:type="pct"/>
                  <w:noWrap w:val="0"/>
                  <w:vAlign w:val="center"/>
                </w:tcPr>
                <w:p>
                  <w:pPr>
                    <w:autoSpaceDE w:val="0"/>
                    <w:autoSpaceDN w:val="0"/>
                    <w:adjustRightInd w:val="0"/>
                    <w:jc w:val="center"/>
                    <w:rPr>
                      <w:rFonts w:hint="default" w:ascii="Times New Roman" w:hAnsi="Times New Roman" w:eastAsia="宋体" w:cs="Times New Roman"/>
                      <w:color w:val="auto"/>
                      <w:kern w:val="0"/>
                      <w:highlight w:val="none"/>
                      <w:u w:val="single"/>
                      <w:lang w:val="en-US" w:eastAsia="zh-CN"/>
                    </w:rPr>
                  </w:pPr>
                  <w:r>
                    <w:rPr>
                      <w:rFonts w:hint="eastAsia" w:cs="Times New Roman"/>
                      <w:color w:val="auto"/>
                      <w:kern w:val="0"/>
                      <w:highlight w:val="none"/>
                      <w:u w:val="single"/>
                      <w:lang w:val="en-US" w:eastAsia="zh-CN"/>
                    </w:rPr>
                    <w:t>13.21t/d</w:t>
                  </w:r>
                </w:p>
              </w:tc>
              <w:tc>
                <w:tcPr>
                  <w:tcW w:w="1532" w:type="pct"/>
                  <w:noWrap w:val="0"/>
                  <w:vAlign w:val="center"/>
                </w:tcPr>
                <w:p>
                  <w:pPr>
                    <w:autoSpaceDE w:val="0"/>
                    <w:autoSpaceDN w:val="0"/>
                    <w:adjustRightInd w:val="0"/>
                    <w:jc w:val="center"/>
                    <w:rPr>
                      <w:rFonts w:hint="eastAsia" w:ascii="Times New Roman" w:hAnsi="Times New Roman" w:eastAsia="宋体" w:cs="Times New Roman"/>
                      <w:color w:val="auto"/>
                      <w:kern w:val="0"/>
                      <w:highlight w:val="none"/>
                      <w:u w:val="single"/>
                      <w:lang w:eastAsia="zh-CN"/>
                    </w:rPr>
                  </w:pPr>
                  <w:r>
                    <w:rPr>
                      <w:rFonts w:hint="eastAsia" w:cs="Times New Roman"/>
                      <w:color w:val="auto"/>
                      <w:kern w:val="0"/>
                      <w:highlight w:val="none"/>
                      <w:u w:val="single"/>
                      <w:lang w:eastAsia="zh-CN"/>
                    </w:rPr>
                    <w:t>本项目比现有工程水量小</w:t>
                  </w:r>
                </w:p>
              </w:tc>
            </w:tr>
          </w:tbl>
          <w:p>
            <w:pPr>
              <w:pStyle w:val="62"/>
              <w:bidi w:val="0"/>
              <w:rPr>
                <w:rFonts w:hint="eastAsia"/>
                <w:color w:val="auto"/>
                <w:sz w:val="24"/>
                <w:szCs w:val="24"/>
                <w:highlight w:val="none"/>
                <w:u w:val="none"/>
                <w:lang w:val="en-US" w:eastAsia="zh-CN"/>
              </w:rPr>
            </w:pPr>
            <w:r>
              <w:rPr>
                <w:rFonts w:hint="eastAsia"/>
                <w:color w:val="auto"/>
                <w:sz w:val="24"/>
                <w:szCs w:val="24"/>
                <w:highlight w:val="none"/>
                <w:u w:val="none"/>
                <w:lang w:val="en-US" w:eastAsia="zh-CN"/>
              </w:rPr>
              <w:t>参考现有验收项目数据，废水水质见下表。</w:t>
            </w:r>
          </w:p>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val="0"/>
                <w:color w:val="auto"/>
                <w:kern w:val="20"/>
                <w:sz w:val="24"/>
                <w:szCs w:val="24"/>
                <w:highlight w:val="none"/>
                <w:u w:val="none"/>
                <w:lang w:val="en-US" w:eastAsia="zh-CN" w:bidi="ar"/>
              </w:rPr>
            </w:pPr>
            <w:r>
              <w:rPr>
                <w:rFonts w:hint="default" w:ascii="Times New Roman" w:hAnsi="Times New Roman" w:eastAsia="宋体" w:cs="Times New Roman"/>
                <w:b/>
                <w:bCs w:val="0"/>
                <w:color w:val="auto"/>
                <w:kern w:val="20"/>
                <w:sz w:val="24"/>
                <w:szCs w:val="24"/>
                <w:highlight w:val="none"/>
                <w:u w:val="none"/>
                <w:lang w:val="en-US" w:eastAsia="zh-CN" w:bidi="ar"/>
              </w:rPr>
              <w:t>表</w:t>
            </w:r>
            <w:r>
              <w:rPr>
                <w:rFonts w:hint="eastAsia" w:ascii="Times New Roman" w:hAnsi="Times New Roman" w:eastAsia="宋体" w:cs="Times New Roman"/>
                <w:b/>
                <w:bCs w:val="0"/>
                <w:color w:val="auto"/>
                <w:kern w:val="20"/>
                <w:sz w:val="24"/>
                <w:szCs w:val="24"/>
                <w:highlight w:val="none"/>
                <w:u w:val="none"/>
                <w:lang w:val="en-US" w:eastAsia="zh-CN" w:bidi="ar"/>
              </w:rPr>
              <w:t>4.</w:t>
            </w:r>
            <w:r>
              <w:rPr>
                <w:rFonts w:hint="eastAsia" w:cs="Times New Roman"/>
                <w:b/>
                <w:bCs w:val="0"/>
                <w:color w:val="auto"/>
                <w:kern w:val="20"/>
                <w:sz w:val="24"/>
                <w:szCs w:val="24"/>
                <w:highlight w:val="none"/>
                <w:u w:val="none"/>
                <w:lang w:val="en-US" w:eastAsia="zh-CN" w:bidi="ar"/>
              </w:rPr>
              <w:t>3</w:t>
            </w:r>
            <w:r>
              <w:rPr>
                <w:rFonts w:hint="eastAsia" w:ascii="Times New Roman" w:hAnsi="Times New Roman" w:eastAsia="宋体" w:cs="Times New Roman"/>
                <w:b/>
                <w:bCs w:val="0"/>
                <w:color w:val="auto"/>
                <w:kern w:val="20"/>
                <w:sz w:val="24"/>
                <w:szCs w:val="24"/>
                <w:highlight w:val="none"/>
                <w:u w:val="none"/>
                <w:lang w:val="en-US" w:eastAsia="zh-CN" w:bidi="ar"/>
              </w:rPr>
              <w:t>-</w:t>
            </w:r>
            <w:r>
              <w:rPr>
                <w:rFonts w:hint="eastAsia" w:cs="Times New Roman"/>
                <w:b/>
                <w:bCs w:val="0"/>
                <w:color w:val="auto"/>
                <w:kern w:val="20"/>
                <w:sz w:val="24"/>
                <w:szCs w:val="24"/>
                <w:highlight w:val="none"/>
                <w:u w:val="none"/>
                <w:lang w:val="en-US" w:eastAsia="zh-CN" w:bidi="ar"/>
              </w:rPr>
              <w:t>2生产废水进口</w:t>
            </w:r>
            <w:r>
              <w:rPr>
                <w:rFonts w:hint="default" w:ascii="Times New Roman" w:hAnsi="Times New Roman" w:eastAsia="宋体" w:cs="Times New Roman"/>
                <w:b/>
                <w:bCs w:val="0"/>
                <w:color w:val="auto"/>
                <w:kern w:val="20"/>
                <w:sz w:val="24"/>
                <w:szCs w:val="24"/>
                <w:highlight w:val="none"/>
                <w:u w:val="none"/>
                <w:lang w:val="en-US" w:eastAsia="zh-CN" w:bidi="ar"/>
              </w:rPr>
              <w:t>监测结果一览表</w:t>
            </w:r>
          </w:p>
          <w:tbl>
            <w:tblPr>
              <w:tblStyle w:val="98"/>
              <w:tblW w:w="508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470"/>
              <w:gridCol w:w="1620"/>
              <w:gridCol w:w="1320"/>
              <w:gridCol w:w="1296"/>
              <w:gridCol w:w="114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vMerge w:val="restart"/>
                  <w:noWrap w:val="0"/>
                  <w:vAlign w:val="center"/>
                </w:tcPr>
                <w:p>
                  <w:pPr>
                    <w:jc w:val="center"/>
                    <w:rPr>
                      <w:rFonts w:cs="Times New Roman"/>
                      <w:b/>
                      <w:bCs w:val="0"/>
                      <w:color w:val="auto"/>
                      <w:kern w:val="0"/>
                      <w:sz w:val="21"/>
                      <w:szCs w:val="21"/>
                      <w:highlight w:val="none"/>
                      <w:u w:val="none"/>
                    </w:rPr>
                  </w:pPr>
                  <w:r>
                    <w:rPr>
                      <w:rFonts w:hint="eastAsia" w:cs="Times New Roman"/>
                      <w:b/>
                      <w:bCs w:val="0"/>
                      <w:color w:val="auto"/>
                      <w:kern w:val="0"/>
                      <w:sz w:val="21"/>
                      <w:szCs w:val="21"/>
                      <w:highlight w:val="none"/>
                      <w:u w:val="none"/>
                    </w:rPr>
                    <w:t>采样</w:t>
                  </w:r>
                  <w:r>
                    <w:rPr>
                      <w:rFonts w:cs="Times New Roman"/>
                      <w:b/>
                      <w:bCs w:val="0"/>
                      <w:color w:val="auto"/>
                      <w:kern w:val="0"/>
                      <w:sz w:val="21"/>
                      <w:szCs w:val="21"/>
                      <w:highlight w:val="none"/>
                      <w:u w:val="none"/>
                    </w:rPr>
                    <w:t>点位</w:t>
                  </w:r>
                </w:p>
              </w:tc>
              <w:tc>
                <w:tcPr>
                  <w:tcW w:w="911" w:type="pct"/>
                  <w:vMerge w:val="restart"/>
                  <w:noWrap w:val="0"/>
                  <w:vAlign w:val="center"/>
                </w:tcPr>
                <w:p>
                  <w:pPr>
                    <w:jc w:val="center"/>
                    <w:rPr>
                      <w:rFonts w:cs="Times New Roman"/>
                      <w:b/>
                      <w:bCs w:val="0"/>
                      <w:color w:val="auto"/>
                      <w:kern w:val="0"/>
                      <w:sz w:val="21"/>
                      <w:szCs w:val="21"/>
                      <w:highlight w:val="none"/>
                      <w:u w:val="none"/>
                    </w:rPr>
                  </w:pPr>
                  <w:r>
                    <w:rPr>
                      <w:rFonts w:cs="Times New Roman"/>
                      <w:b/>
                      <w:bCs w:val="0"/>
                      <w:color w:val="auto"/>
                      <w:kern w:val="0"/>
                      <w:sz w:val="21"/>
                      <w:szCs w:val="21"/>
                      <w:highlight w:val="none"/>
                      <w:u w:val="none"/>
                    </w:rPr>
                    <w:t>检测因子</w:t>
                  </w:r>
                </w:p>
              </w:tc>
              <w:tc>
                <w:tcPr>
                  <w:tcW w:w="3337" w:type="pct"/>
                  <w:gridSpan w:val="4"/>
                  <w:noWrap w:val="0"/>
                  <w:vAlign w:val="center"/>
                </w:tcPr>
                <w:p>
                  <w:pPr>
                    <w:jc w:val="center"/>
                    <w:rPr>
                      <w:rFonts w:hint="eastAsia" w:cs="Times New Roman"/>
                      <w:b/>
                      <w:bCs w:val="0"/>
                      <w:color w:val="auto"/>
                      <w:kern w:val="0"/>
                      <w:sz w:val="21"/>
                      <w:szCs w:val="21"/>
                      <w:highlight w:val="none"/>
                      <w:u w:val="none"/>
                      <w:lang w:eastAsia="zh-CN"/>
                    </w:rPr>
                  </w:pPr>
                  <w:r>
                    <w:rPr>
                      <w:rFonts w:hint="eastAsia" w:cs="Times New Roman"/>
                      <w:b/>
                      <w:bCs w:val="0"/>
                      <w:color w:val="auto"/>
                      <w:kern w:val="0"/>
                      <w:sz w:val="21"/>
                      <w:szCs w:val="21"/>
                      <w:highlight w:val="none"/>
                      <w:u w:val="none"/>
                      <w:lang w:eastAsia="zh-CN"/>
                    </w:rPr>
                    <w:t>检测结果（</w:t>
                  </w:r>
                  <w:r>
                    <w:rPr>
                      <w:rFonts w:hint="eastAsia" w:cs="Times New Roman"/>
                      <w:b/>
                      <w:bCs w:val="0"/>
                      <w:color w:val="auto"/>
                      <w:kern w:val="0"/>
                      <w:sz w:val="21"/>
                      <w:szCs w:val="21"/>
                      <w:highlight w:val="none"/>
                      <w:u w:val="none"/>
                      <w:lang w:val="en-US" w:eastAsia="zh-CN"/>
                    </w:rPr>
                    <w:t>mg/L</w:t>
                  </w:r>
                  <w:r>
                    <w:rPr>
                      <w:rFonts w:hint="eastAsia" w:cs="Times New Roman"/>
                      <w:b/>
                      <w:bCs w:val="0"/>
                      <w:color w:val="auto"/>
                      <w:kern w:val="0"/>
                      <w:sz w:val="21"/>
                      <w:szCs w:val="21"/>
                      <w:highlight w:val="none"/>
                      <w:u w:val="none"/>
                      <w:lang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51" w:type="pct"/>
                  <w:vMerge w:val="continue"/>
                  <w:noWrap w:val="0"/>
                  <w:vAlign w:val="center"/>
                </w:tcPr>
                <w:p>
                  <w:pPr>
                    <w:jc w:val="center"/>
                    <w:rPr>
                      <w:color w:val="auto"/>
                      <w:highlight w:val="none"/>
                    </w:rPr>
                  </w:pPr>
                </w:p>
              </w:tc>
              <w:tc>
                <w:tcPr>
                  <w:tcW w:w="911" w:type="pct"/>
                  <w:vMerge w:val="continue"/>
                  <w:noWrap w:val="0"/>
                  <w:vAlign w:val="center"/>
                </w:tcPr>
                <w:p>
                  <w:pPr>
                    <w:jc w:val="center"/>
                    <w:rPr>
                      <w:color w:val="auto"/>
                      <w:highlight w:val="none"/>
                    </w:rPr>
                  </w:pPr>
                </w:p>
              </w:tc>
              <w:tc>
                <w:tcPr>
                  <w:tcW w:w="1004" w:type="pct"/>
                  <w:noWrap w:val="0"/>
                  <w:vAlign w:val="center"/>
                </w:tcPr>
                <w:p>
                  <w:pPr>
                    <w:jc w:val="center"/>
                    <w:rPr>
                      <w:rFonts w:hint="default" w:cs="Times New Roman"/>
                      <w:b/>
                      <w:bCs w:val="0"/>
                      <w:color w:val="auto"/>
                      <w:kern w:val="0"/>
                      <w:sz w:val="21"/>
                      <w:szCs w:val="21"/>
                      <w:highlight w:val="none"/>
                      <w:u w:val="none"/>
                      <w:lang w:val="en-US" w:eastAsia="zh-CN"/>
                    </w:rPr>
                  </w:pPr>
                  <w:r>
                    <w:rPr>
                      <w:rFonts w:hint="eastAsia" w:cs="Times New Roman"/>
                      <w:b/>
                      <w:bCs w:val="0"/>
                      <w:color w:val="auto"/>
                      <w:kern w:val="0"/>
                      <w:sz w:val="21"/>
                      <w:szCs w:val="21"/>
                      <w:highlight w:val="none"/>
                      <w:u w:val="none"/>
                      <w:lang w:val="en-US" w:eastAsia="zh-CN"/>
                    </w:rPr>
                    <w:t>2016.1.12</w:t>
                  </w:r>
                </w:p>
              </w:tc>
              <w:tc>
                <w:tcPr>
                  <w:tcW w:w="818" w:type="pct"/>
                  <w:noWrap w:val="0"/>
                  <w:vAlign w:val="center"/>
                </w:tcPr>
                <w:p>
                  <w:pPr>
                    <w:jc w:val="center"/>
                    <w:rPr>
                      <w:rFonts w:hint="default" w:cs="Times New Roman"/>
                      <w:b/>
                      <w:bCs w:val="0"/>
                      <w:color w:val="auto"/>
                      <w:kern w:val="0"/>
                      <w:sz w:val="21"/>
                      <w:szCs w:val="21"/>
                      <w:highlight w:val="none"/>
                      <w:u w:val="none"/>
                      <w:lang w:val="en-US" w:eastAsia="zh-CN"/>
                    </w:rPr>
                  </w:pPr>
                  <w:r>
                    <w:rPr>
                      <w:rFonts w:hint="eastAsia" w:cs="Times New Roman"/>
                      <w:b/>
                      <w:bCs w:val="0"/>
                      <w:color w:val="auto"/>
                      <w:kern w:val="0"/>
                      <w:sz w:val="21"/>
                      <w:szCs w:val="21"/>
                      <w:highlight w:val="none"/>
                      <w:u w:val="none"/>
                      <w:lang w:val="en-US" w:eastAsia="zh-CN"/>
                    </w:rPr>
                    <w:t>2016.1.13</w:t>
                  </w:r>
                </w:p>
              </w:tc>
              <w:tc>
                <w:tcPr>
                  <w:tcW w:w="803" w:type="pct"/>
                  <w:noWrap w:val="0"/>
                  <w:vAlign w:val="center"/>
                </w:tcPr>
                <w:p>
                  <w:pPr>
                    <w:jc w:val="center"/>
                    <w:rPr>
                      <w:rFonts w:hint="default" w:cs="Times New Roman"/>
                      <w:b/>
                      <w:bCs w:val="0"/>
                      <w:color w:val="auto"/>
                      <w:kern w:val="0"/>
                      <w:sz w:val="21"/>
                      <w:szCs w:val="21"/>
                      <w:highlight w:val="none"/>
                      <w:u w:val="none"/>
                      <w:lang w:val="en-US" w:eastAsia="zh-CN"/>
                    </w:rPr>
                  </w:pPr>
                  <w:r>
                    <w:rPr>
                      <w:rFonts w:hint="eastAsia" w:cs="Times New Roman"/>
                      <w:b/>
                      <w:bCs w:val="0"/>
                      <w:color w:val="auto"/>
                      <w:kern w:val="0"/>
                      <w:sz w:val="21"/>
                      <w:szCs w:val="21"/>
                      <w:highlight w:val="none"/>
                      <w:u w:val="none"/>
                      <w:lang w:val="en-US" w:eastAsia="zh-CN"/>
                    </w:rPr>
                    <w:t>2016.1.14</w:t>
                  </w:r>
                </w:p>
              </w:tc>
              <w:tc>
                <w:tcPr>
                  <w:tcW w:w="710" w:type="pct"/>
                  <w:noWrap w:val="0"/>
                  <w:vAlign w:val="center"/>
                </w:tcPr>
                <w:p>
                  <w:pPr>
                    <w:jc w:val="center"/>
                    <w:rPr>
                      <w:rFonts w:hint="eastAsia" w:cs="Times New Roman"/>
                      <w:b/>
                      <w:bCs w:val="0"/>
                      <w:color w:val="auto"/>
                      <w:kern w:val="0"/>
                      <w:sz w:val="21"/>
                      <w:szCs w:val="21"/>
                      <w:highlight w:val="none"/>
                      <w:u w:val="none"/>
                      <w:lang w:val="en-US" w:eastAsia="zh-CN"/>
                    </w:rPr>
                  </w:pPr>
                  <w:r>
                    <w:rPr>
                      <w:rFonts w:hint="eastAsia" w:cs="Times New Roman"/>
                      <w:b/>
                      <w:bCs w:val="0"/>
                      <w:color w:val="auto"/>
                      <w:kern w:val="0"/>
                      <w:sz w:val="21"/>
                      <w:szCs w:val="21"/>
                      <w:highlight w:val="none"/>
                      <w:u w:val="none"/>
                      <w:lang w:val="en-US" w:eastAsia="zh-CN"/>
                    </w:rPr>
                    <w:t>均值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restart"/>
                  <w:noWrap w:val="0"/>
                  <w:vAlign w:val="center"/>
                </w:tcPr>
                <w:p>
                  <w:pPr>
                    <w:adjustRightInd w:val="0"/>
                    <w:jc w:val="center"/>
                    <w:textAlignment w:val="baseline"/>
                    <w:rPr>
                      <w:rFonts w:hint="eastAsia" w:eastAsia="宋体" w:cs="Times New Roman"/>
                      <w:bCs/>
                      <w:color w:val="auto"/>
                      <w:kern w:val="0"/>
                      <w:sz w:val="21"/>
                      <w:szCs w:val="21"/>
                      <w:highlight w:val="none"/>
                      <w:u w:val="none"/>
                      <w:lang w:eastAsia="zh-CN"/>
                    </w:rPr>
                  </w:pPr>
                  <w:r>
                    <w:rPr>
                      <w:rFonts w:hint="eastAsia" w:eastAsia="宋体" w:cs="Times New Roman"/>
                      <w:bCs/>
                      <w:color w:val="auto"/>
                      <w:kern w:val="0"/>
                      <w:sz w:val="21"/>
                      <w:szCs w:val="21"/>
                      <w:highlight w:val="none"/>
                      <w:u w:val="none"/>
                      <w:lang w:eastAsia="zh-CN"/>
                    </w:rPr>
                    <w:t>污水处理设施进口</w:t>
                  </w:r>
                </w:p>
              </w:tc>
              <w:tc>
                <w:tcPr>
                  <w:tcW w:w="911" w:type="pct"/>
                  <w:noWrap w:val="0"/>
                  <w:vAlign w:val="center"/>
                </w:tcPr>
                <w:p>
                  <w:pPr>
                    <w:widowControl/>
                    <w:jc w:val="center"/>
                    <w:textAlignment w:val="bottom"/>
                    <w:rPr>
                      <w:rFonts w:cs="Times New Roman"/>
                      <w:bCs/>
                      <w:color w:val="auto"/>
                      <w:kern w:val="0"/>
                      <w:sz w:val="21"/>
                      <w:szCs w:val="21"/>
                      <w:highlight w:val="none"/>
                      <w:u w:val="none"/>
                    </w:rPr>
                  </w:pPr>
                  <w:r>
                    <w:rPr>
                      <w:rFonts w:cs="Times New Roman"/>
                      <w:bCs/>
                      <w:color w:val="auto"/>
                      <w:kern w:val="0"/>
                      <w:sz w:val="21"/>
                      <w:szCs w:val="21"/>
                      <w:highlight w:val="none"/>
                      <w:u w:val="none"/>
                    </w:rPr>
                    <w:t>悬浮物</w:t>
                  </w:r>
                </w:p>
              </w:tc>
              <w:tc>
                <w:tcPr>
                  <w:tcW w:w="1004" w:type="pct"/>
                  <w:noWrap w:val="0"/>
                  <w:vAlign w:val="center"/>
                </w:tcPr>
                <w:p>
                  <w:pPr>
                    <w:widowControl/>
                    <w:jc w:val="center"/>
                    <w:textAlignment w:val="bottom"/>
                    <w:rPr>
                      <w:rFonts w:hint="default" w:eastAsia="宋体" w:cs="Times New Roman"/>
                      <w:bCs/>
                      <w:color w:val="auto"/>
                      <w:kern w:val="0"/>
                      <w:sz w:val="21"/>
                      <w:szCs w:val="21"/>
                      <w:highlight w:val="none"/>
                      <w:u w:val="none"/>
                      <w:lang w:val="en-US" w:eastAsia="zh-CN"/>
                    </w:rPr>
                  </w:pPr>
                  <w:r>
                    <w:rPr>
                      <w:rFonts w:hint="eastAsia" w:eastAsia="宋体" w:cs="Times New Roman"/>
                      <w:bCs/>
                      <w:color w:val="auto"/>
                      <w:kern w:val="0"/>
                      <w:sz w:val="21"/>
                      <w:szCs w:val="21"/>
                      <w:highlight w:val="none"/>
                      <w:u w:val="none"/>
                      <w:lang w:val="en-US" w:eastAsia="zh-CN"/>
                    </w:rPr>
                    <w:t>690</w:t>
                  </w:r>
                </w:p>
              </w:tc>
              <w:tc>
                <w:tcPr>
                  <w:tcW w:w="818"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685</w:t>
                  </w:r>
                </w:p>
              </w:tc>
              <w:tc>
                <w:tcPr>
                  <w:tcW w:w="803"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692</w:t>
                  </w:r>
                </w:p>
              </w:tc>
              <w:tc>
                <w:tcPr>
                  <w:tcW w:w="710" w:type="pct"/>
                  <w:noWrap w:val="0"/>
                  <w:vAlign w:val="center"/>
                </w:tcPr>
                <w:p>
                  <w:pPr>
                    <w:jc w:val="center"/>
                    <w:rPr>
                      <w:rFonts w:hint="eastAsia"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689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noWrap w:val="0"/>
                  <w:vAlign w:val="center"/>
                </w:tcPr>
                <w:p>
                  <w:pPr>
                    <w:adjustRightInd w:val="0"/>
                    <w:jc w:val="center"/>
                    <w:textAlignment w:val="baseline"/>
                    <w:rPr>
                      <w:rFonts w:cs="Times New Roman"/>
                      <w:bCs/>
                      <w:color w:val="auto"/>
                      <w:kern w:val="0"/>
                      <w:sz w:val="21"/>
                      <w:szCs w:val="21"/>
                      <w:highlight w:val="none"/>
                      <w:u w:val="none"/>
                    </w:rPr>
                  </w:pPr>
                </w:p>
              </w:tc>
              <w:tc>
                <w:tcPr>
                  <w:tcW w:w="911" w:type="pct"/>
                  <w:noWrap w:val="0"/>
                  <w:vAlign w:val="center"/>
                </w:tcPr>
                <w:p>
                  <w:pPr>
                    <w:widowControl/>
                    <w:adjustRightInd w:val="0"/>
                    <w:jc w:val="center"/>
                    <w:rPr>
                      <w:rFonts w:cs="Times New Roman"/>
                      <w:bCs/>
                      <w:color w:val="auto"/>
                      <w:kern w:val="0"/>
                      <w:sz w:val="21"/>
                      <w:szCs w:val="21"/>
                      <w:highlight w:val="none"/>
                      <w:u w:val="none"/>
                    </w:rPr>
                  </w:pPr>
                  <w:r>
                    <w:rPr>
                      <w:rFonts w:cs="Times New Roman"/>
                      <w:bCs/>
                      <w:color w:val="auto"/>
                      <w:kern w:val="0"/>
                      <w:sz w:val="21"/>
                      <w:szCs w:val="21"/>
                      <w:highlight w:val="none"/>
                      <w:u w:val="none"/>
                    </w:rPr>
                    <w:t>化学需氧量</w:t>
                  </w:r>
                </w:p>
              </w:tc>
              <w:tc>
                <w:tcPr>
                  <w:tcW w:w="1004" w:type="pct"/>
                  <w:noWrap w:val="0"/>
                  <w:vAlign w:val="center"/>
                </w:tcPr>
                <w:p>
                  <w:pPr>
                    <w:widowControl/>
                    <w:adjustRightInd w:val="0"/>
                    <w:jc w:val="center"/>
                    <w:rPr>
                      <w:rFonts w:hint="default" w:eastAsia="宋体" w:cs="Times New Roman"/>
                      <w:bCs/>
                      <w:color w:val="auto"/>
                      <w:kern w:val="0"/>
                      <w:sz w:val="21"/>
                      <w:szCs w:val="21"/>
                      <w:highlight w:val="none"/>
                      <w:u w:val="none"/>
                      <w:lang w:val="en-US" w:eastAsia="zh-CN"/>
                    </w:rPr>
                  </w:pPr>
                  <w:r>
                    <w:rPr>
                      <w:rFonts w:hint="eastAsia" w:eastAsia="宋体" w:cs="Times New Roman"/>
                      <w:bCs/>
                      <w:color w:val="auto"/>
                      <w:kern w:val="0"/>
                      <w:sz w:val="21"/>
                      <w:szCs w:val="21"/>
                      <w:highlight w:val="none"/>
                      <w:u w:val="none"/>
                      <w:lang w:val="en-US" w:eastAsia="zh-CN"/>
                    </w:rPr>
                    <w:t>143</w:t>
                  </w:r>
                </w:p>
              </w:tc>
              <w:tc>
                <w:tcPr>
                  <w:tcW w:w="818" w:type="pct"/>
                  <w:noWrap w:val="0"/>
                  <w:vAlign w:val="center"/>
                </w:tcPr>
                <w:p>
                  <w:pPr>
                    <w:widowControl/>
                    <w:adjustRightInd w:val="0"/>
                    <w:jc w:val="center"/>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158</w:t>
                  </w:r>
                </w:p>
              </w:tc>
              <w:tc>
                <w:tcPr>
                  <w:tcW w:w="803" w:type="pct"/>
                  <w:noWrap w:val="0"/>
                  <w:vAlign w:val="center"/>
                </w:tcPr>
                <w:p>
                  <w:pPr>
                    <w:widowControl/>
                    <w:adjustRightInd w:val="0"/>
                    <w:jc w:val="center"/>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164</w:t>
                  </w:r>
                </w:p>
              </w:tc>
              <w:tc>
                <w:tcPr>
                  <w:tcW w:w="710" w:type="pct"/>
                  <w:noWrap w:val="0"/>
                  <w:vAlign w:val="center"/>
                </w:tcPr>
                <w:p>
                  <w:pPr>
                    <w:jc w:val="center"/>
                    <w:rPr>
                      <w:rFonts w:hint="eastAsia"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155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noWrap w:val="0"/>
                  <w:vAlign w:val="top"/>
                </w:tcPr>
                <w:p>
                  <w:pPr>
                    <w:adjustRightInd w:val="0"/>
                    <w:jc w:val="center"/>
                    <w:textAlignment w:val="baseline"/>
                    <w:rPr>
                      <w:rFonts w:cs="Times New Roman"/>
                      <w:bCs/>
                      <w:color w:val="auto"/>
                      <w:kern w:val="0"/>
                      <w:sz w:val="21"/>
                      <w:szCs w:val="21"/>
                      <w:highlight w:val="none"/>
                      <w:u w:val="none"/>
                    </w:rPr>
                  </w:pPr>
                </w:p>
              </w:tc>
              <w:tc>
                <w:tcPr>
                  <w:tcW w:w="911" w:type="pct"/>
                  <w:noWrap w:val="0"/>
                  <w:vAlign w:val="center"/>
                </w:tcPr>
                <w:p>
                  <w:pPr>
                    <w:widowControl/>
                    <w:jc w:val="center"/>
                    <w:textAlignment w:val="bottom"/>
                    <w:rPr>
                      <w:rFonts w:cs="Times New Roman"/>
                      <w:bCs/>
                      <w:color w:val="auto"/>
                      <w:kern w:val="0"/>
                      <w:sz w:val="21"/>
                      <w:szCs w:val="21"/>
                      <w:highlight w:val="none"/>
                      <w:u w:val="none"/>
                    </w:rPr>
                  </w:pPr>
                  <w:r>
                    <w:rPr>
                      <w:rFonts w:hint="default" w:ascii="Times New Roman" w:hAnsi="Times New Roman" w:eastAsia="宋体" w:cs="Times New Roman"/>
                      <w:b w:val="0"/>
                      <w:bCs/>
                      <w:color w:val="auto"/>
                      <w:kern w:val="28"/>
                      <w:sz w:val="21"/>
                      <w:szCs w:val="21"/>
                      <w:highlight w:val="none"/>
                      <w:u w:val="none"/>
                      <w:lang w:val="en-US" w:eastAsia="zh-CN" w:bidi="ar"/>
                    </w:rPr>
                    <w:t>BOD</w:t>
                  </w:r>
                  <w:r>
                    <w:rPr>
                      <w:rFonts w:hint="default" w:ascii="Times New Roman" w:hAnsi="Times New Roman" w:eastAsia="宋体" w:cs="Times New Roman"/>
                      <w:b w:val="0"/>
                      <w:bCs/>
                      <w:color w:val="auto"/>
                      <w:kern w:val="28"/>
                      <w:sz w:val="21"/>
                      <w:szCs w:val="21"/>
                      <w:highlight w:val="none"/>
                      <w:u w:val="none"/>
                      <w:vertAlign w:val="subscript"/>
                      <w:lang w:val="en-US" w:eastAsia="zh-CN" w:bidi="ar"/>
                    </w:rPr>
                    <w:t>5</w:t>
                  </w:r>
                </w:p>
              </w:tc>
              <w:tc>
                <w:tcPr>
                  <w:tcW w:w="1004" w:type="pct"/>
                  <w:noWrap w:val="0"/>
                  <w:vAlign w:val="center"/>
                </w:tcPr>
                <w:p>
                  <w:pPr>
                    <w:widowControl/>
                    <w:jc w:val="center"/>
                    <w:textAlignment w:val="bottom"/>
                    <w:rPr>
                      <w:rFonts w:hint="default" w:ascii="Times New Roman" w:hAnsi="Times New Roman" w:eastAsia="宋体" w:cs="Times New Roman"/>
                      <w:b w:val="0"/>
                      <w:bCs/>
                      <w:color w:val="auto"/>
                      <w:kern w:val="28"/>
                      <w:sz w:val="21"/>
                      <w:szCs w:val="21"/>
                      <w:highlight w:val="none"/>
                      <w:u w:val="none"/>
                      <w:lang w:val="en-US" w:eastAsia="zh-CN" w:bidi="ar"/>
                    </w:rPr>
                  </w:pPr>
                  <w:r>
                    <w:rPr>
                      <w:rFonts w:hint="eastAsia" w:ascii="Times New Roman" w:hAnsi="Times New Roman" w:eastAsia="宋体" w:cs="Times New Roman"/>
                      <w:b w:val="0"/>
                      <w:bCs/>
                      <w:color w:val="auto"/>
                      <w:kern w:val="28"/>
                      <w:sz w:val="21"/>
                      <w:szCs w:val="21"/>
                      <w:highlight w:val="none"/>
                      <w:u w:val="none"/>
                      <w:lang w:val="en-US" w:eastAsia="zh-CN" w:bidi="ar"/>
                    </w:rPr>
                    <w:t>36.3</w:t>
                  </w:r>
                </w:p>
              </w:tc>
              <w:tc>
                <w:tcPr>
                  <w:tcW w:w="818"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42.9</w:t>
                  </w:r>
                </w:p>
              </w:tc>
              <w:tc>
                <w:tcPr>
                  <w:tcW w:w="803"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42.8</w:t>
                  </w:r>
                </w:p>
              </w:tc>
              <w:tc>
                <w:tcPr>
                  <w:tcW w:w="710" w:type="pct"/>
                  <w:noWrap w:val="0"/>
                  <w:vAlign w:val="center"/>
                </w:tcPr>
                <w:p>
                  <w:pPr>
                    <w:jc w:val="center"/>
                    <w:rPr>
                      <w:rFonts w:hint="eastAsia"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40.67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noWrap w:val="0"/>
                  <w:vAlign w:val="top"/>
                </w:tcPr>
                <w:p>
                  <w:pPr>
                    <w:adjustRightInd w:val="0"/>
                    <w:jc w:val="center"/>
                    <w:textAlignment w:val="baseline"/>
                    <w:rPr>
                      <w:rFonts w:cs="Times New Roman"/>
                      <w:bCs/>
                      <w:color w:val="auto"/>
                      <w:kern w:val="0"/>
                      <w:sz w:val="21"/>
                      <w:szCs w:val="21"/>
                      <w:highlight w:val="none"/>
                      <w:u w:val="none"/>
                    </w:rPr>
                  </w:pPr>
                </w:p>
              </w:tc>
              <w:tc>
                <w:tcPr>
                  <w:tcW w:w="911" w:type="pct"/>
                  <w:noWrap w:val="0"/>
                  <w:vAlign w:val="center"/>
                </w:tcPr>
                <w:p>
                  <w:pPr>
                    <w:widowControl/>
                    <w:jc w:val="center"/>
                    <w:textAlignment w:val="bottom"/>
                    <w:rPr>
                      <w:rFonts w:cs="Times New Roman"/>
                      <w:bCs/>
                      <w:color w:val="auto"/>
                      <w:kern w:val="0"/>
                      <w:sz w:val="21"/>
                      <w:szCs w:val="21"/>
                      <w:highlight w:val="none"/>
                      <w:u w:val="none"/>
                    </w:rPr>
                  </w:pPr>
                  <w:r>
                    <w:rPr>
                      <w:rFonts w:cs="Times New Roman"/>
                      <w:bCs/>
                      <w:color w:val="auto"/>
                      <w:kern w:val="0"/>
                      <w:sz w:val="21"/>
                      <w:szCs w:val="21"/>
                      <w:highlight w:val="none"/>
                      <w:u w:val="none"/>
                    </w:rPr>
                    <w:t>氨氮</w:t>
                  </w:r>
                </w:p>
              </w:tc>
              <w:tc>
                <w:tcPr>
                  <w:tcW w:w="1004" w:type="pct"/>
                  <w:noWrap w:val="0"/>
                  <w:vAlign w:val="center"/>
                </w:tcPr>
                <w:p>
                  <w:pPr>
                    <w:widowControl/>
                    <w:jc w:val="center"/>
                    <w:textAlignment w:val="bottom"/>
                    <w:rPr>
                      <w:rFonts w:hint="default" w:eastAsia="宋体" w:cs="Times New Roman"/>
                      <w:bCs/>
                      <w:color w:val="auto"/>
                      <w:kern w:val="0"/>
                      <w:sz w:val="21"/>
                      <w:szCs w:val="21"/>
                      <w:highlight w:val="none"/>
                      <w:u w:val="none"/>
                      <w:lang w:val="en-US" w:eastAsia="zh-CN"/>
                    </w:rPr>
                  </w:pPr>
                  <w:r>
                    <w:rPr>
                      <w:rFonts w:hint="eastAsia" w:eastAsia="宋体" w:cs="Times New Roman"/>
                      <w:bCs/>
                      <w:color w:val="auto"/>
                      <w:kern w:val="0"/>
                      <w:sz w:val="21"/>
                      <w:szCs w:val="21"/>
                      <w:highlight w:val="none"/>
                      <w:u w:val="none"/>
                      <w:lang w:val="en-US" w:eastAsia="zh-CN"/>
                    </w:rPr>
                    <w:t>30.42</w:t>
                  </w:r>
                </w:p>
              </w:tc>
              <w:tc>
                <w:tcPr>
                  <w:tcW w:w="818"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35.75</w:t>
                  </w:r>
                </w:p>
              </w:tc>
              <w:tc>
                <w:tcPr>
                  <w:tcW w:w="803"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37.52</w:t>
                  </w:r>
                </w:p>
              </w:tc>
              <w:tc>
                <w:tcPr>
                  <w:tcW w:w="710" w:type="pct"/>
                  <w:noWrap w:val="0"/>
                  <w:vAlign w:val="center"/>
                </w:tcPr>
                <w:p>
                  <w:pPr>
                    <w:jc w:val="center"/>
                    <w:rPr>
                      <w:rFonts w:hint="eastAsia"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34.56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noWrap w:val="0"/>
                  <w:vAlign w:val="top"/>
                </w:tcPr>
                <w:p>
                  <w:pPr>
                    <w:adjustRightInd w:val="0"/>
                    <w:jc w:val="center"/>
                    <w:textAlignment w:val="baseline"/>
                    <w:rPr>
                      <w:rFonts w:cs="Times New Roman"/>
                      <w:bCs/>
                      <w:color w:val="auto"/>
                      <w:kern w:val="0"/>
                      <w:sz w:val="21"/>
                      <w:szCs w:val="21"/>
                      <w:highlight w:val="none"/>
                      <w:u w:val="none"/>
                    </w:rPr>
                  </w:pPr>
                </w:p>
              </w:tc>
              <w:tc>
                <w:tcPr>
                  <w:tcW w:w="911" w:type="pct"/>
                  <w:noWrap w:val="0"/>
                  <w:vAlign w:val="center"/>
                </w:tcPr>
                <w:p>
                  <w:pPr>
                    <w:widowControl/>
                    <w:jc w:val="center"/>
                    <w:textAlignment w:val="bottom"/>
                    <w:rPr>
                      <w:rFonts w:hint="eastAsia" w:eastAsia="宋体" w:cs="Times New Roman"/>
                      <w:bCs/>
                      <w:color w:val="auto"/>
                      <w:kern w:val="0"/>
                      <w:sz w:val="21"/>
                      <w:szCs w:val="21"/>
                      <w:highlight w:val="none"/>
                      <w:u w:val="none"/>
                      <w:lang w:eastAsia="zh-CN"/>
                    </w:rPr>
                  </w:pPr>
                  <w:r>
                    <w:rPr>
                      <w:rFonts w:hint="eastAsia" w:cs="Times New Roman"/>
                      <w:bCs/>
                      <w:color w:val="auto"/>
                      <w:kern w:val="0"/>
                      <w:sz w:val="21"/>
                      <w:szCs w:val="21"/>
                      <w:highlight w:val="none"/>
                      <w:u w:val="none"/>
                      <w:lang w:eastAsia="zh-CN"/>
                    </w:rPr>
                    <w:t>石油类</w:t>
                  </w:r>
                </w:p>
              </w:tc>
              <w:tc>
                <w:tcPr>
                  <w:tcW w:w="1004"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1.95</w:t>
                  </w:r>
                </w:p>
              </w:tc>
              <w:tc>
                <w:tcPr>
                  <w:tcW w:w="818"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2.12</w:t>
                  </w:r>
                </w:p>
              </w:tc>
              <w:tc>
                <w:tcPr>
                  <w:tcW w:w="803"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2.10</w:t>
                  </w:r>
                </w:p>
              </w:tc>
              <w:tc>
                <w:tcPr>
                  <w:tcW w:w="710" w:type="pct"/>
                  <w:noWrap w:val="0"/>
                  <w:vAlign w:val="center"/>
                </w:tcPr>
                <w:p>
                  <w:pPr>
                    <w:jc w:val="center"/>
                    <w:rPr>
                      <w:rFonts w:hint="eastAsia"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2.06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Merge w:val="continue"/>
                  <w:noWrap w:val="0"/>
                  <w:vAlign w:val="top"/>
                </w:tcPr>
                <w:p>
                  <w:pPr>
                    <w:adjustRightInd w:val="0"/>
                    <w:jc w:val="center"/>
                    <w:textAlignment w:val="baseline"/>
                    <w:rPr>
                      <w:rFonts w:cs="Times New Roman"/>
                      <w:bCs/>
                      <w:color w:val="auto"/>
                      <w:kern w:val="0"/>
                      <w:sz w:val="21"/>
                      <w:szCs w:val="21"/>
                      <w:highlight w:val="none"/>
                      <w:u w:val="none"/>
                    </w:rPr>
                  </w:pPr>
                </w:p>
              </w:tc>
              <w:tc>
                <w:tcPr>
                  <w:tcW w:w="911" w:type="pct"/>
                  <w:noWrap w:val="0"/>
                  <w:vAlign w:val="center"/>
                </w:tcPr>
                <w:p>
                  <w:pPr>
                    <w:widowControl/>
                    <w:jc w:val="center"/>
                    <w:textAlignment w:val="bottom"/>
                    <w:rPr>
                      <w:rFonts w:hint="eastAsia" w:cs="Times New Roman"/>
                      <w:bCs/>
                      <w:color w:val="auto"/>
                      <w:kern w:val="0"/>
                      <w:sz w:val="21"/>
                      <w:szCs w:val="21"/>
                      <w:highlight w:val="none"/>
                      <w:u w:val="none"/>
                      <w:lang w:eastAsia="zh-CN"/>
                    </w:rPr>
                  </w:pPr>
                  <w:r>
                    <w:rPr>
                      <w:rFonts w:hint="eastAsia" w:cs="Times New Roman"/>
                      <w:bCs/>
                      <w:color w:val="auto"/>
                      <w:kern w:val="0"/>
                      <w:sz w:val="21"/>
                      <w:szCs w:val="21"/>
                      <w:highlight w:val="none"/>
                      <w:u w:val="none"/>
                      <w:lang w:eastAsia="zh-CN"/>
                    </w:rPr>
                    <w:t>总铁</w:t>
                  </w:r>
                </w:p>
              </w:tc>
              <w:tc>
                <w:tcPr>
                  <w:tcW w:w="1004"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391</w:t>
                  </w:r>
                </w:p>
              </w:tc>
              <w:tc>
                <w:tcPr>
                  <w:tcW w:w="818"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426</w:t>
                  </w:r>
                </w:p>
              </w:tc>
              <w:tc>
                <w:tcPr>
                  <w:tcW w:w="803" w:type="pct"/>
                  <w:noWrap w:val="0"/>
                  <w:vAlign w:val="center"/>
                </w:tcPr>
                <w:p>
                  <w:pPr>
                    <w:widowControl/>
                    <w:jc w:val="center"/>
                    <w:textAlignment w:val="bottom"/>
                    <w:rPr>
                      <w:rFonts w:hint="default"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401</w:t>
                  </w:r>
                </w:p>
              </w:tc>
              <w:tc>
                <w:tcPr>
                  <w:tcW w:w="710" w:type="pct"/>
                  <w:noWrap w:val="0"/>
                  <w:vAlign w:val="center"/>
                </w:tcPr>
                <w:p>
                  <w:pPr>
                    <w:jc w:val="center"/>
                    <w:rPr>
                      <w:rFonts w:hint="eastAsia"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406</w:t>
                  </w:r>
                </w:p>
              </w:tc>
            </w:tr>
          </w:tbl>
          <w:p>
            <w:pPr>
              <w:pStyle w:val="62"/>
              <w:bidi w:val="0"/>
              <w:rPr>
                <w:rFonts w:hint="eastAsia" w:ascii="Times New Roman" w:hAnsi="Times New Roman" w:eastAsia="宋体" w:cs="宋体"/>
                <w:color w:val="auto"/>
                <w:sz w:val="24"/>
                <w:szCs w:val="24"/>
                <w:highlight w:val="none"/>
                <w:u w:val="none"/>
                <w:lang w:val="en-US" w:eastAsia="zh-CN"/>
              </w:rPr>
            </w:pPr>
            <w:r>
              <w:rPr>
                <w:rFonts w:hint="eastAsia" w:cs="宋体"/>
                <w:color w:val="auto"/>
                <w:sz w:val="24"/>
                <w:szCs w:val="24"/>
                <w:highlight w:val="none"/>
                <w:u w:val="none"/>
                <w:lang w:val="en-US" w:eastAsia="zh-CN"/>
              </w:rPr>
              <w:t>同时参考废水排放浓度，</w:t>
            </w:r>
            <w:r>
              <w:rPr>
                <w:rFonts w:hint="eastAsia" w:ascii="Times New Roman" w:hAnsi="Times New Roman" w:eastAsia="宋体" w:cs="宋体"/>
                <w:color w:val="auto"/>
                <w:sz w:val="24"/>
                <w:szCs w:val="24"/>
                <w:highlight w:val="none"/>
                <w:u w:val="none"/>
                <w:lang w:val="en-US" w:eastAsia="zh-CN"/>
              </w:rPr>
              <w:t>项目总磷、总氮参考现有生产废水总排放口水质，</w:t>
            </w:r>
            <w:r>
              <w:rPr>
                <w:rFonts w:hint="eastAsia" w:cs="宋体"/>
                <w:color w:val="auto"/>
                <w:sz w:val="24"/>
                <w:szCs w:val="24"/>
                <w:highlight w:val="none"/>
                <w:u w:val="none"/>
                <w:lang w:val="en-US" w:eastAsia="zh-CN"/>
              </w:rPr>
              <w:t>总磷的排放浓度为0.15mg/L、总氮的排放浓度为1mg/L，反推出</w:t>
            </w:r>
            <w:r>
              <w:rPr>
                <w:rFonts w:hint="eastAsia" w:ascii="Times New Roman" w:hAnsi="Times New Roman" w:eastAsia="宋体" w:cs="宋体"/>
                <w:color w:val="auto"/>
                <w:sz w:val="24"/>
                <w:szCs w:val="24"/>
                <w:highlight w:val="none"/>
                <w:u w:val="none"/>
                <w:lang w:val="en-US" w:eastAsia="zh-CN"/>
              </w:rPr>
              <w:t>总磷产生浓度为</w:t>
            </w:r>
            <w:r>
              <w:rPr>
                <w:rFonts w:hint="eastAsia" w:cs="宋体"/>
                <w:color w:val="auto"/>
                <w:sz w:val="24"/>
                <w:szCs w:val="24"/>
                <w:highlight w:val="none"/>
                <w:u w:val="none"/>
                <w:lang w:val="en-US" w:eastAsia="zh-CN"/>
              </w:rPr>
              <w:t>1</w:t>
            </w:r>
            <w:r>
              <w:rPr>
                <w:rFonts w:hint="eastAsia" w:ascii="Times New Roman" w:hAnsi="Times New Roman" w:eastAsia="宋体" w:cs="宋体"/>
                <w:color w:val="auto"/>
                <w:sz w:val="24"/>
                <w:szCs w:val="24"/>
                <w:highlight w:val="none"/>
                <w:u w:val="none"/>
                <w:lang w:val="en-US" w:eastAsia="zh-CN"/>
              </w:rPr>
              <w:t>mg/L，总氮产生浓度为</w:t>
            </w:r>
            <w:r>
              <w:rPr>
                <w:rFonts w:hint="eastAsia" w:cs="宋体"/>
                <w:color w:val="auto"/>
                <w:sz w:val="24"/>
                <w:szCs w:val="24"/>
                <w:highlight w:val="none"/>
                <w:u w:val="none"/>
                <w:lang w:val="en-US" w:eastAsia="zh-CN"/>
              </w:rPr>
              <w:t>5</w:t>
            </w:r>
            <w:r>
              <w:rPr>
                <w:rFonts w:hint="eastAsia" w:ascii="Times New Roman" w:hAnsi="Times New Roman" w:eastAsia="宋体" w:cs="宋体"/>
                <w:color w:val="auto"/>
                <w:sz w:val="24"/>
                <w:szCs w:val="24"/>
                <w:highlight w:val="none"/>
                <w:u w:val="none"/>
                <w:lang w:val="en-US" w:eastAsia="zh-CN"/>
              </w:rPr>
              <w:t>mg/L。因此，根据类比法调查结果综合确定，本项目源强分别取CODcr</w:t>
            </w:r>
            <w:r>
              <w:rPr>
                <w:rFonts w:hint="eastAsia" w:cs="宋体"/>
                <w:color w:val="auto"/>
                <w:sz w:val="24"/>
                <w:szCs w:val="24"/>
                <w:highlight w:val="none"/>
                <w:u w:val="none"/>
                <w:lang w:val="en-US" w:eastAsia="zh-CN"/>
              </w:rPr>
              <w:t>2</w:t>
            </w:r>
            <w:r>
              <w:rPr>
                <w:rFonts w:hint="eastAsia" w:ascii="Times New Roman" w:hAnsi="Times New Roman" w:eastAsia="宋体" w:cs="宋体"/>
                <w:color w:val="auto"/>
                <w:sz w:val="24"/>
                <w:szCs w:val="24"/>
                <w:highlight w:val="none"/>
                <w:u w:val="none"/>
                <w:lang w:val="en-US" w:eastAsia="zh-CN"/>
              </w:rPr>
              <w:t>00mg/L、氨氮3</w:t>
            </w:r>
            <w:r>
              <w:rPr>
                <w:rFonts w:hint="eastAsia" w:cs="宋体"/>
                <w:color w:val="auto"/>
                <w:sz w:val="24"/>
                <w:szCs w:val="24"/>
                <w:highlight w:val="none"/>
                <w:u w:val="none"/>
                <w:lang w:val="en-US" w:eastAsia="zh-CN"/>
              </w:rPr>
              <w:t>5</w:t>
            </w:r>
            <w:r>
              <w:rPr>
                <w:rFonts w:hint="eastAsia" w:ascii="Times New Roman" w:hAnsi="Times New Roman" w:eastAsia="宋体" w:cs="宋体"/>
                <w:color w:val="auto"/>
                <w:sz w:val="24"/>
                <w:szCs w:val="24"/>
                <w:highlight w:val="none"/>
                <w:u w:val="none"/>
                <w:lang w:val="en-US" w:eastAsia="zh-CN"/>
              </w:rPr>
              <w:t>mg/L、</w:t>
            </w:r>
            <w:r>
              <w:rPr>
                <w:rFonts w:hint="eastAsia" w:cs="宋体"/>
                <w:color w:val="auto"/>
                <w:sz w:val="24"/>
                <w:szCs w:val="24"/>
                <w:highlight w:val="none"/>
                <w:u w:val="none"/>
                <w:lang w:val="en-US" w:eastAsia="zh-CN"/>
              </w:rPr>
              <w:t>BOD</w:t>
            </w:r>
            <w:r>
              <w:rPr>
                <w:rFonts w:hint="eastAsia" w:cs="宋体"/>
                <w:color w:val="auto"/>
                <w:sz w:val="24"/>
                <w:szCs w:val="24"/>
                <w:highlight w:val="none"/>
                <w:u w:val="none"/>
                <w:vertAlign w:val="subscript"/>
                <w:lang w:val="en-US" w:eastAsia="zh-CN"/>
              </w:rPr>
              <w:t>5</w:t>
            </w:r>
            <w:r>
              <w:rPr>
                <w:rFonts w:hint="eastAsia" w:cs="宋体"/>
                <w:color w:val="auto"/>
                <w:sz w:val="24"/>
                <w:szCs w:val="24"/>
                <w:highlight w:val="none"/>
                <w:u w:val="none"/>
                <w:lang w:val="en-US" w:eastAsia="zh-CN"/>
              </w:rPr>
              <w:t>100</w:t>
            </w:r>
            <w:r>
              <w:rPr>
                <w:rFonts w:hint="eastAsia" w:ascii="Times New Roman" w:hAnsi="Times New Roman" w:eastAsia="宋体" w:cs="宋体"/>
                <w:color w:val="auto"/>
                <w:sz w:val="24"/>
                <w:szCs w:val="24"/>
                <w:highlight w:val="none"/>
                <w:u w:val="none"/>
                <w:lang w:val="en-US" w:eastAsia="zh-CN"/>
              </w:rPr>
              <w:t>mg/L、总氮</w:t>
            </w:r>
            <w:r>
              <w:rPr>
                <w:rFonts w:hint="eastAsia" w:cs="宋体"/>
                <w:color w:val="auto"/>
                <w:sz w:val="24"/>
                <w:szCs w:val="24"/>
                <w:highlight w:val="none"/>
                <w:u w:val="none"/>
                <w:lang w:val="en-US" w:eastAsia="zh-CN"/>
              </w:rPr>
              <w:t>5</w:t>
            </w:r>
            <w:r>
              <w:rPr>
                <w:rFonts w:hint="eastAsia" w:ascii="Times New Roman" w:hAnsi="Times New Roman" w:eastAsia="宋体" w:cs="宋体"/>
                <w:color w:val="auto"/>
                <w:sz w:val="24"/>
                <w:szCs w:val="24"/>
                <w:highlight w:val="none"/>
                <w:u w:val="none"/>
                <w:lang w:val="en-US" w:eastAsia="zh-CN"/>
              </w:rPr>
              <w:t>mg/L、总磷</w:t>
            </w:r>
            <w:r>
              <w:rPr>
                <w:rFonts w:hint="eastAsia" w:cs="宋体"/>
                <w:color w:val="auto"/>
                <w:sz w:val="24"/>
                <w:szCs w:val="24"/>
                <w:highlight w:val="none"/>
                <w:u w:val="none"/>
                <w:lang w:val="en-US" w:eastAsia="zh-CN"/>
              </w:rPr>
              <w:t>1</w:t>
            </w:r>
            <w:r>
              <w:rPr>
                <w:rFonts w:hint="eastAsia" w:ascii="Times New Roman" w:hAnsi="Times New Roman" w:eastAsia="宋体" w:cs="宋体"/>
                <w:color w:val="auto"/>
                <w:sz w:val="24"/>
                <w:szCs w:val="24"/>
                <w:highlight w:val="none"/>
                <w:u w:val="none"/>
                <w:lang w:val="en-US" w:eastAsia="zh-CN"/>
              </w:rPr>
              <w:t>mg/L</w:t>
            </w:r>
            <w:r>
              <w:rPr>
                <w:rFonts w:hint="eastAsia" w:cs="宋体"/>
                <w:color w:val="auto"/>
                <w:sz w:val="24"/>
                <w:szCs w:val="24"/>
                <w:highlight w:val="none"/>
                <w:u w:val="none"/>
                <w:lang w:val="en-US" w:eastAsia="zh-CN"/>
              </w:rPr>
              <w:t>、</w:t>
            </w:r>
            <w:r>
              <w:rPr>
                <w:rFonts w:hint="eastAsia" w:ascii="Times New Roman" w:hAnsi="Times New Roman" w:eastAsia="宋体" w:cs="宋体"/>
                <w:color w:val="auto"/>
                <w:sz w:val="24"/>
                <w:szCs w:val="24"/>
                <w:highlight w:val="none"/>
                <w:u w:val="none"/>
                <w:lang w:val="en-US" w:eastAsia="zh-CN"/>
              </w:rPr>
              <w:t>SS</w:t>
            </w:r>
            <w:r>
              <w:rPr>
                <w:rFonts w:hint="eastAsia" w:cs="宋体"/>
                <w:color w:val="auto"/>
                <w:sz w:val="24"/>
                <w:szCs w:val="24"/>
                <w:highlight w:val="none"/>
                <w:u w:val="none"/>
                <w:lang w:val="en-US" w:eastAsia="zh-CN"/>
              </w:rPr>
              <w:t>690</w:t>
            </w:r>
            <w:r>
              <w:rPr>
                <w:rFonts w:hint="eastAsia" w:ascii="Times New Roman" w:hAnsi="Times New Roman" w:eastAsia="宋体" w:cs="宋体"/>
                <w:color w:val="auto"/>
                <w:sz w:val="24"/>
                <w:szCs w:val="24"/>
                <w:highlight w:val="none"/>
                <w:u w:val="none"/>
                <w:lang w:val="en-US" w:eastAsia="zh-CN"/>
              </w:rPr>
              <w:t>mg/L、石油类</w:t>
            </w:r>
            <w:r>
              <w:rPr>
                <w:rFonts w:hint="eastAsia" w:cs="宋体"/>
                <w:color w:val="auto"/>
                <w:sz w:val="24"/>
                <w:szCs w:val="24"/>
                <w:highlight w:val="none"/>
                <w:u w:val="none"/>
                <w:lang w:val="en-US" w:eastAsia="zh-CN"/>
              </w:rPr>
              <w:t>35</w:t>
            </w:r>
            <w:r>
              <w:rPr>
                <w:rFonts w:hint="eastAsia" w:ascii="Times New Roman" w:hAnsi="Times New Roman" w:eastAsia="宋体" w:cs="宋体"/>
                <w:color w:val="auto"/>
                <w:sz w:val="24"/>
                <w:szCs w:val="24"/>
                <w:highlight w:val="none"/>
                <w:u w:val="none"/>
                <w:lang w:val="en-US" w:eastAsia="zh-CN"/>
              </w:rPr>
              <w:t>mg/L</w:t>
            </w:r>
            <w:r>
              <w:rPr>
                <w:rFonts w:hint="eastAsia" w:cs="宋体"/>
                <w:color w:val="auto"/>
                <w:sz w:val="24"/>
                <w:szCs w:val="24"/>
                <w:highlight w:val="none"/>
                <w:u w:val="none"/>
                <w:lang w:val="en-US" w:eastAsia="zh-CN"/>
              </w:rPr>
              <w:t>、总铁410mg/L</w:t>
            </w:r>
            <w:r>
              <w:rPr>
                <w:rFonts w:hint="eastAsia" w:ascii="Times New Roman" w:hAnsi="Times New Roman" w:eastAsia="宋体" w:cs="宋体"/>
                <w:color w:val="auto"/>
                <w:sz w:val="24"/>
                <w:szCs w:val="24"/>
                <w:highlight w:val="none"/>
                <w:u w:val="none"/>
                <w:lang w:val="en-US" w:eastAsia="zh-CN"/>
              </w:rPr>
              <w:t>。</w:t>
            </w:r>
          </w:p>
          <w:p>
            <w:pPr>
              <w:pStyle w:val="62"/>
              <w:bidi w:val="0"/>
              <w:rPr>
                <w:rFonts w:hint="default" w:ascii="Times New Roman" w:hAnsi="Times New Roman" w:eastAsia="宋体" w:cs="宋体"/>
                <w:color w:val="auto"/>
                <w:sz w:val="24"/>
                <w:szCs w:val="24"/>
                <w:highlight w:val="none"/>
                <w:u w:val="none"/>
                <w:lang w:val="en-US" w:eastAsia="zh-CN"/>
              </w:rPr>
            </w:pPr>
            <w:r>
              <w:rPr>
                <w:rFonts w:hint="eastAsia"/>
                <w:color w:val="auto"/>
                <w:sz w:val="24"/>
                <w:szCs w:val="24"/>
                <w:highlight w:val="none"/>
                <w:u w:val="none"/>
                <w:lang w:val="en-US" w:eastAsia="zh-CN"/>
              </w:rPr>
              <w:t>本项目生产废水通过“中和+混凝+沉淀+砂滤”处理后达标排放，CODcr、BOD</w:t>
            </w:r>
            <w:r>
              <w:rPr>
                <w:rFonts w:hint="eastAsia"/>
                <w:color w:val="auto"/>
                <w:sz w:val="24"/>
                <w:szCs w:val="24"/>
                <w:highlight w:val="none"/>
                <w:u w:val="none"/>
                <w:vertAlign w:val="subscript"/>
                <w:lang w:val="en-US" w:eastAsia="zh-CN"/>
              </w:rPr>
              <w:t>5</w:t>
            </w:r>
            <w:r>
              <w:rPr>
                <w:rFonts w:hint="eastAsia"/>
                <w:color w:val="auto"/>
                <w:sz w:val="24"/>
                <w:szCs w:val="24"/>
                <w:highlight w:val="none"/>
                <w:u w:val="none"/>
                <w:lang w:val="en-US" w:eastAsia="zh-CN"/>
              </w:rPr>
              <w:t>不考虑去除效率，本项目处理量为4360.6t/a，</w:t>
            </w:r>
            <w:r>
              <w:rPr>
                <w:rFonts w:hint="eastAsia" w:cs="宋体"/>
                <w:color w:val="auto"/>
                <w:sz w:val="24"/>
                <w:szCs w:val="24"/>
                <w:highlight w:val="none"/>
                <w:u w:val="none"/>
                <w:lang w:val="en-US" w:eastAsia="zh-CN"/>
              </w:rPr>
              <w:t>经处理后约</w:t>
            </w:r>
            <w:r>
              <w:rPr>
                <w:rFonts w:hint="eastAsia"/>
                <w:color w:val="auto"/>
                <w:sz w:val="24"/>
                <w:szCs w:val="24"/>
                <w:highlight w:val="none"/>
                <w:u w:val="none"/>
                <w:lang w:val="en-US" w:eastAsia="zh-CN"/>
              </w:rPr>
              <w:t>2616.6t废水回用，1744t废水排湘阴县第三污水处理厂。</w:t>
            </w:r>
          </w:p>
          <w:p>
            <w:pPr>
              <w:keepNext w:val="0"/>
              <w:keepLines w:val="0"/>
              <w:widowControl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
                <w:bCs w:val="0"/>
                <w:color w:val="auto"/>
                <w:kern w:val="20"/>
                <w:sz w:val="24"/>
                <w:szCs w:val="24"/>
                <w:highlight w:val="none"/>
                <w:u w:val="none"/>
                <w:lang w:val="en-US" w:eastAsia="zh-CN" w:bidi="ar"/>
              </w:rPr>
            </w:pPr>
            <w:r>
              <w:rPr>
                <w:rFonts w:hint="eastAsia" w:ascii="Times New Roman" w:hAnsi="Times New Roman" w:eastAsia="宋体" w:cs="Times New Roman"/>
                <w:b/>
                <w:bCs w:val="0"/>
                <w:color w:val="auto"/>
                <w:kern w:val="20"/>
                <w:sz w:val="24"/>
                <w:szCs w:val="24"/>
                <w:highlight w:val="none"/>
                <w:u w:val="none"/>
                <w:lang w:val="en-US" w:eastAsia="zh-CN" w:bidi="ar"/>
              </w:rPr>
              <w:t>表4.</w:t>
            </w:r>
            <w:r>
              <w:rPr>
                <w:rFonts w:hint="eastAsia" w:cs="Times New Roman"/>
                <w:b/>
                <w:bCs w:val="0"/>
                <w:color w:val="auto"/>
                <w:kern w:val="20"/>
                <w:sz w:val="24"/>
                <w:szCs w:val="24"/>
                <w:highlight w:val="none"/>
                <w:u w:val="none"/>
                <w:lang w:val="en-US" w:eastAsia="zh-CN" w:bidi="ar"/>
              </w:rPr>
              <w:t>3</w:t>
            </w:r>
            <w:r>
              <w:rPr>
                <w:rFonts w:hint="eastAsia" w:ascii="Times New Roman" w:hAnsi="Times New Roman" w:eastAsia="宋体" w:cs="Times New Roman"/>
                <w:b/>
                <w:bCs w:val="0"/>
                <w:color w:val="auto"/>
                <w:kern w:val="20"/>
                <w:sz w:val="24"/>
                <w:szCs w:val="24"/>
                <w:highlight w:val="none"/>
                <w:u w:val="none"/>
                <w:lang w:val="en-US" w:eastAsia="zh-CN" w:bidi="ar"/>
              </w:rPr>
              <w:t>-</w:t>
            </w:r>
            <w:r>
              <w:rPr>
                <w:rFonts w:hint="eastAsia" w:cs="Times New Roman"/>
                <w:b/>
                <w:bCs w:val="0"/>
                <w:color w:val="auto"/>
                <w:kern w:val="20"/>
                <w:sz w:val="24"/>
                <w:szCs w:val="24"/>
                <w:highlight w:val="none"/>
                <w:u w:val="none"/>
                <w:lang w:val="en-US" w:eastAsia="zh-CN" w:bidi="ar"/>
              </w:rPr>
              <w:t>3</w:t>
            </w:r>
            <w:r>
              <w:rPr>
                <w:rFonts w:hint="eastAsia" w:ascii="Times New Roman" w:hAnsi="Times New Roman" w:eastAsia="宋体" w:cs="Times New Roman"/>
                <w:b/>
                <w:bCs w:val="0"/>
                <w:color w:val="auto"/>
                <w:kern w:val="20"/>
                <w:sz w:val="24"/>
                <w:szCs w:val="24"/>
                <w:highlight w:val="none"/>
                <w:u w:val="none"/>
                <w:lang w:val="en-US" w:eastAsia="zh-CN" w:bidi="ar"/>
              </w:rPr>
              <w:t>项目生产废水污染物产生及排放情况</w:t>
            </w:r>
          </w:p>
          <w:tbl>
            <w:tblPr>
              <w:tblStyle w:val="29"/>
              <w:tblW w:w="5000" w:type="pct"/>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655"/>
              <w:gridCol w:w="742"/>
              <w:gridCol w:w="874"/>
              <w:gridCol w:w="752"/>
              <w:gridCol w:w="1093"/>
              <w:gridCol w:w="1060"/>
              <w:gridCol w:w="995"/>
              <w:gridCol w:w="956"/>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restart"/>
                  <w:noWrap w:val="0"/>
                  <w:vAlign w:val="center"/>
                </w:tcPr>
                <w:p>
                  <w:pPr>
                    <w:widowControl/>
                    <w:spacing w:line="240" w:lineRule="auto"/>
                    <w:jc w:val="center"/>
                    <w:textAlignment w:val="bottom"/>
                    <w:rPr>
                      <w:rFonts w:hint="eastAsia" w:ascii="Times New Roman" w:hAnsi="Times New Roman" w:eastAsia="宋体" w:cs="Times New Roman"/>
                      <w:b/>
                      <w:bCs w:val="0"/>
                      <w:color w:val="auto"/>
                      <w:kern w:val="0"/>
                      <w:sz w:val="21"/>
                      <w:szCs w:val="21"/>
                      <w:highlight w:val="none"/>
                      <w:u w:val="none"/>
                      <w:lang w:eastAsia="zh-CN"/>
                    </w:rPr>
                  </w:pPr>
                  <w:r>
                    <w:rPr>
                      <w:rFonts w:hint="eastAsia" w:ascii="Times New Roman" w:hAnsi="Times New Roman" w:eastAsia="宋体" w:cs="Times New Roman"/>
                      <w:b/>
                      <w:bCs w:val="0"/>
                      <w:color w:val="auto"/>
                      <w:kern w:val="0"/>
                      <w:sz w:val="21"/>
                      <w:szCs w:val="21"/>
                      <w:highlight w:val="none"/>
                      <w:u w:val="none"/>
                      <w:lang w:eastAsia="zh-CN"/>
                    </w:rPr>
                    <w:t>废水名称</w:t>
                  </w:r>
                </w:p>
              </w:tc>
              <w:tc>
                <w:tcPr>
                  <w:tcW w:w="742" w:type="dxa"/>
                  <w:vMerge w:val="restart"/>
                  <w:noWrap w:val="0"/>
                  <w:vAlign w:val="center"/>
                </w:tcPr>
                <w:p>
                  <w:pPr>
                    <w:widowControl/>
                    <w:spacing w:line="240" w:lineRule="auto"/>
                    <w:jc w:val="center"/>
                    <w:textAlignment w:val="bottom"/>
                    <w:rPr>
                      <w:rFonts w:hint="eastAsia" w:ascii="Times New Roman" w:hAnsi="Times New Roman" w:eastAsia="宋体" w:cs="Times New Roman"/>
                      <w:b/>
                      <w:bCs w:val="0"/>
                      <w:color w:val="auto"/>
                      <w:kern w:val="0"/>
                      <w:sz w:val="21"/>
                      <w:szCs w:val="21"/>
                      <w:highlight w:val="none"/>
                      <w:u w:val="none"/>
                      <w:lang w:eastAsia="zh-CN"/>
                    </w:rPr>
                  </w:pPr>
                  <w:r>
                    <w:rPr>
                      <w:rFonts w:hint="eastAsia" w:ascii="Times New Roman" w:hAnsi="Times New Roman" w:eastAsia="宋体" w:cs="Times New Roman"/>
                      <w:b/>
                      <w:bCs w:val="0"/>
                      <w:color w:val="auto"/>
                      <w:kern w:val="0"/>
                      <w:sz w:val="21"/>
                      <w:szCs w:val="21"/>
                      <w:highlight w:val="none"/>
                      <w:u w:val="none"/>
                      <w:lang w:eastAsia="zh-CN"/>
                    </w:rPr>
                    <w:t>废水量m</w:t>
                  </w:r>
                  <w:r>
                    <w:rPr>
                      <w:rFonts w:hint="eastAsia" w:ascii="Times New Roman" w:hAnsi="Times New Roman" w:eastAsia="宋体" w:cs="Times New Roman"/>
                      <w:b/>
                      <w:bCs w:val="0"/>
                      <w:color w:val="auto"/>
                      <w:kern w:val="0"/>
                      <w:sz w:val="21"/>
                      <w:szCs w:val="21"/>
                      <w:highlight w:val="none"/>
                      <w:u w:val="none"/>
                      <w:vertAlign w:val="superscript"/>
                      <w:lang w:eastAsia="zh-CN"/>
                    </w:rPr>
                    <w:t>3</w:t>
                  </w:r>
                  <w:r>
                    <w:rPr>
                      <w:rFonts w:hint="eastAsia" w:ascii="Times New Roman" w:hAnsi="Times New Roman" w:eastAsia="宋体" w:cs="Times New Roman"/>
                      <w:b/>
                      <w:bCs w:val="0"/>
                      <w:color w:val="auto"/>
                      <w:kern w:val="0"/>
                      <w:sz w:val="21"/>
                      <w:szCs w:val="21"/>
                      <w:highlight w:val="none"/>
                      <w:u w:val="none"/>
                      <w:lang w:eastAsia="zh-CN"/>
                    </w:rPr>
                    <w:t>/a</w:t>
                  </w:r>
                </w:p>
              </w:tc>
              <w:tc>
                <w:tcPr>
                  <w:tcW w:w="874" w:type="dxa"/>
                  <w:vMerge w:val="restart"/>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污染物名称</w:t>
                  </w:r>
                </w:p>
              </w:tc>
              <w:tc>
                <w:tcPr>
                  <w:tcW w:w="1845" w:type="dxa"/>
                  <w:gridSpan w:val="2"/>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污染物产生情况</w:t>
                  </w:r>
                </w:p>
              </w:tc>
              <w:tc>
                <w:tcPr>
                  <w:tcW w:w="1060" w:type="dxa"/>
                  <w:vMerge w:val="restart"/>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治理措施</w:t>
                  </w:r>
                </w:p>
              </w:tc>
              <w:tc>
                <w:tcPr>
                  <w:tcW w:w="995" w:type="dxa"/>
                  <w:vMerge w:val="restart"/>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废水量m</w:t>
                  </w:r>
                  <w:r>
                    <w:rPr>
                      <w:rFonts w:hint="default" w:ascii="Times New Roman" w:hAnsi="Times New Roman" w:eastAsia="宋体" w:cs="Times New Roman"/>
                      <w:b/>
                      <w:bCs w:val="0"/>
                      <w:color w:val="auto"/>
                      <w:kern w:val="0"/>
                      <w:sz w:val="21"/>
                      <w:szCs w:val="21"/>
                      <w:highlight w:val="none"/>
                      <w:u w:val="none"/>
                      <w:vertAlign w:val="superscript"/>
                      <w:lang w:eastAsia="zh-CN"/>
                    </w:rPr>
                    <w:t>3</w:t>
                  </w:r>
                  <w:r>
                    <w:rPr>
                      <w:rFonts w:hint="default" w:ascii="Times New Roman" w:hAnsi="Times New Roman" w:eastAsia="宋体" w:cs="Times New Roman"/>
                      <w:b/>
                      <w:bCs w:val="0"/>
                      <w:color w:val="auto"/>
                      <w:kern w:val="0"/>
                      <w:sz w:val="21"/>
                      <w:szCs w:val="21"/>
                      <w:highlight w:val="none"/>
                      <w:u w:val="none"/>
                      <w:lang w:eastAsia="zh-CN"/>
                    </w:rPr>
                    <w:t>/a</w:t>
                  </w:r>
                </w:p>
              </w:tc>
              <w:tc>
                <w:tcPr>
                  <w:tcW w:w="1765" w:type="dxa"/>
                  <w:gridSpan w:val="2"/>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752" w:type="dxa"/>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浓度mg/L</w:t>
                  </w:r>
                </w:p>
              </w:tc>
              <w:tc>
                <w:tcPr>
                  <w:tcW w:w="1093" w:type="dxa"/>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产生量t/a</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p>
              </w:tc>
              <w:tc>
                <w:tcPr>
                  <w:tcW w:w="995" w:type="dxa"/>
                  <w:vMerge w:val="continue"/>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p>
              </w:tc>
              <w:tc>
                <w:tcPr>
                  <w:tcW w:w="956" w:type="dxa"/>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浓度mg/L</w:t>
                  </w:r>
                </w:p>
              </w:tc>
              <w:tc>
                <w:tcPr>
                  <w:tcW w:w="809" w:type="dxa"/>
                  <w:noWrap w:val="0"/>
                  <w:vAlign w:val="center"/>
                </w:tcPr>
                <w:p>
                  <w:pPr>
                    <w:widowControl/>
                    <w:spacing w:line="240" w:lineRule="auto"/>
                    <w:jc w:val="center"/>
                    <w:textAlignment w:val="bottom"/>
                    <w:rPr>
                      <w:rFonts w:hint="default" w:ascii="Times New Roman" w:hAnsi="Times New Roman" w:eastAsia="宋体" w:cs="Times New Roman"/>
                      <w:b/>
                      <w:bCs w:val="0"/>
                      <w:color w:val="auto"/>
                      <w:kern w:val="0"/>
                      <w:sz w:val="21"/>
                      <w:szCs w:val="21"/>
                      <w:highlight w:val="none"/>
                      <w:u w:val="none"/>
                      <w:lang w:eastAsia="zh-CN"/>
                    </w:rPr>
                  </w:pPr>
                  <w:r>
                    <w:rPr>
                      <w:rFonts w:hint="default" w:ascii="Times New Roman" w:hAnsi="Times New Roman" w:eastAsia="宋体" w:cs="Times New Roman"/>
                      <w:b/>
                      <w:bCs w:val="0"/>
                      <w:color w:val="auto"/>
                      <w:kern w:val="0"/>
                      <w:sz w:val="21"/>
                      <w:szCs w:val="21"/>
                      <w:highlight w:val="none"/>
                      <w:u w:val="none"/>
                      <w:lang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restart"/>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ascii="Times New Roman" w:hAnsi="Times New Roman" w:eastAsia="宋体" w:cs="Times New Roman"/>
                      <w:bCs/>
                      <w:color w:val="auto"/>
                      <w:kern w:val="0"/>
                      <w:sz w:val="21"/>
                      <w:szCs w:val="21"/>
                      <w:highlight w:val="none"/>
                      <w:u w:val="none"/>
                      <w:lang w:val="en-US" w:eastAsia="zh-CN"/>
                    </w:rPr>
                    <w:t>生产废水</w:t>
                  </w:r>
                </w:p>
              </w:tc>
              <w:tc>
                <w:tcPr>
                  <w:tcW w:w="742" w:type="dxa"/>
                  <w:vMerge w:val="restart"/>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4360.6</w:t>
                  </w:r>
                </w:p>
              </w:tc>
              <w:tc>
                <w:tcPr>
                  <w:tcW w:w="874" w:type="dxa"/>
                  <w:noWrap w:val="0"/>
                  <w:vAlign w:val="center"/>
                </w:tcPr>
                <w:p>
                  <w:pPr>
                    <w:spacing w:line="240" w:lineRule="auto"/>
                    <w:jc w:val="center"/>
                    <w:rPr>
                      <w:rFonts w:hint="default" w:ascii="Times New Roman" w:hAnsi="Times New Roman" w:eastAsia="宋体" w:cs="Times New Roman"/>
                      <w:bCs/>
                      <w:color w:val="auto"/>
                      <w:kern w:val="0"/>
                      <w:sz w:val="21"/>
                      <w:szCs w:val="21"/>
                      <w:highlight w:val="none"/>
                      <w:u w:val="none"/>
                      <w:lang w:eastAsia="zh-CN"/>
                    </w:rPr>
                  </w:pPr>
                  <w:r>
                    <w:rPr>
                      <w:rFonts w:ascii="Times New Roman" w:hAnsi="Times New Roman" w:cs="Times New Roman"/>
                      <w:bCs/>
                      <w:color w:val="auto"/>
                      <w:kern w:val="0"/>
                      <w:sz w:val="21"/>
                      <w:szCs w:val="21"/>
                      <w:highlight w:val="none"/>
                      <w:u w:val="none"/>
                    </w:rPr>
                    <w:t>pH值</w:t>
                  </w:r>
                </w:p>
              </w:tc>
              <w:tc>
                <w:tcPr>
                  <w:tcW w:w="1845" w:type="dxa"/>
                  <w:gridSpan w:val="2"/>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9~12</w:t>
                  </w:r>
                </w:p>
              </w:tc>
              <w:tc>
                <w:tcPr>
                  <w:tcW w:w="1060" w:type="dxa"/>
                  <w:vMerge w:val="restart"/>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r>
                    <w:rPr>
                      <w:rFonts w:hint="default" w:ascii="Times New Roman" w:hAnsi="Times New Roman" w:eastAsia="宋体" w:cs="Times New Roman"/>
                      <w:bCs/>
                      <w:color w:val="auto"/>
                      <w:kern w:val="0"/>
                      <w:sz w:val="21"/>
                      <w:szCs w:val="21"/>
                      <w:highlight w:val="none"/>
                      <w:u w:val="none"/>
                      <w:lang w:val="en-US" w:eastAsia="zh-CN"/>
                    </w:rPr>
                    <w:t>中和+混凝+沉淀+砂滤</w:t>
                  </w:r>
                  <w:r>
                    <w:rPr>
                      <w:rFonts w:hint="default" w:ascii="Times New Roman" w:hAnsi="Times New Roman" w:eastAsia="宋体" w:cs="Times New Roman"/>
                      <w:bCs/>
                      <w:color w:val="auto"/>
                      <w:kern w:val="0"/>
                      <w:sz w:val="21"/>
                      <w:szCs w:val="21"/>
                      <w:highlight w:val="none"/>
                      <w:u w:val="none"/>
                      <w:lang w:eastAsia="zh-CN"/>
                    </w:rPr>
                    <w:t>（处理能力</w:t>
                  </w:r>
                  <w:r>
                    <w:rPr>
                      <w:rFonts w:hint="default" w:ascii="Times New Roman" w:hAnsi="Times New Roman" w:eastAsia="宋体" w:cs="Times New Roman"/>
                      <w:bCs/>
                      <w:color w:val="auto"/>
                      <w:kern w:val="0"/>
                      <w:sz w:val="21"/>
                      <w:szCs w:val="21"/>
                      <w:highlight w:val="none"/>
                      <w:u w:val="none"/>
                      <w:lang w:val="en-US" w:eastAsia="zh-CN"/>
                    </w:rPr>
                    <w:t>200</w:t>
                  </w:r>
                  <w:r>
                    <w:rPr>
                      <w:rFonts w:hint="default" w:ascii="Times New Roman" w:hAnsi="Times New Roman" w:eastAsia="宋体" w:cs="Times New Roman"/>
                      <w:bCs/>
                      <w:color w:val="auto"/>
                      <w:kern w:val="0"/>
                      <w:sz w:val="21"/>
                      <w:szCs w:val="21"/>
                      <w:highlight w:val="none"/>
                      <w:u w:val="none"/>
                      <w:lang w:eastAsia="zh-CN"/>
                    </w:rPr>
                    <w:t>m</w:t>
                  </w:r>
                  <w:r>
                    <w:rPr>
                      <w:rFonts w:hint="default" w:ascii="Times New Roman" w:hAnsi="Times New Roman" w:eastAsia="宋体" w:cs="Times New Roman"/>
                      <w:bCs/>
                      <w:color w:val="auto"/>
                      <w:kern w:val="0"/>
                      <w:sz w:val="21"/>
                      <w:szCs w:val="21"/>
                      <w:highlight w:val="none"/>
                      <w:u w:val="none"/>
                      <w:vertAlign w:val="superscript"/>
                      <w:lang w:eastAsia="zh-CN"/>
                    </w:rPr>
                    <w:t>3</w:t>
                  </w:r>
                  <w:r>
                    <w:rPr>
                      <w:rFonts w:hint="default" w:ascii="Times New Roman" w:hAnsi="Times New Roman" w:eastAsia="宋体" w:cs="Times New Roman"/>
                      <w:bCs/>
                      <w:color w:val="auto"/>
                      <w:kern w:val="0"/>
                      <w:sz w:val="21"/>
                      <w:szCs w:val="21"/>
                      <w:highlight w:val="none"/>
                      <w:u w:val="none"/>
                      <w:lang w:eastAsia="zh-CN"/>
                    </w:rPr>
                    <w:t>/d）</w:t>
                  </w:r>
                </w:p>
              </w:tc>
              <w:tc>
                <w:tcPr>
                  <w:tcW w:w="995" w:type="dxa"/>
                  <w:vMerge w:val="restart"/>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1744</w:t>
                  </w:r>
                </w:p>
              </w:tc>
              <w:tc>
                <w:tcPr>
                  <w:tcW w:w="1765" w:type="dxa"/>
                  <w:gridSpan w:val="2"/>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r>
                    <w:rPr>
                      <w:rFonts w:hint="default" w:ascii="Times New Roman" w:hAnsi="Times New Roman" w:eastAsia="宋体" w:cs="Times New Roman"/>
                      <w:bCs/>
                      <w:color w:val="auto"/>
                      <w:kern w:val="0"/>
                      <w:sz w:val="21"/>
                      <w:szCs w:val="21"/>
                      <w:highlight w:val="none"/>
                      <w:u w:val="none"/>
                      <w:lang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r>
                    <w:rPr>
                      <w:rFonts w:ascii="Times New Roman" w:hAnsi="Times New Roman" w:cs="Times New Roman"/>
                      <w:bCs/>
                      <w:color w:val="auto"/>
                      <w:kern w:val="0"/>
                      <w:sz w:val="21"/>
                      <w:szCs w:val="21"/>
                      <w:highlight w:val="none"/>
                      <w:u w:val="none"/>
                    </w:rPr>
                    <w:t>悬浮物</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3.01</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cs="Times New Roman"/>
                      <w:bCs/>
                      <w:color w:val="auto"/>
                      <w:kern w:val="0"/>
                      <w:sz w:val="21"/>
                      <w:szCs w:val="21"/>
                      <w:highlight w:val="none"/>
                      <w:u w:val="none"/>
                      <w:lang w:val="en-US" w:eastAsia="zh-CN"/>
                    </w:rPr>
                    <w:t>220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adjustRightInd w:val="0"/>
                    <w:spacing w:line="240" w:lineRule="auto"/>
                    <w:jc w:val="center"/>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eastAsia="宋体" w:cs="Times New Roman"/>
                      <w:bCs/>
                      <w:color w:val="auto"/>
                      <w:kern w:val="0"/>
                      <w:sz w:val="21"/>
                      <w:szCs w:val="21"/>
                      <w:highlight w:val="none"/>
                      <w:u w:val="none"/>
                      <w:lang w:val="en-US" w:eastAsia="zh-CN"/>
                    </w:rPr>
                    <w:t>COD</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200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0.87</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200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r>
                    <w:rPr>
                      <w:rFonts w:hint="default" w:ascii="Times New Roman" w:hAnsi="Times New Roman" w:eastAsia="宋体" w:cs="Times New Roman"/>
                      <w:b w:val="0"/>
                      <w:bCs/>
                      <w:color w:val="auto"/>
                      <w:kern w:val="28"/>
                      <w:sz w:val="21"/>
                      <w:szCs w:val="21"/>
                      <w:highlight w:val="none"/>
                      <w:u w:val="none"/>
                      <w:lang w:val="en-US" w:eastAsia="zh-CN" w:bidi="ar"/>
                    </w:rPr>
                    <w:t>BOD</w:t>
                  </w:r>
                  <w:r>
                    <w:rPr>
                      <w:rFonts w:hint="default" w:ascii="Times New Roman" w:hAnsi="Times New Roman" w:eastAsia="宋体" w:cs="Times New Roman"/>
                      <w:b w:val="0"/>
                      <w:bCs/>
                      <w:color w:val="auto"/>
                      <w:kern w:val="28"/>
                      <w:sz w:val="21"/>
                      <w:szCs w:val="21"/>
                      <w:highlight w:val="none"/>
                      <w:u w:val="none"/>
                      <w:vertAlign w:val="subscript"/>
                      <w:lang w:val="en-US" w:eastAsia="zh-CN" w:bidi="ar"/>
                    </w:rPr>
                    <w:t>5</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100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0.44</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100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r>
                    <w:rPr>
                      <w:rFonts w:ascii="Times New Roman" w:hAnsi="Times New Roman" w:cs="Times New Roman"/>
                      <w:bCs/>
                      <w:color w:val="auto"/>
                      <w:kern w:val="0"/>
                      <w:sz w:val="21"/>
                      <w:szCs w:val="21"/>
                      <w:highlight w:val="none"/>
                      <w:u w:val="none"/>
                    </w:rPr>
                    <w:t>氨氮</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0.15</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cs="Times New Roman"/>
                      <w:bCs/>
                      <w:color w:val="auto"/>
                      <w:kern w:val="0"/>
                      <w:sz w:val="21"/>
                      <w:szCs w:val="21"/>
                      <w:highlight w:val="none"/>
                      <w:u w:val="none"/>
                      <w:lang w:val="en-US" w:eastAsia="zh-CN"/>
                    </w:rPr>
                    <w:t>30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cs="Times New Roman"/>
                      <w:bCs/>
                      <w:color w:val="auto"/>
                      <w:kern w:val="0"/>
                      <w:sz w:val="21"/>
                      <w:szCs w:val="21"/>
                      <w:highlight w:val="none"/>
                      <w:u w:val="none"/>
                      <w:lang w:eastAsia="zh-CN"/>
                    </w:rPr>
                    <w:t>石油类</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0.15</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eastAsia="宋体" w:cs="Times New Roman"/>
                      <w:bCs/>
                      <w:color w:val="auto"/>
                      <w:kern w:val="0"/>
                      <w:sz w:val="21"/>
                      <w:szCs w:val="21"/>
                      <w:highlight w:val="none"/>
                      <w:u w:val="none"/>
                      <w:lang w:val="en-US" w:eastAsia="zh-CN"/>
                    </w:rPr>
                    <w:t>3</w:t>
                  </w:r>
                  <w:r>
                    <w:rPr>
                      <w:rFonts w:hint="default" w:ascii="Times New Roman" w:hAnsi="Times New Roman" w:cs="Times New Roman"/>
                      <w:bCs/>
                      <w:color w:val="auto"/>
                      <w:kern w:val="0"/>
                      <w:sz w:val="21"/>
                      <w:szCs w:val="21"/>
                      <w:highlight w:val="none"/>
                      <w:u w:val="none"/>
                      <w:lang w:val="en-US" w:eastAsia="zh-CN"/>
                    </w:rPr>
                    <w:t>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default" w:ascii="Times New Roman" w:hAnsi="Times New Roman" w:cs="Times New Roman"/>
                      <w:bCs/>
                      <w:color w:val="auto"/>
                      <w:kern w:val="0"/>
                      <w:sz w:val="21"/>
                      <w:szCs w:val="21"/>
                      <w:highlight w:val="none"/>
                      <w:u w:val="none"/>
                      <w:lang w:eastAsia="zh-CN"/>
                    </w:rPr>
                    <w:t>总铁</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410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1.79</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40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cs="Times New Roman"/>
                      <w:bCs/>
                      <w:color w:val="auto"/>
                      <w:kern w:val="0"/>
                      <w:sz w:val="21"/>
                      <w:szCs w:val="21"/>
                      <w:highlight w:val="none"/>
                      <w:u w:val="none"/>
                      <w:lang w:eastAsia="zh-CN"/>
                    </w:rPr>
                  </w:pPr>
                  <w:r>
                    <w:rPr>
                      <w:rFonts w:hint="default" w:ascii="Times New Roman" w:hAnsi="Times New Roman" w:cs="Times New Roman"/>
                      <w:bCs/>
                      <w:color w:val="auto"/>
                      <w:kern w:val="0"/>
                      <w:sz w:val="21"/>
                      <w:szCs w:val="21"/>
                      <w:highlight w:val="none"/>
                      <w:u w:val="none"/>
                      <w:lang w:eastAsia="zh-CN"/>
                    </w:rPr>
                    <w:t>总磷</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1</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0.004</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0.2</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p>
              </w:tc>
              <w:tc>
                <w:tcPr>
                  <w:tcW w:w="874" w:type="dxa"/>
                  <w:noWrap w:val="0"/>
                  <w:vAlign w:val="center"/>
                </w:tcPr>
                <w:p>
                  <w:pPr>
                    <w:widowControl/>
                    <w:spacing w:line="240" w:lineRule="auto"/>
                    <w:jc w:val="center"/>
                    <w:textAlignment w:val="bottom"/>
                    <w:rPr>
                      <w:rFonts w:hint="default" w:ascii="Times New Roman" w:hAnsi="Times New Roman" w:cs="Times New Roman"/>
                      <w:bCs/>
                      <w:color w:val="auto"/>
                      <w:kern w:val="0"/>
                      <w:sz w:val="21"/>
                      <w:szCs w:val="21"/>
                      <w:highlight w:val="none"/>
                      <w:u w:val="none"/>
                      <w:lang w:eastAsia="zh-CN"/>
                    </w:rPr>
                  </w:pPr>
                  <w:r>
                    <w:rPr>
                      <w:rFonts w:hint="default" w:ascii="Times New Roman" w:hAnsi="Times New Roman" w:cs="Times New Roman"/>
                      <w:bCs/>
                      <w:color w:val="auto"/>
                      <w:kern w:val="0"/>
                      <w:sz w:val="21"/>
                      <w:szCs w:val="21"/>
                      <w:highlight w:val="none"/>
                      <w:u w:val="none"/>
                      <w:lang w:eastAsia="zh-CN"/>
                    </w:rPr>
                    <w:t>总氮</w:t>
                  </w:r>
                </w:p>
              </w:tc>
              <w:tc>
                <w:tcPr>
                  <w:tcW w:w="752"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5</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0.02</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p>
              </w:tc>
              <w:tc>
                <w:tcPr>
                  <w:tcW w:w="956" w:type="dxa"/>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1</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restart"/>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single"/>
                      <w:lang w:eastAsia="zh-CN"/>
                    </w:rPr>
                  </w:pPr>
                  <w:r>
                    <w:rPr>
                      <w:rFonts w:hint="eastAsia" w:cs="Times New Roman"/>
                      <w:bCs/>
                      <w:color w:val="auto"/>
                      <w:kern w:val="0"/>
                      <w:sz w:val="21"/>
                      <w:szCs w:val="21"/>
                      <w:highlight w:val="none"/>
                      <w:u w:val="single"/>
                      <w:lang w:eastAsia="zh-CN"/>
                    </w:rPr>
                    <w:t>办公食堂废水</w:t>
                  </w:r>
                </w:p>
              </w:tc>
              <w:tc>
                <w:tcPr>
                  <w:tcW w:w="742" w:type="dxa"/>
                  <w:vMerge w:val="restart"/>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single"/>
                      <w:lang w:eastAsia="zh-CN"/>
                    </w:rPr>
                  </w:pPr>
                  <w:r>
                    <w:rPr>
                      <w:rFonts w:hint="eastAsia" w:ascii="Times New Roman" w:hAnsi="Times New Roman" w:eastAsia="宋体" w:cs="Times New Roman"/>
                      <w:bCs/>
                      <w:color w:val="auto"/>
                      <w:kern w:val="0"/>
                      <w:sz w:val="21"/>
                      <w:szCs w:val="21"/>
                      <w:highlight w:val="none"/>
                      <w:u w:val="single"/>
                      <w:lang w:val="en-US" w:eastAsia="zh-CN"/>
                    </w:rPr>
                    <w:t>4864</w:t>
                  </w:r>
                </w:p>
              </w:tc>
              <w:tc>
                <w:tcPr>
                  <w:tcW w:w="874" w:type="dxa"/>
                  <w:noWrap w:val="0"/>
                  <w:vAlign w:val="center"/>
                </w:tcPr>
                <w:p>
                  <w:pPr>
                    <w:widowControl/>
                    <w:adjustRightInd w:val="0"/>
                    <w:spacing w:line="240" w:lineRule="auto"/>
                    <w:jc w:val="center"/>
                    <w:rPr>
                      <w:rFonts w:hint="default" w:ascii="Times New Roman" w:hAnsi="Times New Roman" w:cs="Times New Roman"/>
                      <w:bCs/>
                      <w:color w:val="auto"/>
                      <w:kern w:val="0"/>
                      <w:sz w:val="21"/>
                      <w:szCs w:val="21"/>
                      <w:highlight w:val="yellow"/>
                      <w:u w:val="single"/>
                      <w:lang w:eastAsia="zh-CN"/>
                    </w:rPr>
                  </w:pPr>
                  <w:r>
                    <w:rPr>
                      <w:rFonts w:hint="default" w:ascii="Times New Roman" w:hAnsi="Times New Roman" w:eastAsia="宋体" w:cs="Times New Roman"/>
                      <w:bCs/>
                      <w:color w:val="auto"/>
                      <w:kern w:val="0"/>
                      <w:sz w:val="21"/>
                      <w:szCs w:val="21"/>
                      <w:highlight w:val="none"/>
                      <w:u w:val="none"/>
                      <w:lang w:val="en-US" w:eastAsia="zh-CN"/>
                    </w:rPr>
                    <w:t>COD</w:t>
                  </w:r>
                </w:p>
              </w:tc>
              <w:tc>
                <w:tcPr>
                  <w:tcW w:w="752" w:type="dxa"/>
                  <w:noWrap w:val="0"/>
                  <w:vAlign w:val="bottom"/>
                </w:tcPr>
                <w:p>
                  <w:pPr>
                    <w:keepNext w:val="0"/>
                    <w:keepLines w:val="0"/>
                    <w:widowControl/>
                    <w:suppressLineNumbers w:val="0"/>
                    <w:spacing w:line="240" w:lineRule="auto"/>
                    <w:jc w:val="center"/>
                    <w:textAlignment w:val="bottom"/>
                    <w:rPr>
                      <w:rFonts w:hint="default"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450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2.189</w:t>
                  </w:r>
                </w:p>
              </w:tc>
              <w:tc>
                <w:tcPr>
                  <w:tcW w:w="1060" w:type="dxa"/>
                  <w:vMerge w:val="restart"/>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eastAsia="zh-CN"/>
                    </w:rPr>
                  </w:pPr>
                  <w:r>
                    <w:rPr>
                      <w:rFonts w:hint="eastAsia" w:cs="Times New Roman"/>
                      <w:bCs/>
                      <w:color w:val="auto"/>
                      <w:kern w:val="0"/>
                      <w:sz w:val="21"/>
                      <w:szCs w:val="21"/>
                      <w:highlight w:val="none"/>
                      <w:u w:val="single"/>
                      <w:lang w:eastAsia="zh-CN"/>
                    </w:rPr>
                    <w:t>化粪池、隔油池</w:t>
                  </w:r>
                </w:p>
              </w:tc>
              <w:tc>
                <w:tcPr>
                  <w:tcW w:w="995" w:type="dxa"/>
                  <w:vMerge w:val="restart"/>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4864</w:t>
                  </w:r>
                </w:p>
              </w:tc>
              <w:tc>
                <w:tcPr>
                  <w:tcW w:w="956" w:type="dxa"/>
                  <w:noWrap w:val="0"/>
                  <w:vAlign w:val="bottom"/>
                </w:tcPr>
                <w:p>
                  <w:pPr>
                    <w:widowControl/>
                    <w:spacing w:line="240" w:lineRule="auto"/>
                    <w:jc w:val="center"/>
                    <w:textAlignment w:val="bottom"/>
                    <w:rPr>
                      <w:rFonts w:hint="default"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400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1.946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874" w:type="dxa"/>
                  <w:noWrap w:val="0"/>
                  <w:vAlign w:val="center"/>
                </w:tcPr>
                <w:p>
                  <w:pPr>
                    <w:widowControl/>
                    <w:spacing w:line="240" w:lineRule="auto"/>
                    <w:jc w:val="center"/>
                    <w:textAlignment w:val="bottom"/>
                    <w:rPr>
                      <w:rFonts w:hint="default" w:ascii="Times New Roman" w:hAnsi="Times New Roman" w:cs="Times New Roman"/>
                      <w:bCs/>
                      <w:color w:val="auto"/>
                      <w:kern w:val="0"/>
                      <w:sz w:val="21"/>
                      <w:szCs w:val="21"/>
                      <w:highlight w:val="yellow"/>
                      <w:u w:val="single"/>
                      <w:lang w:eastAsia="zh-CN"/>
                    </w:rPr>
                  </w:pPr>
                  <w:r>
                    <w:rPr>
                      <w:rFonts w:hint="default" w:ascii="Times New Roman" w:hAnsi="Times New Roman" w:eastAsia="宋体" w:cs="Times New Roman"/>
                      <w:b w:val="0"/>
                      <w:bCs/>
                      <w:color w:val="auto"/>
                      <w:kern w:val="28"/>
                      <w:sz w:val="21"/>
                      <w:szCs w:val="21"/>
                      <w:highlight w:val="none"/>
                      <w:u w:val="none"/>
                      <w:lang w:val="en-US" w:eastAsia="zh-CN" w:bidi="ar"/>
                    </w:rPr>
                    <w:t>BOD</w:t>
                  </w:r>
                  <w:r>
                    <w:rPr>
                      <w:rFonts w:hint="default" w:ascii="Times New Roman" w:hAnsi="Times New Roman" w:eastAsia="宋体" w:cs="Times New Roman"/>
                      <w:b w:val="0"/>
                      <w:bCs/>
                      <w:color w:val="auto"/>
                      <w:kern w:val="28"/>
                      <w:sz w:val="21"/>
                      <w:szCs w:val="21"/>
                      <w:highlight w:val="none"/>
                      <w:u w:val="none"/>
                      <w:vertAlign w:val="subscript"/>
                      <w:lang w:val="en-US" w:eastAsia="zh-CN" w:bidi="ar"/>
                    </w:rPr>
                    <w:t>5</w:t>
                  </w:r>
                </w:p>
              </w:tc>
              <w:tc>
                <w:tcPr>
                  <w:tcW w:w="752" w:type="dxa"/>
                  <w:noWrap w:val="0"/>
                  <w:vAlign w:val="bottom"/>
                </w:tcPr>
                <w:p>
                  <w:pPr>
                    <w:keepNext w:val="0"/>
                    <w:keepLines w:val="0"/>
                    <w:widowControl/>
                    <w:suppressLineNumbers w:val="0"/>
                    <w:spacing w:line="240" w:lineRule="auto"/>
                    <w:jc w:val="center"/>
                    <w:textAlignment w:val="bottom"/>
                    <w:rPr>
                      <w:rFonts w:hint="default"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350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1.702</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val="en-US" w:eastAsia="zh-CN"/>
                    </w:rPr>
                  </w:pPr>
                </w:p>
              </w:tc>
              <w:tc>
                <w:tcPr>
                  <w:tcW w:w="956" w:type="dxa"/>
                  <w:noWrap w:val="0"/>
                  <w:vAlign w:val="bottom"/>
                </w:tcPr>
                <w:p>
                  <w:pPr>
                    <w:widowControl/>
                    <w:spacing w:line="240" w:lineRule="auto"/>
                    <w:jc w:val="center"/>
                    <w:textAlignment w:val="bottom"/>
                    <w:rPr>
                      <w:rFonts w:hint="default"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180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874" w:type="dxa"/>
                  <w:noWrap w:val="0"/>
                  <w:vAlign w:val="center"/>
                </w:tcPr>
                <w:p>
                  <w:pPr>
                    <w:widowControl/>
                    <w:spacing w:line="240" w:lineRule="auto"/>
                    <w:jc w:val="center"/>
                    <w:textAlignment w:val="bottom"/>
                    <w:rPr>
                      <w:rFonts w:hint="default" w:ascii="Times New Roman" w:hAnsi="Times New Roman" w:cs="Times New Roman"/>
                      <w:bCs/>
                      <w:color w:val="auto"/>
                      <w:kern w:val="0"/>
                      <w:sz w:val="21"/>
                      <w:szCs w:val="21"/>
                      <w:highlight w:val="yellow"/>
                      <w:u w:val="single"/>
                      <w:lang w:eastAsia="zh-CN"/>
                    </w:rPr>
                  </w:pPr>
                  <w:r>
                    <w:rPr>
                      <w:rFonts w:ascii="Times New Roman" w:hAnsi="Times New Roman" w:cs="Times New Roman"/>
                      <w:bCs/>
                      <w:color w:val="auto"/>
                      <w:kern w:val="0"/>
                      <w:sz w:val="21"/>
                      <w:szCs w:val="21"/>
                      <w:highlight w:val="none"/>
                      <w:u w:val="none"/>
                    </w:rPr>
                    <w:t>氨氮</w:t>
                  </w:r>
                </w:p>
              </w:tc>
              <w:tc>
                <w:tcPr>
                  <w:tcW w:w="752" w:type="dxa"/>
                  <w:noWrap w:val="0"/>
                  <w:vAlign w:val="bottom"/>
                </w:tcPr>
                <w:p>
                  <w:pPr>
                    <w:keepNext w:val="0"/>
                    <w:keepLines w:val="0"/>
                    <w:widowControl/>
                    <w:suppressLineNumbers w:val="0"/>
                    <w:spacing w:line="240" w:lineRule="auto"/>
                    <w:jc w:val="center"/>
                    <w:textAlignment w:val="bottom"/>
                    <w:rPr>
                      <w:rFonts w:hint="default"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35</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0.170</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val="en-US" w:eastAsia="zh-CN"/>
                    </w:rPr>
                  </w:pPr>
                </w:p>
              </w:tc>
              <w:tc>
                <w:tcPr>
                  <w:tcW w:w="956" w:type="dxa"/>
                  <w:noWrap w:val="0"/>
                  <w:vAlign w:val="bottom"/>
                </w:tcPr>
                <w:p>
                  <w:pPr>
                    <w:widowControl/>
                    <w:spacing w:line="240" w:lineRule="auto"/>
                    <w:jc w:val="center"/>
                    <w:textAlignment w:val="bottom"/>
                    <w:rPr>
                      <w:rFonts w:hint="default"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30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874" w:type="dxa"/>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none"/>
                      <w:lang w:val="en-US" w:eastAsia="zh-CN"/>
                    </w:rPr>
                  </w:pPr>
                  <w:r>
                    <w:rPr>
                      <w:rFonts w:hint="eastAsia" w:cs="Times New Roman"/>
                      <w:bCs/>
                      <w:color w:val="auto"/>
                      <w:kern w:val="0"/>
                      <w:sz w:val="21"/>
                      <w:szCs w:val="21"/>
                      <w:highlight w:val="none"/>
                      <w:u w:val="none"/>
                      <w:lang w:val="en-US" w:eastAsia="zh-CN"/>
                    </w:rPr>
                    <w:t>SS</w:t>
                  </w:r>
                </w:p>
              </w:tc>
              <w:tc>
                <w:tcPr>
                  <w:tcW w:w="752" w:type="dxa"/>
                  <w:noWrap w:val="0"/>
                  <w:vAlign w:val="bottom"/>
                </w:tcPr>
                <w:p>
                  <w:pPr>
                    <w:keepNext w:val="0"/>
                    <w:keepLines w:val="0"/>
                    <w:widowControl/>
                    <w:suppressLineNumbers w:val="0"/>
                    <w:spacing w:line="240" w:lineRule="auto"/>
                    <w:jc w:val="center"/>
                    <w:textAlignment w:val="bottom"/>
                    <w:rPr>
                      <w:rFonts w:hint="default"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300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1.459</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none"/>
                      <w:u w:val="single"/>
                      <w:lang w:val="en-US" w:eastAsia="zh-CN"/>
                    </w:rPr>
                  </w:pPr>
                </w:p>
              </w:tc>
              <w:tc>
                <w:tcPr>
                  <w:tcW w:w="956" w:type="dxa"/>
                  <w:noWrap w:val="0"/>
                  <w:vAlign w:val="bottom"/>
                </w:tcPr>
                <w:p>
                  <w:pPr>
                    <w:widowControl/>
                    <w:spacing w:line="240" w:lineRule="auto"/>
                    <w:jc w:val="center"/>
                    <w:textAlignment w:val="bottom"/>
                    <w:rPr>
                      <w:rFonts w:hint="default"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220</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874" w:type="dxa"/>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none"/>
                      <w:u w:val="none"/>
                      <w:lang w:eastAsia="zh-CN"/>
                    </w:rPr>
                  </w:pPr>
                  <w:r>
                    <w:rPr>
                      <w:rFonts w:hint="eastAsia" w:cs="Times New Roman"/>
                      <w:bCs/>
                      <w:color w:val="auto"/>
                      <w:kern w:val="0"/>
                      <w:sz w:val="21"/>
                      <w:szCs w:val="21"/>
                      <w:highlight w:val="none"/>
                      <w:u w:val="none"/>
                      <w:lang w:eastAsia="zh-CN"/>
                    </w:rPr>
                    <w:t>总氮</w:t>
                  </w:r>
                </w:p>
              </w:tc>
              <w:tc>
                <w:tcPr>
                  <w:tcW w:w="752" w:type="dxa"/>
                  <w:noWrap w:val="0"/>
                  <w:vAlign w:val="bottom"/>
                </w:tcPr>
                <w:p>
                  <w:pPr>
                    <w:keepNext w:val="0"/>
                    <w:keepLines w:val="0"/>
                    <w:widowControl/>
                    <w:suppressLineNumbers w:val="0"/>
                    <w:spacing w:line="240" w:lineRule="auto"/>
                    <w:jc w:val="center"/>
                    <w:textAlignment w:val="bottom"/>
                    <w:rPr>
                      <w:rFonts w:hint="default"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40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0.195</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yellow"/>
                      <w:u w:val="singl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yellow"/>
                      <w:u w:val="single"/>
                      <w:lang w:val="en-US" w:eastAsia="zh-CN"/>
                    </w:rPr>
                  </w:pPr>
                </w:p>
              </w:tc>
              <w:tc>
                <w:tcPr>
                  <w:tcW w:w="956" w:type="dxa"/>
                  <w:noWrap w:val="0"/>
                  <w:vAlign w:val="bottom"/>
                </w:tcPr>
                <w:p>
                  <w:pPr>
                    <w:widowControl/>
                    <w:spacing w:line="240" w:lineRule="auto"/>
                    <w:jc w:val="center"/>
                    <w:textAlignment w:val="bottom"/>
                    <w:rPr>
                      <w:rFonts w:hint="default"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45</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0" w:hRule="atLeast"/>
              </w:trPr>
              <w:tc>
                <w:tcPr>
                  <w:tcW w:w="655"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742" w:type="dxa"/>
                  <w:vMerge w:val="continue"/>
                  <w:noWrap w:val="0"/>
                  <w:vAlign w:val="center"/>
                </w:tcPr>
                <w:p>
                  <w:pPr>
                    <w:widowControl/>
                    <w:spacing w:line="240" w:lineRule="auto"/>
                    <w:jc w:val="center"/>
                    <w:textAlignment w:val="bottom"/>
                    <w:rPr>
                      <w:rFonts w:hint="eastAsia" w:ascii="Times New Roman" w:hAnsi="Times New Roman" w:eastAsia="宋体" w:cs="Times New Roman"/>
                      <w:bCs/>
                      <w:color w:val="auto"/>
                      <w:kern w:val="0"/>
                      <w:sz w:val="21"/>
                      <w:szCs w:val="21"/>
                      <w:highlight w:val="yellow"/>
                      <w:u w:val="single"/>
                      <w:lang w:eastAsia="zh-CN"/>
                    </w:rPr>
                  </w:pPr>
                </w:p>
              </w:tc>
              <w:tc>
                <w:tcPr>
                  <w:tcW w:w="874" w:type="dxa"/>
                  <w:noWrap w:val="0"/>
                  <w:vAlign w:val="center"/>
                </w:tcPr>
                <w:p>
                  <w:pPr>
                    <w:widowControl/>
                    <w:spacing w:line="240" w:lineRule="auto"/>
                    <w:jc w:val="center"/>
                    <w:textAlignment w:val="bottom"/>
                    <w:rPr>
                      <w:rFonts w:hint="eastAsia" w:cs="Times New Roman"/>
                      <w:bCs/>
                      <w:color w:val="auto"/>
                      <w:kern w:val="0"/>
                      <w:sz w:val="21"/>
                      <w:szCs w:val="21"/>
                      <w:highlight w:val="none"/>
                      <w:u w:val="none"/>
                      <w:lang w:eastAsia="zh-CN"/>
                    </w:rPr>
                  </w:pPr>
                  <w:r>
                    <w:rPr>
                      <w:rFonts w:hint="eastAsia" w:cs="Times New Roman"/>
                      <w:bCs/>
                      <w:color w:val="auto"/>
                      <w:kern w:val="0"/>
                      <w:sz w:val="21"/>
                      <w:szCs w:val="21"/>
                      <w:highlight w:val="none"/>
                      <w:u w:val="none"/>
                      <w:lang w:eastAsia="zh-CN"/>
                    </w:rPr>
                    <w:t>石油类</w:t>
                  </w:r>
                </w:p>
              </w:tc>
              <w:tc>
                <w:tcPr>
                  <w:tcW w:w="752" w:type="dxa"/>
                  <w:noWrap w:val="0"/>
                  <w:vAlign w:val="bottom"/>
                </w:tcPr>
                <w:p>
                  <w:pPr>
                    <w:keepNext w:val="0"/>
                    <w:keepLines w:val="0"/>
                    <w:widowControl/>
                    <w:suppressLineNumbers w:val="0"/>
                    <w:spacing w:line="240" w:lineRule="auto"/>
                    <w:jc w:val="center"/>
                    <w:textAlignment w:val="bottom"/>
                    <w:rPr>
                      <w:rFonts w:hint="default" w:cs="Times New Roman"/>
                      <w:i w:val="0"/>
                      <w:iCs w:val="0"/>
                      <w:color w:val="auto"/>
                      <w:kern w:val="0"/>
                      <w:sz w:val="21"/>
                      <w:szCs w:val="21"/>
                      <w:highlight w:val="none"/>
                      <w:u w:val="single"/>
                      <w:lang w:val="en-US" w:eastAsia="zh-CN" w:bidi="ar"/>
                    </w:rPr>
                  </w:pPr>
                  <w:r>
                    <w:rPr>
                      <w:rFonts w:hint="eastAsia" w:cs="Times New Roman"/>
                      <w:i w:val="0"/>
                      <w:iCs w:val="0"/>
                      <w:color w:val="auto"/>
                      <w:kern w:val="0"/>
                      <w:sz w:val="21"/>
                      <w:szCs w:val="21"/>
                      <w:highlight w:val="none"/>
                      <w:u w:val="single"/>
                      <w:lang w:val="en-US" w:eastAsia="zh-CN" w:bidi="ar"/>
                    </w:rPr>
                    <w:t>100</w:t>
                  </w:r>
                </w:p>
              </w:tc>
              <w:tc>
                <w:tcPr>
                  <w:tcW w:w="1093"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0.486</w:t>
                  </w:r>
                </w:p>
              </w:tc>
              <w:tc>
                <w:tcPr>
                  <w:tcW w:w="1060" w:type="dxa"/>
                  <w:vMerge w:val="continue"/>
                  <w:noWrap w:val="0"/>
                  <w:vAlign w:val="center"/>
                </w:tcPr>
                <w:p>
                  <w:pPr>
                    <w:widowControl/>
                    <w:spacing w:line="240" w:lineRule="auto"/>
                    <w:jc w:val="center"/>
                    <w:textAlignment w:val="bottom"/>
                    <w:rPr>
                      <w:rFonts w:hint="default" w:ascii="Times New Roman" w:hAnsi="Times New Roman" w:eastAsia="宋体" w:cs="Times New Roman"/>
                      <w:bCs/>
                      <w:color w:val="auto"/>
                      <w:kern w:val="0"/>
                      <w:sz w:val="21"/>
                      <w:szCs w:val="21"/>
                      <w:highlight w:val="yellow"/>
                      <w:u w:val="single"/>
                      <w:lang w:eastAsia="zh-CN"/>
                    </w:rPr>
                  </w:pPr>
                </w:p>
              </w:tc>
              <w:tc>
                <w:tcPr>
                  <w:tcW w:w="995" w:type="dxa"/>
                  <w:vMerge w:val="continue"/>
                  <w:noWrap w:val="0"/>
                  <w:vAlign w:val="bottom"/>
                </w:tcPr>
                <w:p>
                  <w:pPr>
                    <w:widowControl/>
                    <w:spacing w:line="240" w:lineRule="auto"/>
                    <w:jc w:val="center"/>
                    <w:textAlignment w:val="bottom"/>
                    <w:rPr>
                      <w:rFonts w:hint="default" w:ascii="Times New Roman" w:hAnsi="Times New Roman" w:eastAsia="宋体" w:cs="Times New Roman"/>
                      <w:bCs/>
                      <w:color w:val="auto"/>
                      <w:kern w:val="0"/>
                      <w:sz w:val="21"/>
                      <w:szCs w:val="21"/>
                      <w:highlight w:val="yellow"/>
                      <w:u w:val="single"/>
                      <w:lang w:val="en-US" w:eastAsia="zh-CN"/>
                    </w:rPr>
                  </w:pPr>
                </w:p>
              </w:tc>
              <w:tc>
                <w:tcPr>
                  <w:tcW w:w="956" w:type="dxa"/>
                  <w:noWrap w:val="0"/>
                  <w:vAlign w:val="bottom"/>
                </w:tcPr>
                <w:p>
                  <w:pPr>
                    <w:widowControl/>
                    <w:spacing w:line="240" w:lineRule="auto"/>
                    <w:jc w:val="center"/>
                    <w:textAlignment w:val="bottom"/>
                    <w:rPr>
                      <w:rFonts w:hint="default"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1</w:t>
                  </w:r>
                </w:p>
              </w:tc>
              <w:tc>
                <w:tcPr>
                  <w:tcW w:w="809" w:type="dxa"/>
                  <w:noWrap w:val="0"/>
                  <w:vAlign w:val="bottom"/>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auto"/>
                      <w:kern w:val="0"/>
                      <w:sz w:val="21"/>
                      <w:szCs w:val="21"/>
                      <w:highlight w:val="yellow"/>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0.005</w:t>
                  </w:r>
                </w:p>
              </w:tc>
            </w:tr>
          </w:tbl>
          <w:p>
            <w:pPr>
              <w:pStyle w:val="8"/>
              <w:spacing w:line="240" w:lineRule="auto"/>
              <w:jc w:val="center"/>
              <w:rPr>
                <w:rFonts w:hint="default" w:ascii="Times New Roman" w:hAnsi="Times New Roman" w:eastAsia="宋体" w:cs="Times New Roman"/>
                <w:b/>
                <w:color w:val="auto"/>
                <w:sz w:val="24"/>
                <w:szCs w:val="32"/>
                <w:highlight w:val="none"/>
                <w:u w:val="none"/>
                <w:lang w:eastAsia="zh-CN"/>
              </w:rPr>
            </w:pPr>
            <w:r>
              <w:rPr>
                <w:rFonts w:hint="default" w:ascii="Times New Roman" w:hAnsi="Times New Roman" w:eastAsia="宋体" w:cs="Times New Roman"/>
                <w:b/>
                <w:color w:val="auto"/>
                <w:sz w:val="24"/>
                <w:szCs w:val="32"/>
                <w:highlight w:val="none"/>
                <w:u w:val="none"/>
              </w:rPr>
              <w:t>表</w:t>
            </w:r>
            <w:r>
              <w:rPr>
                <w:rFonts w:hint="default" w:ascii="Times New Roman" w:hAnsi="Times New Roman" w:eastAsia="宋体" w:cs="Times New Roman"/>
                <w:b/>
                <w:color w:val="auto"/>
                <w:sz w:val="24"/>
                <w:szCs w:val="32"/>
                <w:highlight w:val="none"/>
                <w:u w:val="none"/>
                <w:lang w:val="en-US" w:eastAsia="zh-CN"/>
              </w:rPr>
              <w:t>4.3-4</w:t>
            </w:r>
            <w:r>
              <w:rPr>
                <w:rFonts w:hint="default" w:ascii="Times New Roman" w:hAnsi="Times New Roman" w:eastAsia="宋体" w:cs="Times New Roman"/>
                <w:b/>
                <w:color w:val="auto"/>
                <w:sz w:val="24"/>
                <w:szCs w:val="32"/>
                <w:highlight w:val="none"/>
                <w:u w:val="none"/>
              </w:rPr>
              <w:t>项目综合废水</w:t>
            </w:r>
            <w:r>
              <w:rPr>
                <w:rFonts w:hint="default" w:ascii="Times New Roman" w:hAnsi="Times New Roman" w:eastAsia="宋体" w:cs="Times New Roman"/>
                <w:b/>
                <w:color w:val="auto"/>
                <w:sz w:val="24"/>
                <w:szCs w:val="32"/>
                <w:highlight w:val="none"/>
                <w:u w:val="none"/>
                <w:lang w:eastAsia="zh-CN"/>
              </w:rPr>
              <w:t>排放</w:t>
            </w:r>
            <w:r>
              <w:rPr>
                <w:rFonts w:hint="default" w:ascii="Times New Roman" w:hAnsi="Times New Roman" w:eastAsia="宋体" w:cs="Times New Roman"/>
                <w:b/>
                <w:color w:val="auto"/>
                <w:sz w:val="24"/>
                <w:szCs w:val="32"/>
                <w:highlight w:val="none"/>
                <w:u w:val="none"/>
              </w:rPr>
              <w:t>情况汇总表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253"/>
              <w:gridCol w:w="2254"/>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vMerge w:val="restart"/>
                  <w:noWrap w:val="0"/>
                  <w:vAlign w:val="center"/>
                </w:tcPr>
                <w:p>
                  <w:pPr>
                    <w:adjustRightInd w:val="0"/>
                    <w:snapToGrid w:val="0"/>
                    <w:spacing w:line="240" w:lineRule="atLeast"/>
                    <w:jc w:val="center"/>
                    <w:rPr>
                      <w:b/>
                      <w:bCs/>
                      <w:color w:val="auto"/>
                      <w:szCs w:val="21"/>
                      <w:highlight w:val="none"/>
                      <w:u w:val="none"/>
                    </w:rPr>
                  </w:pPr>
                  <w:r>
                    <w:rPr>
                      <w:rFonts w:hint="eastAsia"/>
                      <w:b/>
                      <w:bCs/>
                      <w:color w:val="auto"/>
                      <w:szCs w:val="21"/>
                      <w:highlight w:val="none"/>
                      <w:u w:val="none"/>
                    </w:rPr>
                    <w:t>指标</w:t>
                  </w:r>
                </w:p>
              </w:tc>
              <w:tc>
                <w:tcPr>
                  <w:tcW w:w="2875" w:type="dxa"/>
                  <w:gridSpan w:val="2"/>
                  <w:noWrap w:val="0"/>
                  <w:vAlign w:val="center"/>
                </w:tcPr>
                <w:p>
                  <w:pPr>
                    <w:adjustRightInd w:val="0"/>
                    <w:snapToGrid w:val="0"/>
                    <w:spacing w:line="240" w:lineRule="atLeast"/>
                    <w:jc w:val="center"/>
                    <w:rPr>
                      <w:b/>
                      <w:bCs/>
                      <w:color w:val="auto"/>
                      <w:szCs w:val="21"/>
                      <w:highlight w:val="none"/>
                      <w:u w:val="none"/>
                    </w:rPr>
                  </w:pPr>
                  <w:r>
                    <w:rPr>
                      <w:rFonts w:hint="eastAsia"/>
                      <w:b/>
                      <w:bCs/>
                      <w:color w:val="auto"/>
                      <w:szCs w:val="21"/>
                      <w:highlight w:val="none"/>
                      <w:u w:val="none"/>
                    </w:rPr>
                    <w:t>废水排放</w:t>
                  </w:r>
                </w:p>
              </w:tc>
              <w:tc>
                <w:tcPr>
                  <w:tcW w:w="1261" w:type="dxa"/>
                  <w:vMerge w:val="restart"/>
                  <w:noWrap w:val="0"/>
                  <w:vAlign w:val="center"/>
                </w:tcPr>
                <w:p>
                  <w:pPr>
                    <w:adjustRightInd w:val="0"/>
                    <w:snapToGrid w:val="0"/>
                    <w:spacing w:line="240" w:lineRule="atLeast"/>
                    <w:jc w:val="center"/>
                    <w:rPr>
                      <w:rFonts w:hint="eastAsia" w:eastAsia="宋体"/>
                      <w:b/>
                      <w:bCs/>
                      <w:color w:val="auto"/>
                      <w:szCs w:val="21"/>
                      <w:highlight w:val="none"/>
                      <w:u w:val="none"/>
                      <w:lang w:eastAsia="zh-CN"/>
                    </w:rPr>
                  </w:pPr>
                  <w:r>
                    <w:rPr>
                      <w:rFonts w:hint="eastAsia"/>
                      <w:b/>
                      <w:bCs/>
                      <w:color w:val="auto"/>
                      <w:szCs w:val="21"/>
                      <w:highlight w:val="none"/>
                      <w:u w:val="none"/>
                      <w:lang w:eastAsia="zh-CN"/>
                    </w:rPr>
                    <w:t>排放浓度标准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vMerge w:val="continue"/>
                  <w:noWrap w:val="0"/>
                  <w:vAlign w:val="center"/>
                </w:tcPr>
                <w:p>
                  <w:pPr>
                    <w:adjustRightInd w:val="0"/>
                    <w:snapToGrid w:val="0"/>
                    <w:spacing w:line="240" w:lineRule="atLeast"/>
                    <w:jc w:val="center"/>
                    <w:rPr>
                      <w:color w:val="auto"/>
                      <w:szCs w:val="21"/>
                      <w:highlight w:val="none"/>
                      <w:u w:val="none"/>
                    </w:rPr>
                  </w:pPr>
                </w:p>
              </w:tc>
              <w:tc>
                <w:tcPr>
                  <w:tcW w:w="1437" w:type="dxa"/>
                  <w:noWrap w:val="0"/>
                  <w:vAlign w:val="center"/>
                </w:tcPr>
                <w:p>
                  <w:pPr>
                    <w:adjustRightInd w:val="0"/>
                    <w:snapToGrid w:val="0"/>
                    <w:jc w:val="center"/>
                    <w:rPr>
                      <w:b/>
                      <w:bCs w:val="0"/>
                      <w:color w:val="auto"/>
                      <w:szCs w:val="21"/>
                      <w:highlight w:val="none"/>
                      <w:u w:val="none"/>
                    </w:rPr>
                  </w:pPr>
                  <w:r>
                    <w:rPr>
                      <w:rFonts w:hint="eastAsia"/>
                      <w:b/>
                      <w:bCs w:val="0"/>
                      <w:color w:val="auto"/>
                      <w:szCs w:val="21"/>
                      <w:highlight w:val="none"/>
                      <w:u w:val="none"/>
                    </w:rPr>
                    <w:t>年排放量（</w:t>
                  </w:r>
                  <w:r>
                    <w:rPr>
                      <w:b/>
                      <w:bCs w:val="0"/>
                      <w:color w:val="auto"/>
                      <w:szCs w:val="21"/>
                      <w:highlight w:val="none"/>
                      <w:u w:val="none"/>
                    </w:rPr>
                    <w:t>m</w:t>
                  </w:r>
                  <w:r>
                    <w:rPr>
                      <w:b/>
                      <w:bCs w:val="0"/>
                      <w:color w:val="auto"/>
                      <w:szCs w:val="21"/>
                      <w:highlight w:val="none"/>
                      <w:u w:val="none"/>
                      <w:vertAlign w:val="superscript"/>
                    </w:rPr>
                    <w:t>3</w:t>
                  </w:r>
                  <w:r>
                    <w:rPr>
                      <w:b/>
                      <w:bCs w:val="0"/>
                      <w:color w:val="auto"/>
                      <w:szCs w:val="21"/>
                      <w:highlight w:val="none"/>
                      <w:u w:val="none"/>
                    </w:rPr>
                    <w:t>/a</w:t>
                  </w:r>
                  <w:r>
                    <w:rPr>
                      <w:rFonts w:hint="eastAsia"/>
                      <w:b/>
                      <w:bCs w:val="0"/>
                      <w:color w:val="auto"/>
                      <w:szCs w:val="21"/>
                      <w:highlight w:val="none"/>
                      <w:u w:val="none"/>
                    </w:rPr>
                    <w:t>）</w:t>
                  </w:r>
                </w:p>
              </w:tc>
              <w:tc>
                <w:tcPr>
                  <w:tcW w:w="1438" w:type="dxa"/>
                  <w:noWrap w:val="0"/>
                  <w:vAlign w:val="center"/>
                </w:tcPr>
                <w:p>
                  <w:pPr>
                    <w:adjustRightInd w:val="0"/>
                    <w:snapToGrid w:val="0"/>
                    <w:spacing w:line="240" w:lineRule="atLeast"/>
                    <w:jc w:val="center"/>
                    <w:rPr>
                      <w:b/>
                      <w:bCs w:val="0"/>
                      <w:color w:val="auto"/>
                      <w:szCs w:val="21"/>
                      <w:highlight w:val="none"/>
                      <w:u w:val="none"/>
                    </w:rPr>
                  </w:pPr>
                  <w:r>
                    <w:rPr>
                      <w:rFonts w:hint="eastAsia"/>
                      <w:b/>
                      <w:bCs w:val="0"/>
                      <w:color w:val="auto"/>
                      <w:szCs w:val="21"/>
                      <w:highlight w:val="none"/>
                      <w:u w:val="none"/>
                    </w:rPr>
                    <w:t>排放浓度（</w:t>
                  </w:r>
                  <w:r>
                    <w:rPr>
                      <w:b/>
                      <w:bCs w:val="0"/>
                      <w:color w:val="auto"/>
                      <w:szCs w:val="21"/>
                      <w:highlight w:val="none"/>
                      <w:u w:val="none"/>
                    </w:rPr>
                    <w:t>mg/L</w:t>
                  </w:r>
                  <w:r>
                    <w:rPr>
                      <w:rFonts w:hint="eastAsia"/>
                      <w:b/>
                      <w:bCs w:val="0"/>
                      <w:color w:val="auto"/>
                      <w:szCs w:val="21"/>
                      <w:highlight w:val="none"/>
                      <w:u w:val="none"/>
                    </w:rPr>
                    <w:t>）</w:t>
                  </w:r>
                </w:p>
              </w:tc>
              <w:tc>
                <w:tcPr>
                  <w:tcW w:w="1261" w:type="dxa"/>
                  <w:vMerge w:val="continue"/>
                  <w:noWrap w:val="0"/>
                  <w:vAlign w:val="center"/>
                </w:tcPr>
                <w:p>
                  <w:pPr>
                    <w:adjustRightInd w:val="0"/>
                    <w:snapToGrid w:val="0"/>
                    <w:spacing w:line="240" w:lineRule="atLeast"/>
                    <w:jc w:val="center"/>
                    <w:rPr>
                      <w:rFonts w:hint="eastAsia"/>
                      <w:b/>
                      <w:bCs w:val="0"/>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adjustRightInd w:val="0"/>
                    <w:snapToGrid w:val="0"/>
                    <w:spacing w:line="240" w:lineRule="atLeast"/>
                    <w:jc w:val="center"/>
                    <w:rPr>
                      <w:color w:val="auto"/>
                      <w:szCs w:val="21"/>
                      <w:highlight w:val="none"/>
                      <w:u w:val="none"/>
                    </w:rPr>
                  </w:pPr>
                  <w:r>
                    <w:rPr>
                      <w:rFonts w:hint="eastAsia"/>
                      <w:color w:val="auto"/>
                      <w:szCs w:val="21"/>
                      <w:highlight w:val="none"/>
                      <w:u w:val="none"/>
                    </w:rPr>
                    <w:t>水量</w:t>
                  </w:r>
                </w:p>
              </w:tc>
              <w:tc>
                <w:tcPr>
                  <w:tcW w:w="1437" w:type="dxa"/>
                  <w:noWrap w:val="0"/>
                  <w:vAlign w:val="center"/>
                </w:tcPr>
                <w:p>
                  <w:pPr>
                    <w:jc w:val="center"/>
                    <w:rPr>
                      <w:rFonts w:hint="eastAsia"/>
                      <w:color w:val="auto"/>
                      <w:szCs w:val="21"/>
                      <w:highlight w:val="none"/>
                      <w:u w:val="none"/>
                    </w:rPr>
                  </w:pPr>
                  <w:r>
                    <w:rPr>
                      <w:rFonts w:hint="eastAsia" w:cs="Times New Roman"/>
                      <w:i w:val="0"/>
                      <w:iCs w:val="0"/>
                      <w:color w:val="auto"/>
                      <w:kern w:val="0"/>
                      <w:sz w:val="21"/>
                      <w:szCs w:val="21"/>
                      <w:highlight w:val="none"/>
                      <w:u w:val="none"/>
                      <w:lang w:val="en-US" w:eastAsia="zh-CN" w:bidi="ar"/>
                    </w:rPr>
                    <w:t>6608</w:t>
                  </w:r>
                </w:p>
              </w:tc>
              <w:tc>
                <w:tcPr>
                  <w:tcW w:w="1438" w:type="dxa"/>
                  <w:noWrap w:val="0"/>
                  <w:vAlign w:val="center"/>
                </w:tcPr>
                <w:p>
                  <w:pPr>
                    <w:pStyle w:val="124"/>
                    <w:adjustRightInd w:val="0"/>
                    <w:snapToGrid w:val="0"/>
                    <w:spacing w:line="240" w:lineRule="atLeast"/>
                    <w:ind w:firstLine="0" w:firstLineChars="0"/>
                    <w:jc w:val="center"/>
                    <w:rPr>
                      <w:color w:val="auto"/>
                      <w:sz w:val="21"/>
                      <w:szCs w:val="21"/>
                      <w:highlight w:val="none"/>
                      <w:u w:val="none"/>
                    </w:rPr>
                  </w:pPr>
                  <w:r>
                    <w:rPr>
                      <w:color w:val="auto"/>
                      <w:sz w:val="21"/>
                      <w:szCs w:val="21"/>
                      <w:highlight w:val="none"/>
                      <w:u w:val="none"/>
                    </w:rPr>
                    <w:t>/</w:t>
                  </w:r>
                </w:p>
              </w:tc>
              <w:tc>
                <w:tcPr>
                  <w:tcW w:w="1261" w:type="dxa"/>
                  <w:noWrap w:val="0"/>
                  <w:vAlign w:val="center"/>
                </w:tcPr>
                <w:p>
                  <w:pPr>
                    <w:pStyle w:val="124"/>
                    <w:adjustRightInd w:val="0"/>
                    <w:snapToGrid w:val="0"/>
                    <w:spacing w:line="240" w:lineRule="atLeast"/>
                    <w:ind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adjustRightInd w:val="0"/>
                    <w:snapToGrid w:val="0"/>
                    <w:spacing w:line="240" w:lineRule="atLeast"/>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pH</w:t>
                  </w:r>
                </w:p>
              </w:tc>
              <w:tc>
                <w:tcPr>
                  <w:tcW w:w="1437" w:type="dxa"/>
                  <w:noWrap w:val="0"/>
                  <w:vAlign w:val="center"/>
                </w:tcPr>
                <w:p>
                  <w:pPr>
                    <w:jc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1438" w:type="dxa"/>
                  <w:noWrap w:val="0"/>
                  <w:vAlign w:val="center"/>
                </w:tcPr>
                <w:p>
                  <w:pPr>
                    <w:pStyle w:val="124"/>
                    <w:adjustRightInd w:val="0"/>
                    <w:snapToGrid w:val="0"/>
                    <w:spacing w:line="240" w:lineRule="atLeast"/>
                    <w:ind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6-9</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color w:val="auto"/>
                      <w:szCs w:val="21"/>
                      <w:highlight w:val="none"/>
                      <w:u w:val="none"/>
                    </w:rPr>
                  </w:pPr>
                  <w:r>
                    <w:rPr>
                      <w:rFonts w:ascii="Times New Roman" w:hAnsi="Times New Roman" w:cs="Times New Roman"/>
                      <w:bCs/>
                      <w:color w:val="auto"/>
                      <w:kern w:val="0"/>
                      <w:sz w:val="21"/>
                      <w:szCs w:val="21"/>
                      <w:highlight w:val="none"/>
                      <w:u w:val="none"/>
                    </w:rPr>
                    <w:t>悬浮物</w:t>
                  </w:r>
                </w:p>
              </w:tc>
              <w:tc>
                <w:tcPr>
                  <w:tcW w:w="1437" w:type="dxa"/>
                  <w:noWrap w:val="0"/>
                  <w:vAlign w:val="center"/>
                </w:tcPr>
                <w:p>
                  <w:pPr>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1.454</w:t>
                  </w:r>
                </w:p>
              </w:tc>
              <w:tc>
                <w:tcPr>
                  <w:tcW w:w="1438"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220</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adjustRightInd w:val="0"/>
                    <w:spacing w:line="240" w:lineRule="auto"/>
                    <w:jc w:val="center"/>
                    <w:rPr>
                      <w:color w:val="auto"/>
                      <w:szCs w:val="21"/>
                      <w:highlight w:val="none"/>
                      <w:u w:val="none"/>
                    </w:rPr>
                  </w:pPr>
                  <w:r>
                    <w:rPr>
                      <w:rFonts w:hint="default" w:ascii="Times New Roman" w:hAnsi="Times New Roman" w:eastAsia="宋体" w:cs="Times New Roman"/>
                      <w:bCs/>
                      <w:color w:val="auto"/>
                      <w:kern w:val="0"/>
                      <w:sz w:val="21"/>
                      <w:szCs w:val="21"/>
                      <w:highlight w:val="none"/>
                      <w:u w:val="none"/>
                      <w:lang w:val="en-US" w:eastAsia="zh-CN"/>
                    </w:rPr>
                    <w:t>COD</w:t>
                  </w:r>
                </w:p>
              </w:tc>
              <w:tc>
                <w:tcPr>
                  <w:tcW w:w="1437" w:type="dxa"/>
                  <w:noWrap w:val="0"/>
                  <w:vAlign w:val="center"/>
                </w:tcPr>
                <w:p>
                  <w:pPr>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2.294</w:t>
                  </w:r>
                </w:p>
              </w:tc>
              <w:tc>
                <w:tcPr>
                  <w:tcW w:w="1438"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347</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color w:val="auto"/>
                      <w:szCs w:val="21"/>
                      <w:highlight w:val="none"/>
                      <w:u w:val="none"/>
                    </w:rPr>
                  </w:pPr>
                  <w:r>
                    <w:rPr>
                      <w:rFonts w:hint="default" w:ascii="Times New Roman" w:hAnsi="Times New Roman" w:eastAsia="宋体" w:cs="Times New Roman"/>
                      <w:b w:val="0"/>
                      <w:bCs/>
                      <w:color w:val="auto"/>
                      <w:kern w:val="28"/>
                      <w:sz w:val="21"/>
                      <w:szCs w:val="21"/>
                      <w:highlight w:val="none"/>
                      <w:u w:val="none"/>
                      <w:lang w:val="en-US" w:eastAsia="zh-CN" w:bidi="ar"/>
                    </w:rPr>
                    <w:t>BOD</w:t>
                  </w:r>
                  <w:r>
                    <w:rPr>
                      <w:rFonts w:hint="default" w:ascii="Times New Roman" w:hAnsi="Times New Roman" w:eastAsia="宋体" w:cs="Times New Roman"/>
                      <w:b w:val="0"/>
                      <w:bCs/>
                      <w:color w:val="auto"/>
                      <w:kern w:val="28"/>
                      <w:sz w:val="21"/>
                      <w:szCs w:val="21"/>
                      <w:highlight w:val="none"/>
                      <w:u w:val="none"/>
                      <w:vertAlign w:val="subscript"/>
                      <w:lang w:val="en-US" w:eastAsia="zh-CN" w:bidi="ar"/>
                    </w:rPr>
                    <w:t>5</w:t>
                  </w:r>
                </w:p>
              </w:tc>
              <w:tc>
                <w:tcPr>
                  <w:tcW w:w="1437" w:type="dxa"/>
                  <w:noWrap w:val="0"/>
                  <w:vAlign w:val="center"/>
                </w:tcPr>
                <w:p>
                  <w:pPr>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1.050</w:t>
                  </w:r>
                </w:p>
              </w:tc>
              <w:tc>
                <w:tcPr>
                  <w:tcW w:w="1438"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159</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color w:val="auto"/>
                      <w:szCs w:val="21"/>
                      <w:highlight w:val="none"/>
                      <w:u w:val="none"/>
                    </w:rPr>
                  </w:pPr>
                  <w:r>
                    <w:rPr>
                      <w:rFonts w:ascii="Times New Roman" w:hAnsi="Times New Roman" w:cs="Times New Roman"/>
                      <w:bCs/>
                      <w:color w:val="auto"/>
                      <w:kern w:val="0"/>
                      <w:sz w:val="21"/>
                      <w:szCs w:val="21"/>
                      <w:highlight w:val="none"/>
                      <w:u w:val="none"/>
                    </w:rPr>
                    <w:t>氨氮</w:t>
                  </w:r>
                </w:p>
              </w:tc>
              <w:tc>
                <w:tcPr>
                  <w:tcW w:w="1437" w:type="dxa"/>
                  <w:noWrap w:val="0"/>
                  <w:vAlign w:val="center"/>
                </w:tcPr>
                <w:p>
                  <w:pPr>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0.198</w:t>
                  </w:r>
                </w:p>
              </w:tc>
              <w:tc>
                <w:tcPr>
                  <w:tcW w:w="1438"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30</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color w:val="auto"/>
                      <w:szCs w:val="21"/>
                      <w:highlight w:val="none"/>
                      <w:u w:val="none"/>
                    </w:rPr>
                  </w:pPr>
                  <w:r>
                    <w:rPr>
                      <w:rFonts w:hint="default" w:ascii="Times New Roman" w:hAnsi="Times New Roman" w:cs="Times New Roman"/>
                      <w:bCs/>
                      <w:color w:val="auto"/>
                      <w:kern w:val="0"/>
                      <w:sz w:val="21"/>
                      <w:szCs w:val="21"/>
                      <w:highlight w:val="none"/>
                      <w:u w:val="none"/>
                      <w:lang w:eastAsia="zh-CN"/>
                    </w:rPr>
                    <w:t>石油类</w:t>
                  </w:r>
                </w:p>
              </w:tc>
              <w:tc>
                <w:tcPr>
                  <w:tcW w:w="1437" w:type="dxa"/>
                  <w:noWrap w:val="0"/>
                  <w:vAlign w:val="center"/>
                </w:tcPr>
                <w:p>
                  <w:pPr>
                    <w:jc w:val="center"/>
                    <w:rPr>
                      <w:rFonts w:hint="eastAsia" w:ascii="Times New Roman" w:hAnsi="Times New Roman" w:eastAsia="宋体" w:cs="Times New Roman"/>
                      <w:color w:val="auto"/>
                      <w:szCs w:val="21"/>
                      <w:highlight w:val="none"/>
                      <w:u w:val="none"/>
                    </w:rPr>
                  </w:pPr>
                  <w:r>
                    <w:rPr>
                      <w:rFonts w:hint="eastAsia" w:ascii="Times New Roman" w:hAnsi="Times New Roman" w:eastAsia="宋体" w:cs="Times New Roman"/>
                      <w:color w:val="auto"/>
                      <w:szCs w:val="21"/>
                      <w:highlight w:val="none"/>
                      <w:u w:val="none"/>
                      <w:lang w:val="en-US" w:eastAsia="zh-CN"/>
                    </w:rPr>
                    <w:t>0.057</w:t>
                  </w:r>
                </w:p>
              </w:tc>
              <w:tc>
                <w:tcPr>
                  <w:tcW w:w="1438" w:type="dxa"/>
                  <w:noWrap w:val="0"/>
                  <w:vAlign w:val="center"/>
                </w:tcPr>
                <w:p>
                  <w:pPr>
                    <w:jc w:val="center"/>
                    <w:rPr>
                      <w:rFonts w:hint="eastAsia" w:ascii="Times New Roman" w:hAnsi="Times New Roman" w:eastAsia="宋体" w:cs="Times New Roman"/>
                      <w:color w:val="auto"/>
                      <w:szCs w:val="21"/>
                      <w:highlight w:val="none"/>
                      <w:u w:val="none"/>
                      <w:lang w:eastAsia="zh-CN"/>
                    </w:rPr>
                  </w:pPr>
                  <w:r>
                    <w:rPr>
                      <w:rFonts w:hint="eastAsia" w:ascii="Times New Roman" w:hAnsi="Times New Roman" w:eastAsia="宋体" w:cs="Times New Roman"/>
                      <w:color w:val="auto"/>
                      <w:szCs w:val="21"/>
                      <w:highlight w:val="none"/>
                      <w:u w:val="none"/>
                      <w:lang w:val="en-US" w:eastAsia="zh-CN"/>
                    </w:rPr>
                    <w:t>9</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color w:val="auto"/>
                      <w:szCs w:val="21"/>
                      <w:highlight w:val="none"/>
                      <w:u w:val="none"/>
                    </w:rPr>
                  </w:pPr>
                  <w:r>
                    <w:rPr>
                      <w:rFonts w:hint="default" w:ascii="Times New Roman" w:hAnsi="Times New Roman" w:cs="Times New Roman"/>
                      <w:bCs/>
                      <w:color w:val="auto"/>
                      <w:kern w:val="0"/>
                      <w:sz w:val="21"/>
                      <w:szCs w:val="21"/>
                      <w:highlight w:val="none"/>
                      <w:u w:val="none"/>
                      <w:lang w:eastAsia="zh-CN"/>
                    </w:rPr>
                    <w:t>总铁</w:t>
                  </w:r>
                </w:p>
              </w:tc>
              <w:tc>
                <w:tcPr>
                  <w:tcW w:w="1437"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0.070</w:t>
                  </w:r>
                </w:p>
              </w:tc>
              <w:tc>
                <w:tcPr>
                  <w:tcW w:w="1438" w:type="dxa"/>
                  <w:noWrap w:val="0"/>
                  <w:vAlign w:val="center"/>
                </w:tcPr>
                <w:p>
                  <w:pPr>
                    <w:jc w:val="center"/>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11</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color w:val="auto"/>
                      <w:szCs w:val="21"/>
                      <w:highlight w:val="none"/>
                      <w:u w:val="none"/>
                    </w:rPr>
                  </w:pPr>
                  <w:r>
                    <w:rPr>
                      <w:rFonts w:hint="default" w:ascii="Times New Roman" w:hAnsi="Times New Roman" w:cs="Times New Roman"/>
                      <w:bCs/>
                      <w:color w:val="auto"/>
                      <w:kern w:val="0"/>
                      <w:sz w:val="21"/>
                      <w:szCs w:val="21"/>
                      <w:highlight w:val="none"/>
                      <w:u w:val="none"/>
                      <w:lang w:eastAsia="zh-CN"/>
                    </w:rPr>
                    <w:t>总磷</w:t>
                  </w:r>
                </w:p>
              </w:tc>
              <w:tc>
                <w:tcPr>
                  <w:tcW w:w="1437"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0.0003</w:t>
                  </w:r>
                </w:p>
              </w:tc>
              <w:tc>
                <w:tcPr>
                  <w:tcW w:w="1438"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0.1</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dxa"/>
                  <w:noWrap w:val="0"/>
                  <w:vAlign w:val="center"/>
                </w:tcPr>
                <w:p>
                  <w:pPr>
                    <w:widowControl/>
                    <w:spacing w:line="240" w:lineRule="auto"/>
                    <w:jc w:val="center"/>
                    <w:textAlignment w:val="bottom"/>
                    <w:rPr>
                      <w:rFonts w:hint="default" w:ascii="Times New Roman" w:hAnsi="Times New Roman" w:cs="Times New Roman"/>
                      <w:bCs/>
                      <w:color w:val="auto"/>
                      <w:kern w:val="0"/>
                      <w:sz w:val="21"/>
                      <w:szCs w:val="21"/>
                      <w:highlight w:val="none"/>
                      <w:u w:val="none"/>
                      <w:lang w:eastAsia="zh-CN"/>
                    </w:rPr>
                  </w:pPr>
                  <w:r>
                    <w:rPr>
                      <w:rFonts w:hint="eastAsia" w:cs="Times New Roman"/>
                      <w:bCs/>
                      <w:color w:val="auto"/>
                      <w:kern w:val="0"/>
                      <w:sz w:val="21"/>
                      <w:szCs w:val="21"/>
                      <w:highlight w:val="none"/>
                      <w:u w:val="none"/>
                      <w:lang w:eastAsia="zh-CN"/>
                    </w:rPr>
                    <w:t>总氮</w:t>
                  </w:r>
                </w:p>
              </w:tc>
              <w:tc>
                <w:tcPr>
                  <w:tcW w:w="1437"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0.221</w:t>
                  </w:r>
                </w:p>
              </w:tc>
              <w:tc>
                <w:tcPr>
                  <w:tcW w:w="1438" w:type="dxa"/>
                  <w:noWrap w:val="0"/>
                  <w:vAlign w:val="center"/>
                </w:tcPr>
                <w:p>
                  <w:pPr>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33</w:t>
                  </w:r>
                </w:p>
              </w:tc>
              <w:tc>
                <w:tcPr>
                  <w:tcW w:w="1261" w:type="dxa"/>
                  <w:noWrap w:val="0"/>
                  <w:vAlign w:val="center"/>
                </w:tcPr>
                <w:p>
                  <w:pPr>
                    <w:pStyle w:val="124"/>
                    <w:adjustRightInd w:val="0"/>
                    <w:snapToGrid w:val="0"/>
                    <w:spacing w:line="240" w:lineRule="atLeast"/>
                    <w:ind w:firstLine="0" w:firstLineChars="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45</w:t>
                  </w:r>
                </w:p>
              </w:tc>
            </w:tr>
          </w:tbl>
          <w:p>
            <w:pPr>
              <w:pStyle w:val="62"/>
              <w:bidi w:val="0"/>
              <w:rPr>
                <w:rFonts w:hint="eastAsia"/>
                <w:color w:val="auto"/>
                <w:sz w:val="24"/>
                <w:szCs w:val="24"/>
                <w:u w:val="none"/>
                <w:lang w:val="en-US" w:eastAsia="zh-CN"/>
              </w:rPr>
            </w:pPr>
            <w:r>
              <w:rPr>
                <w:rFonts w:hint="eastAsia"/>
                <w:color w:val="auto"/>
                <w:sz w:val="24"/>
                <w:szCs w:val="24"/>
                <w:u w:val="none"/>
                <w:lang w:val="en-US" w:eastAsia="zh-CN"/>
              </w:rPr>
              <w:t>本项目废水排放信息汇总表见表4.3-5。</w:t>
            </w:r>
          </w:p>
          <w:p>
            <w:pPr>
              <w:pStyle w:val="11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4"/>
                <w:szCs w:val="32"/>
                <w:u w:val="none" w:color="auto"/>
                <w:vertAlign w:val="baseline"/>
                <w:lang w:val="en-US" w:eastAsia="zh-CN"/>
              </w:rPr>
            </w:pPr>
            <w:r>
              <w:rPr>
                <w:rFonts w:hint="eastAsia" w:ascii="Times New Roman" w:hAnsi="Times New Roman" w:eastAsia="宋体" w:cs="Times New Roman"/>
                <w:color w:val="auto"/>
                <w:sz w:val="24"/>
                <w:szCs w:val="32"/>
                <w:u w:val="none" w:color="auto"/>
                <w:lang w:val="en-US" w:eastAsia="zh-CN"/>
              </w:rPr>
              <w:t>表4.</w:t>
            </w:r>
            <w:r>
              <w:rPr>
                <w:rFonts w:hint="eastAsia" w:cs="Times New Roman"/>
                <w:color w:val="auto"/>
                <w:sz w:val="24"/>
                <w:szCs w:val="32"/>
                <w:u w:val="none" w:color="auto"/>
                <w:lang w:val="en-US" w:eastAsia="zh-CN"/>
              </w:rPr>
              <w:t>3</w:t>
            </w:r>
            <w:r>
              <w:rPr>
                <w:rFonts w:hint="eastAsia" w:ascii="Times New Roman" w:hAnsi="Times New Roman" w:eastAsia="宋体" w:cs="Times New Roman"/>
                <w:color w:val="auto"/>
                <w:sz w:val="24"/>
                <w:szCs w:val="32"/>
                <w:u w:val="none" w:color="auto"/>
                <w:lang w:val="en-US" w:eastAsia="zh-CN"/>
              </w:rPr>
              <w:t>-</w:t>
            </w:r>
            <w:r>
              <w:rPr>
                <w:rFonts w:hint="eastAsia" w:cs="Times New Roman"/>
                <w:color w:val="auto"/>
                <w:sz w:val="24"/>
                <w:szCs w:val="32"/>
                <w:u w:val="none" w:color="auto"/>
                <w:lang w:val="en-US" w:eastAsia="zh-CN"/>
              </w:rPr>
              <w:t>5</w:t>
            </w:r>
            <w:r>
              <w:rPr>
                <w:rFonts w:hint="default" w:ascii="Times New Roman" w:hAnsi="Times New Roman" w:eastAsia="宋体" w:cs="Times New Roman"/>
                <w:color w:val="auto"/>
                <w:sz w:val="24"/>
                <w:szCs w:val="32"/>
                <w:u w:val="none" w:color="auto"/>
                <w:lang w:val="en-US" w:eastAsia="zh-CN"/>
              </w:rPr>
              <w:t>本项目污水类别、污染物种类及污染治理设施表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975"/>
              <w:gridCol w:w="678"/>
              <w:gridCol w:w="677"/>
              <w:gridCol w:w="531"/>
              <w:gridCol w:w="594"/>
              <w:gridCol w:w="765"/>
              <w:gridCol w:w="655"/>
              <w:gridCol w:w="910"/>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1"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废水类别</w:t>
                  </w:r>
                </w:p>
              </w:tc>
              <w:tc>
                <w:tcPr>
                  <w:tcW w:w="975"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污染物类别</w:t>
                  </w:r>
                </w:p>
              </w:tc>
              <w:tc>
                <w:tcPr>
                  <w:tcW w:w="678"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排放去向</w:t>
                  </w:r>
                </w:p>
              </w:tc>
              <w:tc>
                <w:tcPr>
                  <w:tcW w:w="677"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排放规律</w:t>
                  </w:r>
                </w:p>
              </w:tc>
              <w:tc>
                <w:tcPr>
                  <w:tcW w:w="1890" w:type="dxa"/>
                  <w:gridSpan w:val="3"/>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污染物治理设施</w:t>
                  </w:r>
                </w:p>
              </w:tc>
              <w:tc>
                <w:tcPr>
                  <w:tcW w:w="655"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排污口编号</w:t>
                  </w:r>
                </w:p>
              </w:tc>
              <w:tc>
                <w:tcPr>
                  <w:tcW w:w="910"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排放口设置是否符合要</w:t>
                  </w:r>
                </w:p>
              </w:tc>
              <w:tc>
                <w:tcPr>
                  <w:tcW w:w="1556" w:type="dxa"/>
                  <w:vMerge w:val="restart"/>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rPr>
                  </w:pPr>
                  <w:r>
                    <w:rPr>
                      <w:rFonts w:hint="default" w:ascii="Times New Roman" w:hAnsi="Times New Roman" w:eastAsia="宋体" w:cs="Times New Roman"/>
                      <w:b/>
                      <w:bCs w:val="0"/>
                      <w:color w:val="auto"/>
                      <w:sz w:val="21"/>
                      <w:szCs w:val="21"/>
                      <w:u w:val="none" w:color="auto"/>
                      <w:lang w:val="en-US" w:eastAsia="zh-CN"/>
                    </w:rPr>
                    <w:t>排放口类</w:t>
                  </w:r>
                </w:p>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1"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975"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678"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677"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rPr>
                  </w:pPr>
                </w:p>
              </w:tc>
              <w:tc>
                <w:tcPr>
                  <w:tcW w:w="531"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编号</w:t>
                  </w:r>
                </w:p>
              </w:tc>
              <w:tc>
                <w:tcPr>
                  <w:tcW w:w="594"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名称</w:t>
                  </w:r>
                </w:p>
              </w:tc>
              <w:tc>
                <w:tcPr>
                  <w:tcW w:w="765"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val="0"/>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lang w:val="en-US" w:eastAsia="zh-CN"/>
                    </w:rPr>
                    <w:t>工艺</w:t>
                  </w:r>
                </w:p>
              </w:tc>
              <w:tc>
                <w:tcPr>
                  <w:tcW w:w="655"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910"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c>
                <w:tcPr>
                  <w:tcW w:w="1556" w:type="dxa"/>
                  <w:vMerge w:val="continue"/>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91"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生产废水</w:t>
                  </w:r>
                </w:p>
              </w:tc>
              <w:tc>
                <w:tcPr>
                  <w:tcW w:w="975"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
                    </w:rPr>
                    <w:t>pH、SS、CODcr、BOD</w:t>
                  </w:r>
                  <w:r>
                    <w:rPr>
                      <w:rFonts w:hint="default" w:ascii="Times New Roman" w:hAnsi="Times New Roman" w:eastAsia="宋体" w:cs="Times New Roman"/>
                      <w:color w:val="auto"/>
                      <w:kern w:val="0"/>
                      <w:sz w:val="21"/>
                      <w:szCs w:val="21"/>
                      <w:u w:val="none" w:color="auto"/>
                      <w:vertAlign w:val="subscript"/>
                      <w:lang w:val="en-US" w:eastAsia="zh-CN" w:bidi="ar"/>
                    </w:rPr>
                    <w:t>5</w:t>
                  </w:r>
                  <w:r>
                    <w:rPr>
                      <w:rFonts w:hint="default" w:ascii="Times New Roman" w:hAnsi="Times New Roman" w:eastAsia="宋体" w:cs="Times New Roman"/>
                      <w:color w:val="auto"/>
                      <w:kern w:val="0"/>
                      <w:sz w:val="21"/>
                      <w:szCs w:val="21"/>
                      <w:u w:val="none" w:color="auto"/>
                      <w:lang w:val="en-US" w:eastAsia="zh-CN" w:bidi="ar"/>
                    </w:rPr>
                    <w:t>、氨氮、总磷、总氮、石油类、总铁</w:t>
                  </w:r>
                </w:p>
              </w:tc>
              <w:tc>
                <w:tcPr>
                  <w:tcW w:w="678"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湘阴县第三污水处理厂</w:t>
                  </w:r>
                </w:p>
              </w:tc>
              <w:tc>
                <w:tcPr>
                  <w:tcW w:w="677"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间断排放，有周期性规律</w:t>
                  </w:r>
                </w:p>
              </w:tc>
              <w:tc>
                <w:tcPr>
                  <w:tcW w:w="531"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TW001</w:t>
                  </w:r>
                </w:p>
              </w:tc>
              <w:tc>
                <w:tcPr>
                  <w:tcW w:w="594"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污水处理设施</w:t>
                  </w:r>
                </w:p>
              </w:tc>
              <w:tc>
                <w:tcPr>
                  <w:tcW w:w="765"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Cs/>
                      <w:color w:val="auto"/>
                      <w:kern w:val="0"/>
                      <w:sz w:val="21"/>
                      <w:szCs w:val="21"/>
                      <w:u w:val="none"/>
                      <w:lang w:val="en-US" w:eastAsia="zh-CN"/>
                    </w:rPr>
                    <w:t>中和+混凝+沉淀+砂滤</w:t>
                  </w:r>
                </w:p>
              </w:tc>
              <w:tc>
                <w:tcPr>
                  <w:tcW w:w="655"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DW001</w:t>
                  </w:r>
                </w:p>
              </w:tc>
              <w:tc>
                <w:tcPr>
                  <w:tcW w:w="910"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52"/>
                  </w:r>
                  <w:r>
                    <w:rPr>
                      <w:rFonts w:hint="default" w:ascii="Times New Roman" w:hAnsi="Times New Roman" w:eastAsia="宋体" w:cs="Times New Roman"/>
                      <w:color w:val="auto"/>
                      <w:sz w:val="21"/>
                      <w:szCs w:val="21"/>
                      <w:u w:val="none" w:color="auto"/>
                      <w:lang w:val="en-US" w:eastAsia="zh-CN"/>
                    </w:rPr>
                    <w:t>是</w:t>
                  </w:r>
                </w:p>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A3"/>
                  </w:r>
                  <w:r>
                    <w:rPr>
                      <w:rFonts w:hint="default" w:ascii="Times New Roman" w:hAnsi="Times New Roman" w:eastAsia="宋体" w:cs="Times New Roman"/>
                      <w:color w:val="auto"/>
                      <w:sz w:val="21"/>
                      <w:szCs w:val="21"/>
                      <w:u w:val="none" w:color="auto"/>
                      <w:lang w:val="en-US" w:eastAsia="zh-CN"/>
                    </w:rPr>
                    <w:t>否</w:t>
                  </w:r>
                </w:p>
              </w:tc>
              <w:tc>
                <w:tcPr>
                  <w:tcW w:w="1556" w:type="dxa"/>
                  <w:noWrap w:val="0"/>
                  <w:vAlign w:val="center"/>
                </w:tcPr>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52"/>
                  </w:r>
                  <w:r>
                    <w:rPr>
                      <w:rFonts w:hint="default" w:ascii="Times New Roman" w:hAnsi="Times New Roman" w:eastAsia="宋体" w:cs="Times New Roman"/>
                      <w:color w:val="auto"/>
                      <w:sz w:val="21"/>
                      <w:szCs w:val="21"/>
                      <w:u w:val="none" w:color="auto"/>
                      <w:lang w:val="en-US" w:eastAsia="zh-CN"/>
                    </w:rPr>
                    <w:t>企业总排口</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A3"/>
                  </w:r>
                  <w:r>
                    <w:rPr>
                      <w:rFonts w:hint="default" w:ascii="Times New Roman" w:hAnsi="Times New Roman" w:eastAsia="宋体" w:cs="Times New Roman"/>
                      <w:color w:val="auto"/>
                      <w:sz w:val="21"/>
                      <w:szCs w:val="21"/>
                      <w:u w:val="none" w:color="auto"/>
                      <w:lang w:val="en-US" w:eastAsia="zh-CN"/>
                    </w:rPr>
                    <w:t>雨水排放</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A3"/>
                  </w:r>
                  <w:r>
                    <w:rPr>
                      <w:rFonts w:hint="default" w:ascii="Times New Roman" w:hAnsi="Times New Roman" w:eastAsia="宋体" w:cs="Times New Roman"/>
                      <w:color w:val="auto"/>
                      <w:sz w:val="21"/>
                      <w:szCs w:val="21"/>
                      <w:u w:val="none" w:color="auto"/>
                      <w:lang w:val="en-US" w:eastAsia="zh-CN"/>
                    </w:rPr>
                    <w:t>清净下水排放</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A3"/>
                  </w:r>
                  <w:r>
                    <w:rPr>
                      <w:rFonts w:hint="default" w:ascii="Times New Roman" w:hAnsi="Times New Roman" w:eastAsia="宋体" w:cs="Times New Roman"/>
                      <w:color w:val="auto"/>
                      <w:sz w:val="21"/>
                      <w:szCs w:val="21"/>
                      <w:u w:val="none" w:color="auto"/>
                      <w:lang w:val="en-US" w:eastAsia="zh-CN"/>
                    </w:rPr>
                    <w:t>温水排放</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sym w:font="Wingdings 2" w:char="00A3"/>
                  </w:r>
                  <w:r>
                    <w:rPr>
                      <w:rFonts w:hint="default" w:ascii="Times New Roman" w:hAnsi="Times New Roman" w:eastAsia="宋体" w:cs="Times New Roman"/>
                      <w:color w:val="auto"/>
                      <w:sz w:val="21"/>
                      <w:szCs w:val="21"/>
                      <w:u w:val="none" w:color="auto"/>
                      <w:lang w:val="en-US" w:eastAsia="zh-CN"/>
                    </w:rPr>
                    <w:t>车间或车间处理设施排放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91"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single" w:color="auto"/>
                      <w:lang w:val="en-US" w:eastAsia="zh-CN"/>
                    </w:rPr>
                  </w:pPr>
                  <w:r>
                    <w:rPr>
                      <w:rFonts w:hint="eastAsia" w:cs="Times New Roman"/>
                      <w:bCs/>
                      <w:color w:val="auto"/>
                      <w:kern w:val="0"/>
                      <w:sz w:val="21"/>
                      <w:szCs w:val="21"/>
                      <w:highlight w:val="none"/>
                      <w:u w:val="single" w:color="auto"/>
                      <w:lang w:eastAsia="zh-CN"/>
                    </w:rPr>
                    <w:t>办公食堂废水</w:t>
                  </w:r>
                </w:p>
              </w:tc>
              <w:tc>
                <w:tcPr>
                  <w:tcW w:w="975"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pH、SS、CODcr、BOD</w:t>
                  </w:r>
                  <w:r>
                    <w:rPr>
                      <w:rFonts w:hint="default" w:ascii="Times New Roman" w:hAnsi="Times New Roman" w:eastAsia="宋体" w:cs="Times New Roman"/>
                      <w:color w:val="auto"/>
                      <w:kern w:val="0"/>
                      <w:sz w:val="21"/>
                      <w:szCs w:val="21"/>
                      <w:u w:val="single" w:color="auto"/>
                      <w:vertAlign w:val="subscript"/>
                      <w:lang w:val="en-US" w:eastAsia="zh-CN" w:bidi="ar"/>
                    </w:rPr>
                    <w:t>5</w:t>
                  </w:r>
                  <w:r>
                    <w:rPr>
                      <w:rFonts w:hint="default" w:ascii="Times New Roman" w:hAnsi="Times New Roman" w:eastAsia="宋体" w:cs="Times New Roman"/>
                      <w:color w:val="auto"/>
                      <w:kern w:val="0"/>
                      <w:sz w:val="21"/>
                      <w:szCs w:val="21"/>
                      <w:u w:val="single" w:color="auto"/>
                      <w:lang w:val="en-US" w:eastAsia="zh-CN" w:bidi="ar"/>
                    </w:rPr>
                    <w:t>、氨氮、总氮、石油类</w:t>
                  </w:r>
                </w:p>
              </w:tc>
              <w:tc>
                <w:tcPr>
                  <w:tcW w:w="678" w:type="dxa"/>
                  <w:noWrap w:val="0"/>
                  <w:vAlign w:val="center"/>
                </w:tcPr>
                <w:p>
                  <w:pPr>
                    <w:pStyle w:val="111"/>
                    <w:keepNext w:val="0"/>
                    <w:keepLines w:val="0"/>
                    <w:suppressLineNumbers w:val="0"/>
                    <w:bidi w:val="0"/>
                    <w:spacing w:before="0" w:beforeAutospacing="0" w:after="0" w:afterAutospacing="0"/>
                    <w:ind w:left="0" w:right="0"/>
                    <w:jc w:val="center"/>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湘阴县第三污水处理厂</w:t>
                  </w:r>
                </w:p>
              </w:tc>
              <w:tc>
                <w:tcPr>
                  <w:tcW w:w="677"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间断排放，有周期性规律</w:t>
                  </w:r>
                </w:p>
              </w:tc>
              <w:tc>
                <w:tcPr>
                  <w:tcW w:w="531"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TW002</w:t>
                  </w:r>
                </w:p>
              </w:tc>
              <w:tc>
                <w:tcPr>
                  <w:tcW w:w="594" w:type="dxa"/>
                  <w:noWrap w:val="0"/>
                  <w:vAlign w:val="center"/>
                </w:tcPr>
                <w:p>
                  <w:pPr>
                    <w:pStyle w:val="111"/>
                    <w:keepNext w:val="0"/>
                    <w:keepLines w:val="0"/>
                    <w:suppressLineNumbers w:val="0"/>
                    <w:bidi w:val="0"/>
                    <w:spacing w:before="0" w:beforeAutospacing="0" w:after="0" w:afterAutospacing="0"/>
                    <w:ind w:left="0" w:right="0"/>
                    <w:jc w:val="center"/>
                    <w:rPr>
                      <w:rFonts w:hint="eastAsia" w:cs="Times New Roman"/>
                      <w:color w:val="auto"/>
                      <w:sz w:val="21"/>
                      <w:szCs w:val="21"/>
                      <w:u w:val="single" w:color="auto"/>
                      <w:lang w:val="en-US" w:eastAsia="zh-CN"/>
                    </w:rPr>
                  </w:pPr>
                  <w:r>
                    <w:rPr>
                      <w:rFonts w:hint="eastAsia" w:cs="Times New Roman"/>
                      <w:color w:val="auto"/>
                      <w:sz w:val="21"/>
                      <w:szCs w:val="21"/>
                      <w:u w:val="single" w:color="auto"/>
                      <w:lang w:val="en-US" w:eastAsia="zh-CN"/>
                    </w:rPr>
                    <w:t>生活污水处理</w:t>
                  </w:r>
                </w:p>
              </w:tc>
              <w:tc>
                <w:tcPr>
                  <w:tcW w:w="765" w:type="dxa"/>
                  <w:noWrap w:val="0"/>
                  <w:vAlign w:val="center"/>
                </w:tcPr>
                <w:p>
                  <w:pPr>
                    <w:pStyle w:val="111"/>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Cs/>
                      <w:color w:val="auto"/>
                      <w:kern w:val="0"/>
                      <w:sz w:val="21"/>
                      <w:szCs w:val="21"/>
                      <w:u w:val="single" w:color="auto"/>
                      <w:lang w:val="en-US" w:eastAsia="zh-CN"/>
                    </w:rPr>
                  </w:pPr>
                  <w:r>
                    <w:rPr>
                      <w:rFonts w:hint="eastAsia" w:cs="Times New Roman"/>
                      <w:color w:val="auto"/>
                      <w:sz w:val="21"/>
                      <w:szCs w:val="21"/>
                      <w:u w:val="single" w:color="auto"/>
                      <w:lang w:val="en-US" w:eastAsia="zh-CN"/>
                    </w:rPr>
                    <w:t>化粪池、隔油池</w:t>
                  </w:r>
                </w:p>
              </w:tc>
              <w:tc>
                <w:tcPr>
                  <w:tcW w:w="655"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DW002</w:t>
                  </w:r>
                </w:p>
              </w:tc>
              <w:tc>
                <w:tcPr>
                  <w:tcW w:w="910" w:type="dxa"/>
                  <w:noWrap w:val="0"/>
                  <w:vAlign w:val="center"/>
                </w:tcPr>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52"/>
                  </w:r>
                  <w:r>
                    <w:rPr>
                      <w:rFonts w:hint="default" w:ascii="Times New Roman" w:hAnsi="Times New Roman" w:eastAsia="宋体" w:cs="Times New Roman"/>
                      <w:color w:val="auto"/>
                      <w:sz w:val="21"/>
                      <w:szCs w:val="21"/>
                      <w:u w:val="single" w:color="auto"/>
                      <w:lang w:val="en-US" w:eastAsia="zh-CN"/>
                    </w:rPr>
                    <w:t>是</w:t>
                  </w:r>
                </w:p>
                <w:p>
                  <w:pPr>
                    <w:pStyle w:val="11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A3"/>
                  </w:r>
                  <w:r>
                    <w:rPr>
                      <w:rFonts w:hint="default" w:ascii="Times New Roman" w:hAnsi="Times New Roman" w:eastAsia="宋体" w:cs="Times New Roman"/>
                      <w:color w:val="auto"/>
                      <w:sz w:val="21"/>
                      <w:szCs w:val="21"/>
                      <w:u w:val="single" w:color="auto"/>
                      <w:lang w:val="en-US" w:eastAsia="zh-CN"/>
                    </w:rPr>
                    <w:t>否</w:t>
                  </w:r>
                </w:p>
              </w:tc>
              <w:tc>
                <w:tcPr>
                  <w:tcW w:w="1556" w:type="dxa"/>
                  <w:noWrap w:val="0"/>
                  <w:vAlign w:val="center"/>
                </w:tcPr>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52"/>
                  </w:r>
                  <w:r>
                    <w:rPr>
                      <w:rFonts w:hint="default" w:ascii="Times New Roman" w:hAnsi="Times New Roman" w:eastAsia="宋体" w:cs="Times New Roman"/>
                      <w:color w:val="auto"/>
                      <w:sz w:val="21"/>
                      <w:szCs w:val="21"/>
                      <w:u w:val="single" w:color="auto"/>
                      <w:lang w:val="en-US" w:eastAsia="zh-CN"/>
                    </w:rPr>
                    <w:t>企业总排口</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A3"/>
                  </w:r>
                  <w:r>
                    <w:rPr>
                      <w:rFonts w:hint="default" w:ascii="Times New Roman" w:hAnsi="Times New Roman" w:eastAsia="宋体" w:cs="Times New Roman"/>
                      <w:color w:val="auto"/>
                      <w:sz w:val="21"/>
                      <w:szCs w:val="21"/>
                      <w:u w:val="single" w:color="auto"/>
                      <w:lang w:val="en-US" w:eastAsia="zh-CN"/>
                    </w:rPr>
                    <w:t>雨水排放</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A3"/>
                  </w:r>
                  <w:r>
                    <w:rPr>
                      <w:rFonts w:hint="default" w:ascii="Times New Roman" w:hAnsi="Times New Roman" w:eastAsia="宋体" w:cs="Times New Roman"/>
                      <w:color w:val="auto"/>
                      <w:sz w:val="21"/>
                      <w:szCs w:val="21"/>
                      <w:u w:val="single" w:color="auto"/>
                      <w:lang w:val="en-US" w:eastAsia="zh-CN"/>
                    </w:rPr>
                    <w:t>清净下水排放</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A3"/>
                  </w:r>
                  <w:r>
                    <w:rPr>
                      <w:rFonts w:hint="default" w:ascii="Times New Roman" w:hAnsi="Times New Roman" w:eastAsia="宋体" w:cs="Times New Roman"/>
                      <w:color w:val="auto"/>
                      <w:sz w:val="21"/>
                      <w:szCs w:val="21"/>
                      <w:u w:val="single" w:color="auto"/>
                      <w:lang w:val="en-US" w:eastAsia="zh-CN"/>
                    </w:rPr>
                    <w:t>温水排放</w:t>
                  </w:r>
                </w:p>
                <w:p>
                  <w:pPr>
                    <w:pStyle w:val="111"/>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sym w:font="Wingdings 2" w:char="00A3"/>
                  </w:r>
                  <w:r>
                    <w:rPr>
                      <w:rFonts w:hint="default" w:ascii="Times New Roman" w:hAnsi="Times New Roman" w:eastAsia="宋体" w:cs="Times New Roman"/>
                      <w:color w:val="auto"/>
                      <w:sz w:val="21"/>
                      <w:szCs w:val="21"/>
                      <w:u w:val="single" w:color="auto"/>
                      <w:lang w:val="en-US" w:eastAsia="zh-CN"/>
                    </w:rPr>
                    <w:t>车间或车间处理设施排放</w:t>
                  </w: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kern w:val="2"/>
                <w:sz w:val="24"/>
                <w:szCs w:val="32"/>
                <w:u w:val="none" w:color="auto"/>
                <w:lang w:val="en-US" w:eastAsia="zh-CN" w:bidi="ar-SA"/>
              </w:rPr>
            </w:pPr>
            <w:r>
              <w:rPr>
                <w:rFonts w:hint="default" w:ascii="Times New Roman" w:hAnsi="Times New Roman" w:eastAsia="宋体" w:cs="Times New Roman"/>
                <w:b/>
                <w:color w:val="auto"/>
                <w:kern w:val="2"/>
                <w:sz w:val="24"/>
                <w:szCs w:val="32"/>
                <w:u w:val="none" w:color="auto"/>
                <w:lang w:val="en-US" w:eastAsia="zh-CN" w:bidi="ar-SA"/>
              </w:rPr>
              <w:t>表4.</w:t>
            </w:r>
            <w:r>
              <w:rPr>
                <w:rFonts w:hint="eastAsia" w:cs="Times New Roman"/>
                <w:b/>
                <w:color w:val="auto"/>
                <w:kern w:val="2"/>
                <w:sz w:val="24"/>
                <w:szCs w:val="32"/>
                <w:u w:val="none" w:color="auto"/>
                <w:lang w:val="en-US" w:eastAsia="zh-CN" w:bidi="ar-SA"/>
              </w:rPr>
              <w:t>3</w:t>
            </w:r>
            <w:r>
              <w:rPr>
                <w:rFonts w:hint="default" w:ascii="Times New Roman" w:hAnsi="Times New Roman" w:eastAsia="宋体" w:cs="Times New Roman"/>
                <w:b/>
                <w:color w:val="auto"/>
                <w:kern w:val="2"/>
                <w:sz w:val="24"/>
                <w:szCs w:val="32"/>
                <w:u w:val="none" w:color="auto"/>
                <w:lang w:val="en-US" w:eastAsia="zh-CN" w:bidi="ar-SA"/>
              </w:rPr>
              <w:t>-</w:t>
            </w:r>
            <w:r>
              <w:rPr>
                <w:rFonts w:hint="eastAsia" w:cs="Times New Roman"/>
                <w:b/>
                <w:color w:val="auto"/>
                <w:kern w:val="2"/>
                <w:sz w:val="24"/>
                <w:szCs w:val="32"/>
                <w:u w:val="none" w:color="auto"/>
                <w:lang w:val="en-US" w:eastAsia="zh-CN" w:bidi="ar-SA"/>
              </w:rPr>
              <w:t>6</w:t>
            </w:r>
            <w:r>
              <w:rPr>
                <w:rFonts w:hint="default" w:ascii="Times New Roman" w:hAnsi="Times New Roman" w:eastAsia="宋体" w:cs="Times New Roman"/>
                <w:b/>
                <w:color w:val="auto"/>
                <w:kern w:val="2"/>
                <w:sz w:val="24"/>
                <w:szCs w:val="32"/>
                <w:u w:val="none" w:color="auto"/>
                <w:lang w:val="en-US" w:eastAsia="zh-CN" w:bidi="ar-SA"/>
              </w:rPr>
              <w:t>废水排放信息汇总</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486"/>
              <w:gridCol w:w="232"/>
              <w:gridCol w:w="768"/>
              <w:gridCol w:w="525"/>
              <w:gridCol w:w="621"/>
              <w:gridCol w:w="1030"/>
              <w:gridCol w:w="505"/>
              <w:gridCol w:w="470"/>
              <w:gridCol w:w="509"/>
              <w:gridCol w:w="1125"/>
              <w:gridCol w:w="16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16" w:hRule="atLeast"/>
                <w:jc w:val="center"/>
              </w:trPr>
              <w:tc>
                <w:tcPr>
                  <w:tcW w:w="486"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产排污环节</w:t>
                  </w:r>
                </w:p>
              </w:tc>
              <w:tc>
                <w:tcPr>
                  <w:tcW w:w="232" w:type="dxa"/>
                  <w:vMerge w:val="restart"/>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类别</w:t>
                  </w:r>
                </w:p>
              </w:tc>
              <w:tc>
                <w:tcPr>
                  <w:tcW w:w="76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污染物种类</w:t>
                  </w:r>
                </w:p>
              </w:tc>
              <w:tc>
                <w:tcPr>
                  <w:tcW w:w="52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排放方式</w:t>
                  </w:r>
                </w:p>
              </w:tc>
              <w:tc>
                <w:tcPr>
                  <w:tcW w:w="621"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排放去向</w:t>
                  </w:r>
                </w:p>
              </w:tc>
              <w:tc>
                <w:tcPr>
                  <w:tcW w:w="1030"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排放规律</w:t>
                  </w:r>
                </w:p>
              </w:tc>
              <w:tc>
                <w:tcPr>
                  <w:tcW w:w="2609" w:type="dxa"/>
                  <w:gridSpan w:val="4"/>
                  <w:tcBorders>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排放口基本情况</w:t>
                  </w:r>
                </w:p>
              </w:tc>
              <w:tc>
                <w:tcPr>
                  <w:tcW w:w="1666"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72" w:hRule="atLeast"/>
                <w:jc w:val="center"/>
              </w:trPr>
              <w:tc>
                <w:tcPr>
                  <w:tcW w:w="48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c>
                <w:tcPr>
                  <w:tcW w:w="232" w:type="dxa"/>
                  <w:vMerge w:val="continue"/>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c>
                <w:tcPr>
                  <w:tcW w:w="76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c>
                <w:tcPr>
                  <w:tcW w:w="52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c>
                <w:tcPr>
                  <w:tcW w:w="62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c>
                <w:tcPr>
                  <w:tcW w:w="103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c>
                <w:tcPr>
                  <w:tcW w:w="505" w:type="dxa"/>
                  <w:tcBorders>
                    <w:top w:val="single" w:color="auto" w:sz="4" w:space="0"/>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编号</w:t>
                  </w:r>
                </w:p>
              </w:tc>
              <w:tc>
                <w:tcPr>
                  <w:tcW w:w="470"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名称</w:t>
                  </w:r>
                </w:p>
              </w:tc>
              <w:tc>
                <w:tcPr>
                  <w:tcW w:w="509" w:type="dxa"/>
                  <w:tcBorders>
                    <w:top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类型</w:t>
                  </w:r>
                </w:p>
              </w:tc>
              <w:tc>
                <w:tcPr>
                  <w:tcW w:w="1125"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地理坐标</w:t>
                  </w:r>
                </w:p>
              </w:tc>
              <w:tc>
                <w:tcPr>
                  <w:tcW w:w="1666"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448" w:hRule="atLeast"/>
                <w:jc w:val="center"/>
              </w:trPr>
              <w:tc>
                <w:tcPr>
                  <w:tcW w:w="486"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cs="Times New Roman"/>
                      <w:color w:val="auto"/>
                      <w:sz w:val="21"/>
                      <w:szCs w:val="21"/>
                      <w:u w:val="none" w:color="auto"/>
                      <w:lang w:val="en-US" w:eastAsia="zh-CN"/>
                    </w:rPr>
                    <w:t>酸洗、水洗、清洗</w:t>
                  </w:r>
                </w:p>
              </w:tc>
              <w:tc>
                <w:tcPr>
                  <w:tcW w:w="232"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eastAsia="zh-CN"/>
                    </w:rPr>
                    <w:t>综合废</w:t>
                  </w:r>
                  <w:r>
                    <w:rPr>
                      <w:rFonts w:hint="default" w:ascii="Times New Roman" w:hAnsi="Times New Roman" w:eastAsia="宋体" w:cs="Times New Roman"/>
                      <w:color w:val="auto"/>
                      <w:u w:val="none" w:color="auto"/>
                    </w:rPr>
                    <w:t>水</w:t>
                  </w:r>
                </w:p>
              </w:tc>
              <w:tc>
                <w:tcPr>
                  <w:tcW w:w="76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kern w:val="0"/>
                      <w:sz w:val="21"/>
                      <w:szCs w:val="21"/>
                      <w:u w:val="none" w:color="auto"/>
                      <w:lang w:val="en-US" w:eastAsia="zh-CN" w:bidi="ar"/>
                    </w:rPr>
                    <w:t>pH、SS、CODcr、BOD</w:t>
                  </w:r>
                  <w:r>
                    <w:rPr>
                      <w:rFonts w:hint="default" w:ascii="Times New Roman" w:hAnsi="Times New Roman" w:eastAsia="宋体" w:cs="Times New Roman"/>
                      <w:color w:val="auto"/>
                      <w:kern w:val="0"/>
                      <w:sz w:val="21"/>
                      <w:szCs w:val="21"/>
                      <w:u w:val="none" w:color="auto"/>
                      <w:vertAlign w:val="subscript"/>
                      <w:lang w:val="en-US" w:eastAsia="zh-CN" w:bidi="ar"/>
                    </w:rPr>
                    <w:t>5</w:t>
                  </w:r>
                  <w:r>
                    <w:rPr>
                      <w:rFonts w:hint="default" w:ascii="Times New Roman" w:hAnsi="Times New Roman" w:eastAsia="宋体" w:cs="Times New Roman"/>
                      <w:color w:val="auto"/>
                      <w:kern w:val="0"/>
                      <w:sz w:val="21"/>
                      <w:szCs w:val="21"/>
                      <w:u w:val="none" w:color="auto"/>
                      <w:lang w:val="en-US" w:eastAsia="zh-CN" w:bidi="ar"/>
                    </w:rPr>
                    <w:t>、氨氮、总磷、总氮、石油类、总铁</w:t>
                  </w:r>
                </w:p>
              </w:tc>
              <w:tc>
                <w:tcPr>
                  <w:tcW w:w="525"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间接排放</w:t>
                  </w:r>
                </w:p>
              </w:tc>
              <w:tc>
                <w:tcPr>
                  <w:tcW w:w="621"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eastAsia" w:cs="Times New Roman"/>
                      <w:color w:val="auto"/>
                      <w:sz w:val="21"/>
                      <w:szCs w:val="21"/>
                      <w:u w:val="none" w:color="auto"/>
                      <w:lang w:val="en-US" w:eastAsia="zh-CN"/>
                    </w:rPr>
                    <w:t>湘阴县第三污水处理厂</w:t>
                  </w:r>
                </w:p>
              </w:tc>
              <w:tc>
                <w:tcPr>
                  <w:tcW w:w="1030"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间断排放，排放期间流量不稳定且无规律，但不属于冲击型排放</w:t>
                  </w:r>
                </w:p>
              </w:tc>
              <w:tc>
                <w:tcPr>
                  <w:tcW w:w="50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DW001</w:t>
                  </w:r>
                </w:p>
              </w:tc>
              <w:tc>
                <w:tcPr>
                  <w:tcW w:w="4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企业总排口</w:t>
                  </w:r>
                </w:p>
              </w:tc>
              <w:tc>
                <w:tcPr>
                  <w:tcW w:w="509"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u w:val="none" w:color="auto"/>
                    </w:rPr>
                  </w:pPr>
                  <w:r>
                    <w:rPr>
                      <w:rFonts w:hint="eastAsia" w:cs="Times New Roman"/>
                      <w:color w:val="auto"/>
                      <w:u w:val="none" w:color="auto"/>
                      <w:lang w:val="en-US" w:eastAsia="zh-CN"/>
                    </w:rPr>
                    <w:t>主要排放口</w:t>
                  </w:r>
                </w:p>
              </w:tc>
              <w:tc>
                <w:tcPr>
                  <w:tcW w:w="1125"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E</w:t>
                  </w:r>
                  <w:r>
                    <w:rPr>
                      <w:rFonts w:hint="default" w:ascii="Times New Roman" w:hAnsi="Times New Roman" w:eastAsia="宋体" w:cs="Times New Roman"/>
                      <w:color w:val="auto"/>
                      <w:highlight w:val="none"/>
                      <w:u w:val="none" w:color="auto"/>
                    </w:rPr>
                    <w:t>11</w:t>
                  </w:r>
                  <w:r>
                    <w:rPr>
                      <w:rFonts w:hint="eastAsia" w:ascii="Times New Roman" w:hAnsi="Times New Roman" w:eastAsia="宋体"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w:t>
                  </w:r>
                  <w:r>
                    <w:rPr>
                      <w:rFonts w:hint="eastAsia" w:ascii="Times New Roman" w:hAnsi="Times New Roman" w:eastAsia="宋体" w:cs="Times New Roman"/>
                      <w:color w:val="auto"/>
                      <w:highlight w:val="none"/>
                      <w:u w:val="none" w:color="auto"/>
                      <w:lang w:val="en-US" w:eastAsia="zh-CN"/>
                    </w:rPr>
                    <w:t>55</w:t>
                  </w:r>
                  <w:r>
                    <w:rPr>
                      <w:rFonts w:hint="default" w:ascii="Times New Roman" w:hAnsi="Times New Roman" w:eastAsia="宋体" w:cs="Times New Roman"/>
                      <w:color w:val="auto"/>
                      <w:highlight w:val="none"/>
                      <w:u w:val="none" w:color="auto"/>
                    </w:rPr>
                    <w:t>′</w:t>
                  </w:r>
                  <w:r>
                    <w:rPr>
                      <w:rFonts w:hint="eastAsia" w:ascii="Times New Roman" w:hAnsi="Times New Roman" w:eastAsia="宋体" w:cs="Times New Roman"/>
                      <w:color w:val="auto"/>
                      <w:highlight w:val="none"/>
                      <w:u w:val="none" w:color="auto"/>
                      <w:lang w:val="en-US" w:eastAsia="zh-CN"/>
                    </w:rPr>
                    <w:t>43.023</w:t>
                  </w:r>
                  <w:r>
                    <w:rPr>
                      <w:rFonts w:hint="default" w:ascii="Times New Roman" w:hAnsi="Times New Roman" w:eastAsia="宋体" w:cs="Times New Roman"/>
                      <w:color w:val="auto"/>
                      <w:highlight w:val="none"/>
                      <w:u w:val="none" w:color="auto"/>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N</w:t>
                  </w:r>
                  <w:r>
                    <w:rPr>
                      <w:rFonts w:hint="default" w:ascii="Times New Roman" w:hAnsi="Times New Roman" w:eastAsia="宋体" w:cs="Times New Roman"/>
                      <w:color w:val="auto"/>
                      <w:highlight w:val="none"/>
                      <w:u w:val="none" w:color="auto"/>
                    </w:rPr>
                    <w:t>28°</w:t>
                  </w:r>
                  <w:r>
                    <w:rPr>
                      <w:rFonts w:hint="eastAsia" w:ascii="Times New Roman" w:hAnsi="Times New Roman" w:eastAsia="宋体" w:cs="Times New Roman"/>
                      <w:color w:val="auto"/>
                      <w:highlight w:val="none"/>
                      <w:u w:val="none" w:color="auto"/>
                      <w:lang w:val="en-US" w:eastAsia="zh-CN"/>
                    </w:rPr>
                    <w:t>32</w:t>
                  </w:r>
                  <w:r>
                    <w:rPr>
                      <w:rFonts w:hint="default" w:ascii="Times New Roman" w:hAnsi="Times New Roman" w:eastAsia="宋体" w:cs="Times New Roman"/>
                      <w:color w:val="auto"/>
                      <w:highlight w:val="none"/>
                      <w:u w:val="none" w:color="auto"/>
                    </w:rPr>
                    <w:t>′</w:t>
                  </w:r>
                  <w:r>
                    <w:rPr>
                      <w:rFonts w:hint="eastAsia" w:ascii="Times New Roman" w:hAnsi="Times New Roman" w:eastAsia="宋体" w:cs="Times New Roman"/>
                      <w:color w:val="auto"/>
                      <w:highlight w:val="none"/>
                      <w:u w:val="none" w:color="auto"/>
                      <w:lang w:val="en-US" w:eastAsia="zh-CN"/>
                    </w:rPr>
                    <w:t>0.159</w:t>
                  </w:r>
                  <w:r>
                    <w:rPr>
                      <w:rFonts w:hint="default" w:ascii="Times New Roman" w:hAnsi="Times New Roman" w:eastAsia="宋体" w:cs="Times New Roman"/>
                      <w:color w:val="auto"/>
                      <w:highlight w:val="none"/>
                      <w:u w:val="none" w:color="auto"/>
                    </w:rPr>
                    <w:t>″</w:t>
                  </w:r>
                </w:p>
              </w:tc>
              <w:tc>
                <w:tcPr>
                  <w:tcW w:w="1666"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rPr>
                  </w:pPr>
                  <w:r>
                    <w:rPr>
                      <w:rFonts w:hint="eastAsia" w:cs="Times New Roman"/>
                      <w:color w:val="auto"/>
                      <w:kern w:val="2"/>
                      <w:sz w:val="21"/>
                      <w:szCs w:val="21"/>
                      <w:u w:val="none" w:color="auto"/>
                      <w:lang w:val="en-US" w:eastAsia="zh-CN" w:bidi="ar"/>
                    </w:rPr>
                    <w:t>《污水综合排放标准》（GB8978-1996）中三级标准</w:t>
                  </w:r>
                  <w:r>
                    <w:rPr>
                      <w:rFonts w:hint="default" w:ascii="Times New Roman" w:hAnsi="Times New Roman" w:eastAsia="宋体" w:cs="Times New Roman"/>
                      <w:color w:val="auto"/>
                      <w:kern w:val="2"/>
                      <w:sz w:val="21"/>
                      <w:szCs w:val="21"/>
                      <w:u w:val="none" w:color="auto"/>
                      <w:lang w:val="en-US" w:eastAsia="zh-CN" w:bidi="ar"/>
                    </w:rPr>
                    <w:t>和湘阴县第三污水处理厂进水水质要求的较严值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18" w:hRule="atLeast"/>
                <w:jc w:val="center"/>
              </w:trPr>
              <w:tc>
                <w:tcPr>
                  <w:tcW w:w="486"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办公楼、食堂</w:t>
                  </w:r>
                </w:p>
              </w:tc>
              <w:tc>
                <w:tcPr>
                  <w:tcW w:w="232" w:type="dxa"/>
                  <w:tcBorders>
                    <w:lef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highlight w:val="none"/>
                      <w:u w:val="single" w:color="auto"/>
                      <w:lang w:eastAsia="zh-CN"/>
                    </w:rPr>
                  </w:pPr>
                  <w:r>
                    <w:rPr>
                      <w:rFonts w:hint="eastAsia" w:cs="Times New Roman"/>
                      <w:bCs/>
                      <w:color w:val="auto"/>
                      <w:kern w:val="0"/>
                      <w:sz w:val="21"/>
                      <w:szCs w:val="21"/>
                      <w:highlight w:val="none"/>
                      <w:u w:val="single"/>
                      <w:lang w:eastAsia="zh-CN"/>
                    </w:rPr>
                    <w:t>办公食堂废水</w:t>
                  </w:r>
                </w:p>
              </w:tc>
              <w:tc>
                <w:tcPr>
                  <w:tcW w:w="768"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pH、SS、CODcr、BOD</w:t>
                  </w:r>
                  <w:r>
                    <w:rPr>
                      <w:rFonts w:hint="default" w:ascii="Times New Roman" w:hAnsi="Times New Roman" w:eastAsia="宋体" w:cs="Times New Roman"/>
                      <w:color w:val="auto"/>
                      <w:kern w:val="0"/>
                      <w:sz w:val="21"/>
                      <w:szCs w:val="21"/>
                      <w:highlight w:val="none"/>
                      <w:u w:val="none" w:color="auto"/>
                      <w:vertAlign w:val="subscript"/>
                      <w:lang w:val="en-US" w:eastAsia="zh-CN" w:bidi="ar"/>
                    </w:rPr>
                    <w:t>5</w:t>
                  </w:r>
                  <w:r>
                    <w:rPr>
                      <w:rFonts w:hint="default" w:ascii="Times New Roman" w:hAnsi="Times New Roman" w:eastAsia="宋体" w:cs="Times New Roman"/>
                      <w:color w:val="auto"/>
                      <w:kern w:val="0"/>
                      <w:sz w:val="21"/>
                      <w:szCs w:val="21"/>
                      <w:highlight w:val="none"/>
                      <w:u w:val="none" w:color="auto"/>
                      <w:lang w:val="en-US" w:eastAsia="zh-CN" w:bidi="ar"/>
                    </w:rPr>
                    <w:t>、氨氮、总氮、石油类</w:t>
                  </w:r>
                </w:p>
              </w:tc>
              <w:tc>
                <w:tcPr>
                  <w:tcW w:w="525"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none" w:color="auto"/>
                    </w:rPr>
                    <w:t>间接排放</w:t>
                  </w:r>
                </w:p>
              </w:tc>
              <w:tc>
                <w:tcPr>
                  <w:tcW w:w="621"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湘阴县第三污水处理厂</w:t>
                  </w:r>
                </w:p>
              </w:tc>
              <w:tc>
                <w:tcPr>
                  <w:tcW w:w="1030"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间断排放，排放期间流量不稳定且无规律，但不属于冲击型排放</w:t>
                  </w:r>
                </w:p>
              </w:tc>
              <w:tc>
                <w:tcPr>
                  <w:tcW w:w="50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single" w:color="auto"/>
                      <w:lang w:val="en-US" w:eastAsia="zh-CN"/>
                    </w:rPr>
                  </w:pPr>
                  <w:r>
                    <w:rPr>
                      <w:rFonts w:hint="eastAsia" w:cs="Times New Roman"/>
                      <w:color w:val="auto"/>
                      <w:highlight w:val="none"/>
                      <w:u w:val="single" w:color="auto"/>
                      <w:lang w:val="en-US" w:eastAsia="zh-CN"/>
                    </w:rPr>
                    <w:t>DW02</w:t>
                  </w:r>
                </w:p>
              </w:tc>
              <w:tc>
                <w:tcPr>
                  <w:tcW w:w="470"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u w:val="single" w:color="auto"/>
                      <w:lang w:eastAsia="zh-CN"/>
                    </w:rPr>
                  </w:pPr>
                  <w:r>
                    <w:rPr>
                      <w:rFonts w:hint="eastAsia" w:cs="Times New Roman"/>
                      <w:color w:val="auto"/>
                      <w:highlight w:val="none"/>
                      <w:u w:val="single" w:color="auto"/>
                      <w:lang w:eastAsia="zh-CN"/>
                    </w:rPr>
                    <w:t>污水排口</w:t>
                  </w:r>
                </w:p>
              </w:tc>
              <w:tc>
                <w:tcPr>
                  <w:tcW w:w="509" w:type="dxa"/>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Times New Roman"/>
                      <w:color w:val="auto"/>
                      <w:highlight w:val="none"/>
                      <w:u w:val="single" w:color="auto"/>
                      <w:lang w:val="en-US" w:eastAsia="zh-CN"/>
                    </w:rPr>
                  </w:pPr>
                  <w:r>
                    <w:rPr>
                      <w:rFonts w:hint="eastAsia" w:cs="Times New Roman"/>
                      <w:color w:val="auto"/>
                      <w:highlight w:val="none"/>
                      <w:u w:val="single" w:color="auto"/>
                      <w:lang w:val="en-US" w:eastAsia="zh-CN"/>
                    </w:rPr>
                    <w:t>一般排口</w:t>
                  </w:r>
                </w:p>
              </w:tc>
              <w:tc>
                <w:tcPr>
                  <w:tcW w:w="1125"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E</w:t>
                  </w:r>
                  <w:r>
                    <w:rPr>
                      <w:rFonts w:hint="default" w:ascii="Times New Roman" w:hAnsi="Times New Roman" w:eastAsia="宋体" w:cs="Times New Roman"/>
                      <w:color w:val="auto"/>
                      <w:highlight w:val="none"/>
                      <w:u w:val="none" w:color="auto"/>
                    </w:rPr>
                    <w:t>11</w:t>
                  </w:r>
                  <w:r>
                    <w:rPr>
                      <w:rFonts w:hint="eastAsia" w:ascii="Times New Roman" w:hAnsi="Times New Roman" w:eastAsia="宋体"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w:t>
                  </w:r>
                  <w:r>
                    <w:rPr>
                      <w:rFonts w:hint="eastAsia" w:ascii="Times New Roman" w:hAnsi="Times New Roman" w:eastAsia="宋体" w:cs="Times New Roman"/>
                      <w:color w:val="auto"/>
                      <w:highlight w:val="none"/>
                      <w:u w:val="none" w:color="auto"/>
                      <w:lang w:val="en-US" w:eastAsia="zh-CN"/>
                    </w:rPr>
                    <w:t>55</w:t>
                  </w:r>
                  <w:r>
                    <w:rPr>
                      <w:rFonts w:hint="default" w:ascii="Times New Roman" w:hAnsi="Times New Roman" w:eastAsia="宋体" w:cs="Times New Roman"/>
                      <w:color w:val="auto"/>
                      <w:highlight w:val="none"/>
                      <w:u w:val="none" w:color="auto"/>
                    </w:rPr>
                    <w:t>′</w:t>
                  </w:r>
                  <w:r>
                    <w:rPr>
                      <w:rFonts w:hint="eastAsia" w:ascii="Times New Roman" w:hAnsi="Times New Roman" w:eastAsia="宋体" w:cs="Times New Roman"/>
                      <w:color w:val="auto"/>
                      <w:highlight w:val="none"/>
                      <w:u w:val="none" w:color="auto"/>
                      <w:lang w:val="en-US" w:eastAsia="zh-CN"/>
                    </w:rPr>
                    <w:t>4</w:t>
                  </w:r>
                  <w:r>
                    <w:rPr>
                      <w:rFonts w:hint="eastAsia" w:eastAsia="宋体" w:cs="Times New Roman"/>
                      <w:color w:val="auto"/>
                      <w:highlight w:val="none"/>
                      <w:u w:val="none" w:color="auto"/>
                      <w:lang w:val="en-US" w:eastAsia="zh-CN"/>
                    </w:rPr>
                    <w:t>5.469</w:t>
                  </w:r>
                  <w:r>
                    <w:rPr>
                      <w:rFonts w:hint="default" w:ascii="Times New Roman" w:hAnsi="Times New Roman" w:eastAsia="宋体" w:cs="Times New Roman"/>
                      <w:color w:val="auto"/>
                      <w:highlight w:val="none"/>
                      <w:u w:val="none" w:color="auto"/>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yellow"/>
                      <w:u w:val="single" w:color="auto"/>
                      <w:lang w:val="en-US" w:eastAsia="zh-CN"/>
                    </w:rPr>
                  </w:pPr>
                  <w:r>
                    <w:rPr>
                      <w:rFonts w:hint="default" w:ascii="Times New Roman" w:hAnsi="Times New Roman" w:eastAsia="宋体" w:cs="Times New Roman"/>
                      <w:color w:val="auto"/>
                      <w:highlight w:val="none"/>
                      <w:u w:val="none" w:color="auto"/>
                      <w:lang w:val="en-US" w:eastAsia="zh-CN"/>
                    </w:rPr>
                    <w:t>N</w:t>
                  </w:r>
                  <w:r>
                    <w:rPr>
                      <w:rFonts w:hint="default" w:ascii="Times New Roman" w:hAnsi="Times New Roman" w:eastAsia="宋体" w:cs="Times New Roman"/>
                      <w:color w:val="auto"/>
                      <w:highlight w:val="none"/>
                      <w:u w:val="none" w:color="auto"/>
                    </w:rPr>
                    <w:t>28°</w:t>
                  </w:r>
                  <w:r>
                    <w:rPr>
                      <w:rFonts w:hint="eastAsia" w:ascii="Times New Roman" w:hAnsi="Times New Roman" w:eastAsia="宋体" w:cs="Times New Roman"/>
                      <w:color w:val="auto"/>
                      <w:highlight w:val="none"/>
                      <w:u w:val="none" w:color="auto"/>
                      <w:lang w:val="en-US" w:eastAsia="zh-CN"/>
                    </w:rPr>
                    <w:t>3</w:t>
                  </w:r>
                  <w:r>
                    <w:rPr>
                      <w:rFonts w:hint="eastAsia" w:eastAsia="宋体" w:cs="Times New Roman"/>
                      <w:color w:val="auto"/>
                      <w:highlight w:val="none"/>
                      <w:u w:val="none" w:color="auto"/>
                      <w:lang w:val="en-US" w:eastAsia="zh-CN"/>
                    </w:rPr>
                    <w:t>1</w:t>
                  </w:r>
                  <w:r>
                    <w:rPr>
                      <w:rFonts w:hint="default" w:ascii="Times New Roman" w:hAnsi="Times New Roman" w:eastAsia="宋体" w:cs="Times New Roman"/>
                      <w:color w:val="auto"/>
                      <w:highlight w:val="none"/>
                      <w:u w:val="none" w:color="auto"/>
                    </w:rPr>
                    <w:t>′</w:t>
                  </w:r>
                  <w:r>
                    <w:rPr>
                      <w:rFonts w:hint="eastAsia" w:eastAsia="宋体" w:cs="Times New Roman"/>
                      <w:color w:val="auto"/>
                      <w:highlight w:val="none"/>
                      <w:u w:val="none" w:color="auto"/>
                      <w:lang w:val="en-US" w:eastAsia="zh-CN"/>
                    </w:rPr>
                    <w:t>52.113</w:t>
                  </w:r>
                  <w:r>
                    <w:rPr>
                      <w:rFonts w:hint="default" w:ascii="Times New Roman" w:hAnsi="Times New Roman" w:eastAsia="宋体" w:cs="Times New Roman"/>
                      <w:color w:val="auto"/>
                      <w:highlight w:val="none"/>
                      <w:u w:val="none" w:color="auto"/>
                    </w:rPr>
                    <w:t>″</w:t>
                  </w:r>
                </w:p>
              </w:tc>
              <w:tc>
                <w:tcPr>
                  <w:tcW w:w="1666"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Times New Roman"/>
                      <w:color w:val="auto"/>
                      <w:kern w:val="2"/>
                      <w:sz w:val="21"/>
                      <w:szCs w:val="21"/>
                      <w:u w:val="none" w:color="auto"/>
                      <w:lang w:val="en-US" w:eastAsia="zh-CN" w:bidi="ar"/>
                    </w:rPr>
                  </w:pPr>
                </w:p>
              </w:tc>
            </w:tr>
          </w:tbl>
          <w:p>
            <w:pPr>
              <w:pStyle w:val="59"/>
              <w:keepNext w:val="0"/>
              <w:keepLines w:val="0"/>
              <w:pageBreakBefore w:val="0"/>
              <w:kinsoku/>
              <w:wordWrap/>
              <w:overflowPunct/>
              <w:topLinePunct w:val="0"/>
              <w:autoSpaceDE/>
              <w:autoSpaceDN/>
              <w:bidi w:val="0"/>
              <w:snapToGrid/>
              <w:spacing w:line="360" w:lineRule="auto"/>
              <w:ind w:firstLine="482" w:firstLineChars="200"/>
              <w:textAlignment w:val="auto"/>
              <w:rPr>
                <w:rFonts w:hint="eastAsia"/>
                <w:color w:val="auto"/>
                <w:sz w:val="24"/>
                <w:szCs w:val="24"/>
                <w:u w:val="none" w:color="auto"/>
                <w:lang w:val="en-US" w:eastAsia="zh-CN"/>
              </w:rPr>
            </w:pPr>
            <w:r>
              <w:rPr>
                <w:rFonts w:hint="eastAsia"/>
                <w:color w:val="auto"/>
                <w:sz w:val="24"/>
                <w:szCs w:val="24"/>
                <w:u w:val="none" w:color="auto"/>
                <w:lang w:val="en-US" w:eastAsia="zh-CN"/>
              </w:rPr>
              <w:t>4.3.2废水治理措施可行性分析</w:t>
            </w:r>
          </w:p>
          <w:p>
            <w:pPr>
              <w:pStyle w:val="62"/>
              <w:keepNext w:val="0"/>
              <w:keepLines w:val="0"/>
              <w:pageBreakBefore w:val="0"/>
              <w:kinsoku/>
              <w:wordWrap/>
              <w:overflowPunct/>
              <w:topLinePunct w:val="0"/>
              <w:autoSpaceDE/>
              <w:autoSpaceDN/>
              <w:bidi w:val="0"/>
              <w:snapToGrid/>
              <w:spacing w:line="360" w:lineRule="auto"/>
              <w:ind w:firstLine="482" w:firstLineChars="200"/>
              <w:textAlignment w:val="auto"/>
              <w:rPr>
                <w:rFonts w:hint="default" w:ascii="Times New Roman" w:hAnsi="Times New Roman" w:cs="Times New Roman"/>
                <w:b/>
                <w:bCs/>
                <w:color w:val="auto"/>
                <w:sz w:val="24"/>
                <w:szCs w:val="24"/>
                <w:u w:val="none" w:color="auto"/>
              </w:rPr>
            </w:pPr>
            <w:r>
              <w:rPr>
                <w:rFonts w:hint="default" w:ascii="Times New Roman" w:hAnsi="Times New Roman" w:cs="Times New Roman"/>
                <w:b/>
                <w:bCs/>
                <w:color w:val="auto"/>
                <w:sz w:val="24"/>
                <w:szCs w:val="24"/>
                <w:u w:val="none" w:color="auto"/>
              </w:rPr>
              <w:t>（1）厂区自建污水处理站可行性分析</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rPr>
              <w:t>本项目</w:t>
            </w:r>
            <w:r>
              <w:rPr>
                <w:rFonts w:hint="eastAsia" w:ascii="Times New Roman" w:hAnsi="Times New Roman" w:eastAsia="宋体" w:cs="Times New Roman"/>
                <w:color w:val="auto"/>
                <w:sz w:val="24"/>
                <w:szCs w:val="24"/>
                <w:u w:val="none" w:color="auto"/>
                <w:lang w:eastAsia="zh-CN"/>
              </w:rPr>
              <w:t>生产废水主要为</w:t>
            </w:r>
            <w:r>
              <w:rPr>
                <w:rFonts w:hint="eastAsia"/>
                <w:color w:val="auto"/>
                <w:sz w:val="24"/>
                <w:szCs w:val="24"/>
                <w:u w:val="none"/>
                <w:lang w:val="en-US" w:eastAsia="zh-CN"/>
              </w:rPr>
              <w:t>酸洗废水、水洗废水、</w:t>
            </w:r>
            <w:r>
              <w:rPr>
                <w:rFonts w:hint="eastAsia"/>
                <w:color w:val="auto"/>
                <w:sz w:val="24"/>
                <w:szCs w:val="24"/>
                <w:highlight w:val="none"/>
                <w:u w:val="none"/>
                <w:lang w:val="en-US" w:eastAsia="zh-CN"/>
              </w:rPr>
              <w:t>清洗废水、喷淋废水等</w:t>
            </w:r>
            <w:r>
              <w:rPr>
                <w:rFonts w:hint="default" w:ascii="Times New Roman" w:hAnsi="Times New Roman" w:eastAsia="宋体" w:cs="Times New Roman"/>
                <w:color w:val="auto"/>
                <w:sz w:val="24"/>
                <w:szCs w:val="24"/>
                <w:u w:val="none" w:color="auto"/>
              </w:rPr>
              <w:t>，主要污染物为</w:t>
            </w:r>
            <w:r>
              <w:rPr>
                <w:rFonts w:hint="default" w:ascii="Times New Roman" w:hAnsi="Times New Roman" w:eastAsia="宋体" w:cs="Times New Roman"/>
                <w:color w:val="auto"/>
                <w:kern w:val="0"/>
                <w:sz w:val="24"/>
                <w:szCs w:val="24"/>
                <w:u w:val="none" w:color="auto"/>
                <w:lang w:val="en-US" w:eastAsia="zh-CN" w:bidi="ar"/>
              </w:rPr>
              <w:t>pH、SS、COD</w:t>
            </w:r>
            <w:r>
              <w:rPr>
                <w:rFonts w:hint="default" w:ascii="Times New Roman" w:hAnsi="Times New Roman" w:eastAsia="宋体" w:cs="Times New Roman"/>
                <w:color w:val="auto"/>
                <w:kern w:val="0"/>
                <w:sz w:val="24"/>
                <w:szCs w:val="24"/>
                <w:u w:val="none" w:color="auto"/>
                <w:vertAlign w:val="subscript"/>
                <w:lang w:val="en-US" w:eastAsia="zh-CN" w:bidi="ar"/>
              </w:rPr>
              <w:t>cr</w:t>
            </w:r>
            <w:r>
              <w:rPr>
                <w:rFonts w:hint="default" w:ascii="Times New Roman" w:hAnsi="Times New Roman" w:eastAsia="宋体" w:cs="Times New Roman"/>
                <w:color w:val="auto"/>
                <w:kern w:val="0"/>
                <w:sz w:val="24"/>
                <w:szCs w:val="24"/>
                <w:u w:val="none" w:color="auto"/>
                <w:lang w:val="en-US" w:eastAsia="zh-CN" w:bidi="ar"/>
              </w:rPr>
              <w:t>、BOD</w:t>
            </w:r>
            <w:r>
              <w:rPr>
                <w:rFonts w:hint="default" w:ascii="Times New Roman" w:hAnsi="Times New Roman" w:eastAsia="宋体" w:cs="Times New Roman"/>
                <w:color w:val="auto"/>
                <w:kern w:val="0"/>
                <w:sz w:val="24"/>
                <w:szCs w:val="24"/>
                <w:u w:val="none" w:color="auto"/>
                <w:vertAlign w:val="subscript"/>
                <w:lang w:val="en-US" w:eastAsia="zh-CN" w:bidi="ar"/>
              </w:rPr>
              <w:t>5</w:t>
            </w:r>
            <w:r>
              <w:rPr>
                <w:rFonts w:hint="default" w:ascii="Times New Roman" w:hAnsi="Times New Roman" w:eastAsia="宋体" w:cs="Times New Roman"/>
                <w:color w:val="auto"/>
                <w:kern w:val="0"/>
                <w:sz w:val="24"/>
                <w:szCs w:val="24"/>
                <w:u w:val="none" w:color="auto"/>
                <w:lang w:val="en-US" w:eastAsia="zh-CN" w:bidi="ar"/>
              </w:rPr>
              <w:t>、氨氮、总磷、总氮、石油类、总铁</w:t>
            </w:r>
            <w:r>
              <w:rPr>
                <w:rFonts w:hint="default" w:ascii="Times New Roman" w:hAnsi="Times New Roman" w:eastAsia="宋体" w:cs="Times New Roman"/>
                <w:color w:val="auto"/>
                <w:sz w:val="24"/>
                <w:szCs w:val="24"/>
                <w:u w:val="none" w:color="auto"/>
              </w:rPr>
              <w:t>。</w:t>
            </w:r>
            <w:r>
              <w:rPr>
                <w:rFonts w:hint="eastAsia" w:cs="Times New Roman"/>
                <w:color w:val="auto"/>
                <w:sz w:val="24"/>
                <w:szCs w:val="24"/>
                <w:u w:val="none" w:color="auto"/>
                <w:lang w:val="en-US" w:eastAsia="zh-CN"/>
              </w:rPr>
              <w:t>本项目酸洗废水</w:t>
            </w:r>
            <w:r>
              <w:rPr>
                <w:rFonts w:hint="default" w:ascii="Times New Roman" w:hAnsi="Times New Roman" w:eastAsia="宋体" w:cs="Times New Roman"/>
                <w:color w:val="auto"/>
                <w:sz w:val="24"/>
                <w:szCs w:val="24"/>
                <w:u w:val="none" w:color="auto"/>
                <w:lang w:eastAsia="zh-CN"/>
              </w:rPr>
              <w:t>水质与现有工程</w:t>
            </w:r>
            <w:r>
              <w:rPr>
                <w:rFonts w:hint="eastAsia" w:cs="Times New Roman"/>
                <w:color w:val="auto"/>
                <w:sz w:val="24"/>
                <w:szCs w:val="24"/>
                <w:u w:val="none" w:color="auto"/>
                <w:lang w:val="en-US" w:eastAsia="zh-CN"/>
              </w:rPr>
              <w:t>表面处理废水</w:t>
            </w:r>
            <w:r>
              <w:rPr>
                <w:rFonts w:hint="default" w:ascii="Times New Roman" w:hAnsi="Times New Roman" w:eastAsia="宋体" w:cs="Times New Roman"/>
                <w:color w:val="auto"/>
                <w:sz w:val="24"/>
                <w:szCs w:val="24"/>
                <w:u w:val="none" w:color="auto"/>
                <w:lang w:eastAsia="zh-CN"/>
              </w:rPr>
              <w:t>类似，水质相近</w:t>
            </w: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本次改扩建项目废水</w:t>
            </w:r>
            <w:r>
              <w:rPr>
                <w:rFonts w:hint="eastAsia" w:cs="Times New Roman"/>
                <w:color w:val="auto"/>
                <w:sz w:val="24"/>
                <w:szCs w:val="24"/>
                <w:u w:val="none" w:color="auto"/>
                <w:lang w:eastAsia="zh-CN"/>
              </w:rPr>
              <w:t>中各污染</w:t>
            </w:r>
            <w:r>
              <w:rPr>
                <w:rFonts w:hint="eastAsia" w:cs="Times New Roman"/>
                <w:color w:val="auto"/>
                <w:sz w:val="24"/>
                <w:szCs w:val="24"/>
                <w:u w:val="none" w:color="auto"/>
                <w:lang w:val="en-US" w:eastAsia="zh-CN"/>
              </w:rPr>
              <w:t>物</w:t>
            </w:r>
            <w:r>
              <w:rPr>
                <w:rFonts w:hint="eastAsia" w:cs="Times New Roman"/>
                <w:color w:val="auto"/>
                <w:sz w:val="24"/>
                <w:szCs w:val="24"/>
                <w:u w:val="none" w:color="auto"/>
                <w:lang w:eastAsia="zh-CN"/>
              </w:rPr>
              <w:t>浓度均小于</w:t>
            </w:r>
            <w:r>
              <w:rPr>
                <w:rFonts w:hint="eastAsia" w:cs="Times New Roman"/>
                <w:color w:val="auto"/>
                <w:sz w:val="24"/>
                <w:szCs w:val="24"/>
                <w:u w:val="none" w:color="auto"/>
                <w:lang w:val="en-US" w:eastAsia="zh-CN"/>
              </w:rPr>
              <w:t>现有废水污染物浓度</w:t>
            </w:r>
            <w:r>
              <w:rPr>
                <w:rFonts w:hint="eastAsia" w:cs="Times New Roman"/>
                <w:color w:val="auto"/>
                <w:sz w:val="24"/>
                <w:szCs w:val="24"/>
                <w:u w:val="none" w:color="auto"/>
                <w:lang w:eastAsia="zh-CN"/>
              </w:rPr>
              <w:t>，不会对</w:t>
            </w:r>
            <w:r>
              <w:rPr>
                <w:rFonts w:hint="eastAsia" w:cs="Times New Roman"/>
                <w:color w:val="auto"/>
                <w:sz w:val="24"/>
                <w:szCs w:val="24"/>
                <w:u w:val="none" w:color="auto"/>
                <w:lang w:val="en-US" w:eastAsia="zh-CN"/>
              </w:rPr>
              <w:t>现有</w:t>
            </w:r>
            <w:r>
              <w:rPr>
                <w:rFonts w:hint="eastAsia" w:cs="Times New Roman"/>
                <w:color w:val="auto"/>
                <w:sz w:val="24"/>
                <w:szCs w:val="24"/>
                <w:u w:val="none" w:color="auto"/>
                <w:lang w:eastAsia="zh-CN"/>
              </w:rPr>
              <w:t>污水处理设施造成冲击，且污水处理设施</w:t>
            </w:r>
            <w:r>
              <w:rPr>
                <w:rFonts w:hint="eastAsia" w:cs="Times New Roman"/>
                <w:color w:val="auto"/>
                <w:sz w:val="24"/>
                <w:szCs w:val="24"/>
                <w:u w:val="none" w:color="auto"/>
                <w:lang w:val="en-US" w:eastAsia="zh-CN"/>
              </w:rPr>
              <w:t>剩余约135t/d处理量接纳本次改扩建废水，因此本项目依托现有污水处理设施可行。</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本次改扩建项目依托</w:t>
            </w:r>
            <w:r>
              <w:rPr>
                <w:rFonts w:hint="default" w:ascii="Times New Roman" w:hAnsi="Times New Roman" w:eastAsia="宋体" w:cs="Times New Roman"/>
                <w:color w:val="auto"/>
                <w:sz w:val="24"/>
                <w:szCs w:val="24"/>
                <w:u w:val="none" w:color="auto"/>
                <w:lang w:val="en-US" w:eastAsia="zh-CN"/>
              </w:rPr>
              <w:t>已建设</w:t>
            </w:r>
            <w:r>
              <w:rPr>
                <w:rFonts w:hint="eastAsia"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座污水处理站，设计处理能力为</w:t>
            </w:r>
            <w:r>
              <w:rPr>
                <w:rFonts w:hint="eastAsia"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00</w:t>
            </w:r>
            <w:r>
              <w:rPr>
                <w:rFonts w:hint="eastAsia" w:cs="Times New Roman"/>
                <w:color w:val="auto"/>
                <w:sz w:val="24"/>
                <w:szCs w:val="24"/>
                <w:u w:val="none" w:color="auto"/>
                <w:lang w:val="en-US" w:eastAsia="zh-CN"/>
              </w:rPr>
              <w:t>t</w:t>
            </w:r>
            <w:r>
              <w:rPr>
                <w:rFonts w:hint="default" w:ascii="Times New Roman" w:hAnsi="Times New Roman" w:eastAsia="宋体" w:cs="Times New Roman"/>
                <w:color w:val="auto"/>
                <w:sz w:val="24"/>
                <w:szCs w:val="24"/>
                <w:u w:val="none" w:color="auto"/>
              </w:rPr>
              <w:t>/d，废水处理系统采用“中和+混凝+沉淀+砂滤”处理，处理工艺如下图。</w:t>
            </w:r>
          </w:p>
          <w:p>
            <w:pPr>
              <w:keepNext w:val="0"/>
              <w:keepLines w:val="0"/>
              <w:pageBreakBefore w:val="0"/>
              <w:kinsoku/>
              <w:wordWrap/>
              <w:overflowPunct/>
              <w:topLinePunct w:val="0"/>
              <w:autoSpaceDE/>
              <w:autoSpaceDN/>
              <w:bidi w:val="0"/>
              <w:adjustRightInd w:val="0"/>
              <w:snapToGrid/>
              <w:spacing w:line="240" w:lineRule="auto"/>
              <w:jc w:val="center"/>
              <w:textAlignment w:val="auto"/>
              <w:rPr>
                <w:rFonts w:hint="default"/>
                <w:color w:val="auto"/>
                <w:highlight w:val="none"/>
                <w:u w:val="none"/>
                <w:lang w:val="en-US" w:eastAsia="zh-CN"/>
              </w:rPr>
            </w:pPr>
            <w:r>
              <w:rPr>
                <w:rFonts w:hint="default"/>
                <w:color w:val="auto"/>
                <w:highlight w:val="none"/>
                <w:u w:val="none"/>
                <w:lang w:val="en-US" w:eastAsia="zh-CN"/>
              </w:rPr>
              <w:object>
                <v:shape id="_x0000_i1032" o:spt="75" type="#_x0000_t75" style="height:334.45pt;width:328.4pt;" o:ole="t" filled="f" o:preferrelative="t" stroked="f" coordsize="21600,21600">
                  <v:path/>
                  <v:fill on="f" focussize="0,0"/>
                  <v:stroke on="f"/>
                  <v:imagedata r:id="rId29" cropleft="2539f" croptop="2957f" cropright="2825f" cropbottom="3112f" o:title=""/>
                  <o:lock v:ext="edit" aspectratio="f"/>
                  <w10:wrap type="none"/>
                  <w10:anchorlock/>
                </v:shape>
                <o:OLEObject Type="Embed" ProgID="Visio.Drawing.15" ShapeID="_x0000_i1032" DrawAspect="Content" ObjectID="_1468075732" r:id="rId28">
                  <o:LockedField>false</o:LockedField>
                </o:OLEObject>
              </w:object>
            </w:r>
          </w:p>
          <w:p>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eastAsia="宋体"/>
                <w:b/>
                <w:bCs/>
                <w:color w:val="auto"/>
                <w:sz w:val="24"/>
                <w:szCs w:val="24"/>
                <w:lang w:val="en-US" w:eastAsia="zh-CN"/>
              </w:rPr>
            </w:pPr>
            <w:r>
              <w:rPr>
                <w:rFonts w:hint="eastAsia"/>
                <w:b/>
                <w:bCs/>
                <w:color w:val="auto"/>
                <w:sz w:val="24"/>
                <w:szCs w:val="24"/>
                <w:lang w:eastAsia="zh-CN"/>
              </w:rPr>
              <w:t>图</w:t>
            </w:r>
            <w:r>
              <w:rPr>
                <w:rFonts w:hint="eastAsia"/>
                <w:b/>
                <w:bCs/>
                <w:color w:val="auto"/>
                <w:sz w:val="24"/>
                <w:szCs w:val="24"/>
                <w:lang w:val="en-US" w:eastAsia="zh-CN"/>
              </w:rPr>
              <w:t>4.3-1</w:t>
            </w:r>
            <w:r>
              <w:rPr>
                <w:rFonts w:hint="eastAsia" w:cs="Times New Roman"/>
                <w:b/>
                <w:bCs/>
                <w:color w:val="auto"/>
                <w:sz w:val="24"/>
                <w:szCs w:val="24"/>
                <w:u w:val="none" w:color="auto"/>
                <w:lang w:eastAsia="zh-CN"/>
              </w:rPr>
              <w:t>现有</w:t>
            </w:r>
            <w:r>
              <w:rPr>
                <w:rFonts w:hint="default" w:ascii="Times New Roman" w:hAnsi="Times New Roman" w:cs="Times New Roman"/>
                <w:b/>
                <w:bCs/>
                <w:color w:val="auto"/>
                <w:sz w:val="24"/>
                <w:szCs w:val="24"/>
                <w:u w:val="none" w:color="auto"/>
              </w:rPr>
              <w:t>污水处理</w:t>
            </w:r>
            <w:r>
              <w:rPr>
                <w:rFonts w:hint="eastAsia" w:cs="Times New Roman"/>
                <w:b/>
                <w:bCs/>
                <w:color w:val="auto"/>
                <w:sz w:val="24"/>
                <w:szCs w:val="24"/>
                <w:u w:val="none" w:color="auto"/>
                <w:lang w:eastAsia="zh-CN"/>
              </w:rPr>
              <w:t>设施</w:t>
            </w:r>
            <w:r>
              <w:rPr>
                <w:rFonts w:hint="eastAsia" w:ascii="Times New Roman" w:hAnsi="Times New Roman" w:cs="Times New Roman"/>
                <w:b/>
                <w:bCs/>
                <w:color w:val="auto"/>
                <w:sz w:val="24"/>
                <w:szCs w:val="24"/>
                <w:u w:val="none" w:color="auto"/>
                <w:lang w:eastAsia="zh-CN"/>
              </w:rPr>
              <w:t>处理工艺</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eastAsia" w:cs="Times New Roman"/>
                <w:color w:val="auto"/>
                <w:sz w:val="24"/>
                <w:szCs w:val="24"/>
                <w:u w:val="none" w:color="auto"/>
                <w:lang w:eastAsia="zh-CN"/>
              </w:rPr>
            </w:pPr>
            <w:r>
              <w:rPr>
                <w:rFonts w:hint="eastAsia" w:cs="Times New Roman"/>
                <w:color w:val="auto"/>
                <w:sz w:val="24"/>
                <w:szCs w:val="24"/>
                <w:u w:val="none" w:color="auto"/>
                <w:lang w:eastAsia="zh-CN"/>
              </w:rPr>
              <w:t>工艺说明：生产废水中碱性废水和酸性废水水首先入调节池，调节池用于废水水质和水量的匀和，并使酸性和碱性废水混合进行前期中和，减少后续pH调节时所需碱投加量，也便于后续处理设施的稳定高效运行。调节池内废水由泵提升至中和池，中和池内投加NaOH，调整废水pH值至9~9.5范围，中和池内设置pH探头，通过pH自控装置实时调节碱投加量，避免投加量过大或不足。中和池内布置有搅拌装置，通过对废水的搅拌，可以加速中和反应的进行。</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eastAsia" w:cs="Times New Roman"/>
                <w:color w:val="auto"/>
                <w:sz w:val="24"/>
                <w:szCs w:val="24"/>
                <w:u w:val="none" w:color="auto"/>
                <w:lang w:eastAsia="zh-CN"/>
              </w:rPr>
            </w:pPr>
            <w:r>
              <w:rPr>
                <w:rFonts w:hint="eastAsia" w:cs="Times New Roman"/>
                <w:color w:val="auto"/>
                <w:sz w:val="24"/>
                <w:szCs w:val="24"/>
                <w:u w:val="none" w:color="auto"/>
                <w:lang w:eastAsia="zh-CN"/>
              </w:rPr>
              <w:t>中和池出水自流入混凝反应池，混凝反应池内投加混凝剂聚合氯化铝（PAC）、助凝剂聚丙烯酰胺（PAM）。通过混凝剂的水解和聚缩反应形成的高聚物的强烈吸附架桥作用，使废水中的悬浮胶粒被吸附粘结。而高分子有机助凝剂PAM则具有较强的吸附架桥作用及网捕作用，与废水充分混合后，其高分子链能迅速形成“胶体一高分子一胶体"的絮凝体，在水中形成表面能及吸附能力强的网状结构。这些网状物在自身沉淀的过程中能够网捕水中的胶体、磷酸钙和金属氢氧化物的微小颗粒、甚至有机物，形成较大的絮凝物去除。混凝反应池出水自流入斜管沉淀池，斜管沉淀池用于对混凝反应出水进行固液分离。池内布置有斜板，用于强化固液分离效果。生产废水经预处理后绝大部分的油、胶体、磷酸钙和金属氢氧化物悬浮物得到去除，可生化性得到明显提高。</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eastAsia="zh-CN"/>
              </w:rPr>
              <w:t>除锈废水和化学置换工段产生的镀铜废水经收集池收集后，进入中和混凝器处理投加混凝剂聚合氯化铝(PAC)、助凝剂聚丙烯酰胺(PAM)，作用原理同混凝反应池原理一致，经污泥脱水设备除去绝大部分的油、胶体、磷酸钙和金属氨氧化物悬浮物，中和混凝器上清液再进工艺系统的调节池处理。</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斜管沉淀池出水经管道输送至</w:t>
            </w:r>
            <w:r>
              <w:rPr>
                <w:rFonts w:hint="eastAsia" w:cs="Times New Roman"/>
                <w:color w:val="auto"/>
                <w:sz w:val="24"/>
                <w:szCs w:val="24"/>
                <w:u w:val="none" w:color="auto"/>
                <w:lang w:eastAsia="zh-CN"/>
              </w:rPr>
              <w:t>清水池，通过砂滤池过滤后排湘阴县第三污水处理厂。</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hAnsi="宋体"/>
                <w:bCs/>
                <w:color w:val="auto"/>
                <w:sz w:val="24"/>
                <w:szCs w:val="24"/>
                <w:u w:val="none"/>
                <w:lang w:eastAsia="zh-CN"/>
              </w:rPr>
              <w:t>同时现有污水处理设施运行多年</w:t>
            </w:r>
            <w:r>
              <w:rPr>
                <w:rFonts w:hAnsi="宋体"/>
                <w:bCs/>
                <w:color w:val="auto"/>
                <w:sz w:val="24"/>
                <w:szCs w:val="24"/>
                <w:u w:val="none"/>
              </w:rPr>
              <w:t>，</w:t>
            </w:r>
            <w:r>
              <w:rPr>
                <w:rFonts w:hint="eastAsia" w:hAnsi="宋体"/>
                <w:bCs/>
                <w:color w:val="auto"/>
                <w:sz w:val="24"/>
                <w:szCs w:val="24"/>
                <w:u w:val="none"/>
                <w:lang w:eastAsia="zh-CN"/>
              </w:rPr>
              <w:t>去除效率可达</w:t>
            </w:r>
            <w:r>
              <w:rPr>
                <w:rFonts w:hint="eastAsia" w:hAnsi="宋体"/>
                <w:bCs/>
                <w:color w:val="auto"/>
                <w:sz w:val="24"/>
                <w:szCs w:val="24"/>
                <w:u w:val="none"/>
                <w:lang w:val="en-US" w:eastAsia="zh-CN"/>
              </w:rPr>
              <w:t>70%以上，</w:t>
            </w:r>
            <w:r>
              <w:rPr>
                <w:rFonts w:hint="eastAsia" w:hAnsi="宋体"/>
                <w:bCs/>
                <w:color w:val="auto"/>
                <w:sz w:val="24"/>
                <w:szCs w:val="24"/>
                <w:u w:val="none"/>
                <w:lang w:eastAsia="zh-CN"/>
              </w:rPr>
              <w:t>根据废水自行监测报告可知，</w:t>
            </w:r>
            <w:r>
              <w:rPr>
                <w:rFonts w:hint="default" w:ascii="Times New Roman" w:hAnsi="Times New Roman" w:eastAsia="宋体" w:cs="Times New Roman"/>
                <w:color w:val="auto"/>
                <w:sz w:val="24"/>
                <w:szCs w:val="24"/>
                <w:u w:val="none" w:color="auto"/>
              </w:rPr>
              <w:t>废水经过</w:t>
            </w:r>
            <w:r>
              <w:rPr>
                <w:rFonts w:hint="eastAsia" w:cs="Times New Roman"/>
                <w:color w:val="auto"/>
                <w:sz w:val="24"/>
                <w:szCs w:val="24"/>
                <w:u w:val="none" w:color="auto"/>
                <w:lang w:eastAsia="zh-CN"/>
              </w:rPr>
              <w:t>现有</w:t>
            </w:r>
            <w:r>
              <w:rPr>
                <w:rFonts w:hint="default" w:ascii="Times New Roman" w:hAnsi="Times New Roman" w:eastAsia="宋体" w:cs="Times New Roman"/>
                <w:color w:val="auto"/>
                <w:sz w:val="24"/>
                <w:szCs w:val="24"/>
                <w:u w:val="none" w:color="auto"/>
              </w:rPr>
              <w:t>污水处理站处理</w:t>
            </w:r>
            <w:r>
              <w:rPr>
                <w:rFonts w:hint="eastAsia" w:cs="Times New Roman"/>
                <w:color w:val="auto"/>
                <w:sz w:val="24"/>
                <w:szCs w:val="24"/>
                <w:u w:val="none" w:color="auto"/>
                <w:lang w:eastAsia="zh-CN"/>
              </w:rPr>
              <w:t>可</w:t>
            </w:r>
            <w:r>
              <w:rPr>
                <w:rFonts w:hint="default" w:ascii="Times New Roman" w:hAnsi="Times New Roman" w:eastAsia="宋体" w:cs="Times New Roman"/>
                <w:color w:val="auto"/>
                <w:sz w:val="24"/>
                <w:szCs w:val="24"/>
                <w:u w:val="none" w:color="auto"/>
              </w:rPr>
              <w:t>达</w:t>
            </w:r>
            <w:r>
              <w:rPr>
                <w:rFonts w:hint="eastAsia" w:cs="Times New Roman"/>
                <w:color w:val="auto"/>
                <w:sz w:val="24"/>
                <w:szCs w:val="24"/>
                <w:u w:val="none" w:color="auto"/>
                <w:lang w:eastAsia="zh-CN"/>
              </w:rPr>
              <w:t>《污水综合排放标准》（GB8978-1996）中三级标准</w:t>
            </w:r>
            <w:r>
              <w:rPr>
                <w:rFonts w:hint="default" w:ascii="Times New Roman" w:hAnsi="Times New Roman" w:eastAsia="宋体" w:cs="Times New Roman"/>
                <w:color w:val="auto"/>
                <w:sz w:val="24"/>
                <w:szCs w:val="24"/>
                <w:u w:val="none" w:color="auto"/>
              </w:rPr>
              <w:t>和湘阴县第三污水处理厂进水水质要求的较严值</w:t>
            </w:r>
            <w:r>
              <w:rPr>
                <w:rFonts w:hint="eastAsia" w:cs="Times New Roman"/>
                <w:color w:val="auto"/>
                <w:sz w:val="24"/>
                <w:szCs w:val="24"/>
                <w:u w:val="none" w:color="auto"/>
                <w:lang w:val="en-US" w:eastAsia="zh-CN"/>
              </w:rPr>
              <w:t>标准要求</w:t>
            </w:r>
            <w:r>
              <w:rPr>
                <w:rFonts w:hint="default" w:ascii="Times New Roman" w:hAnsi="Times New Roman" w:eastAsia="宋体" w:cs="Times New Roman"/>
                <w:color w:val="auto"/>
                <w:sz w:val="24"/>
                <w:szCs w:val="24"/>
                <w:u w:val="none" w:color="auto"/>
              </w:rPr>
              <w:t>，可满足进入湘阴县第三污水处理厂纳管水质要求</w:t>
            </w:r>
            <w:r>
              <w:rPr>
                <w:rFonts w:hint="eastAsia" w:cs="Times New Roman"/>
                <w:color w:val="auto"/>
                <w:sz w:val="24"/>
                <w:szCs w:val="24"/>
                <w:u w:val="none" w:color="auto"/>
                <w:lang w:eastAsia="zh-CN"/>
              </w:rPr>
              <w:t>，</w:t>
            </w:r>
            <w:r>
              <w:rPr>
                <w:rFonts w:hAnsi="宋体"/>
                <w:bCs/>
                <w:color w:val="auto"/>
                <w:sz w:val="24"/>
                <w:szCs w:val="24"/>
                <w:u w:val="none"/>
              </w:rPr>
              <w:t>废水可达标排放。</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lang w:val="en-US" w:eastAsia="zh-CN"/>
              </w:rPr>
              <w:t>根据调查现有工程</w:t>
            </w:r>
            <w:r>
              <w:rPr>
                <w:rFonts w:hint="eastAsia" w:cs="Times New Roman"/>
                <w:color w:val="auto"/>
                <w:sz w:val="24"/>
                <w:szCs w:val="24"/>
                <w:highlight w:val="none"/>
                <w:u w:val="single" w:color="auto"/>
                <w:lang w:val="en-US" w:eastAsia="zh-CN"/>
              </w:rPr>
              <w:t>处理量</w:t>
            </w:r>
            <w:r>
              <w:rPr>
                <w:rFonts w:hint="default" w:ascii="Times New Roman" w:hAnsi="Times New Roman" w:eastAsia="宋体" w:cs="Times New Roman"/>
                <w:color w:val="auto"/>
                <w:sz w:val="24"/>
                <w:szCs w:val="24"/>
                <w:highlight w:val="none"/>
                <w:u w:val="single" w:color="auto"/>
                <w:lang w:val="en-US" w:eastAsia="zh-CN"/>
              </w:rPr>
              <w:t>约为</w:t>
            </w:r>
            <w:r>
              <w:rPr>
                <w:rFonts w:hint="eastAsia" w:cs="Times New Roman"/>
                <w:color w:val="auto"/>
                <w:sz w:val="24"/>
                <w:szCs w:val="24"/>
                <w:highlight w:val="none"/>
                <w:u w:val="single" w:color="auto"/>
                <w:lang w:val="en-US" w:eastAsia="zh-CN"/>
              </w:rPr>
              <w:t>64.15t</w:t>
            </w:r>
            <w:r>
              <w:rPr>
                <w:rFonts w:hint="default" w:ascii="Times New Roman" w:hAnsi="Times New Roman" w:eastAsia="宋体" w:cs="Times New Roman"/>
                <w:color w:val="auto"/>
                <w:sz w:val="24"/>
                <w:szCs w:val="24"/>
                <w:highlight w:val="none"/>
                <w:u w:val="single" w:color="auto"/>
                <w:lang w:val="en-US" w:eastAsia="zh-CN"/>
              </w:rPr>
              <w:t>/d</w:t>
            </w:r>
            <w:r>
              <w:rPr>
                <w:rFonts w:hint="eastAsia" w:cs="Times New Roman"/>
                <w:color w:val="auto"/>
                <w:sz w:val="24"/>
                <w:szCs w:val="24"/>
                <w:highlight w:val="none"/>
                <w:u w:val="single" w:color="auto"/>
                <w:lang w:val="en-US" w:eastAsia="zh-CN"/>
              </w:rPr>
              <w:t>（21170t/a）</w:t>
            </w:r>
            <w:r>
              <w:rPr>
                <w:rFonts w:hint="default" w:ascii="Times New Roman" w:hAnsi="Times New Roman" w:eastAsia="宋体" w:cs="Times New Roman"/>
                <w:color w:val="auto"/>
                <w:sz w:val="24"/>
                <w:szCs w:val="24"/>
                <w:highlight w:val="none"/>
                <w:u w:val="single" w:color="auto"/>
                <w:lang w:val="en-US" w:eastAsia="zh-CN"/>
              </w:rPr>
              <w:t>，</w:t>
            </w:r>
            <w:r>
              <w:rPr>
                <w:rFonts w:hint="eastAsia" w:cs="Times New Roman"/>
                <w:color w:val="auto"/>
                <w:sz w:val="24"/>
                <w:szCs w:val="24"/>
                <w:highlight w:val="none"/>
                <w:u w:val="single" w:color="auto"/>
                <w:lang w:val="en-US" w:eastAsia="zh-CN"/>
              </w:rPr>
              <w:t>根据不锈钢焊丝生产线改扩建前酸电解槽及水洗槽等槽体容积及换水频率计算可知，改扩建前废水处理量为1.63</w:t>
            </w:r>
            <w:r>
              <w:rPr>
                <w:rFonts w:hint="eastAsia" w:ascii="Times New Roman" w:hAnsi="Times New Roman" w:eastAsia="宋体" w:cs="Times New Roman"/>
                <w:color w:val="auto"/>
                <w:sz w:val="24"/>
                <w:szCs w:val="24"/>
                <w:highlight w:val="none"/>
                <w:u w:val="single" w:color="auto"/>
                <w:lang w:val="en-US" w:eastAsia="zh-CN"/>
              </w:rPr>
              <w:t>t</w:t>
            </w:r>
            <w:r>
              <w:rPr>
                <w:rFonts w:hint="default" w:ascii="Times New Roman" w:hAnsi="Times New Roman" w:eastAsia="宋体" w:cs="Times New Roman"/>
                <w:color w:val="auto"/>
                <w:sz w:val="24"/>
                <w:szCs w:val="24"/>
                <w:highlight w:val="none"/>
                <w:u w:val="single" w:color="auto"/>
              </w:rPr>
              <w:t>/d</w:t>
            </w:r>
            <w:r>
              <w:rPr>
                <w:rFonts w:hint="eastAsia" w:ascii="Times New Roman" w:hAnsi="Times New Roman" w:eastAsia="宋体" w:cs="Times New Roman"/>
                <w:color w:val="auto"/>
                <w:sz w:val="24"/>
                <w:szCs w:val="24"/>
                <w:highlight w:val="none"/>
                <w:u w:val="single" w:color="auto"/>
                <w:lang w:eastAsia="zh-CN"/>
              </w:rPr>
              <w:t>（</w:t>
            </w:r>
            <w:r>
              <w:rPr>
                <w:rFonts w:hint="eastAsia" w:cs="Times New Roman"/>
                <w:color w:val="auto"/>
                <w:sz w:val="24"/>
                <w:szCs w:val="24"/>
                <w:highlight w:val="none"/>
                <w:u w:val="single" w:color="auto"/>
                <w:lang w:val="en-US" w:eastAsia="zh-CN"/>
              </w:rPr>
              <w:t>539.2t/a</w:t>
            </w:r>
            <w:r>
              <w:rPr>
                <w:rFonts w:hint="eastAsia"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本</w:t>
            </w:r>
            <w:r>
              <w:rPr>
                <w:rFonts w:hint="eastAsia" w:cs="Times New Roman"/>
                <w:color w:val="auto"/>
                <w:sz w:val="24"/>
                <w:szCs w:val="24"/>
                <w:highlight w:val="none"/>
                <w:u w:val="single" w:color="auto"/>
                <w:lang w:eastAsia="zh-CN"/>
              </w:rPr>
              <w:t>次改扩建</w:t>
            </w:r>
            <w:r>
              <w:rPr>
                <w:rFonts w:hint="eastAsia" w:cs="Times New Roman"/>
                <w:color w:val="auto"/>
                <w:sz w:val="24"/>
                <w:szCs w:val="24"/>
                <w:highlight w:val="none"/>
                <w:u w:val="single" w:color="auto"/>
                <w:lang w:val="en-US" w:eastAsia="zh-CN"/>
              </w:rPr>
              <w:t>废水处理量13.21t</w:t>
            </w:r>
            <w:r>
              <w:rPr>
                <w:rFonts w:hint="default" w:ascii="Times New Roman" w:hAnsi="Times New Roman" w:eastAsia="宋体" w:cs="Times New Roman"/>
                <w:color w:val="auto"/>
                <w:sz w:val="24"/>
                <w:szCs w:val="24"/>
                <w:highlight w:val="none"/>
                <w:u w:val="single" w:color="auto"/>
              </w:rPr>
              <w:t>/d</w:t>
            </w:r>
            <w:r>
              <w:rPr>
                <w:rFonts w:hint="eastAsia" w:cs="Times New Roman"/>
                <w:color w:val="auto"/>
                <w:sz w:val="24"/>
                <w:szCs w:val="24"/>
                <w:highlight w:val="none"/>
                <w:u w:val="single" w:color="auto"/>
                <w:lang w:eastAsia="zh-CN"/>
              </w:rPr>
              <w:t>（</w:t>
            </w:r>
            <w:r>
              <w:rPr>
                <w:rFonts w:hint="eastAsia"/>
                <w:color w:val="auto"/>
                <w:sz w:val="24"/>
                <w:szCs w:val="24"/>
                <w:highlight w:val="none"/>
                <w:u w:val="single" w:color="auto"/>
                <w:lang w:val="en-US" w:eastAsia="zh-CN"/>
              </w:rPr>
              <w:t>4360.6t/a</w:t>
            </w:r>
            <w:r>
              <w:rPr>
                <w:rFonts w:hint="eastAsia"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w:t>
            </w:r>
            <w:r>
              <w:rPr>
                <w:rFonts w:hint="eastAsia" w:cs="Times New Roman"/>
                <w:color w:val="auto"/>
                <w:sz w:val="24"/>
                <w:szCs w:val="24"/>
                <w:highlight w:val="none"/>
                <w:u w:val="single" w:color="auto"/>
                <w:lang w:val="en-US" w:eastAsia="zh-CN"/>
              </w:rPr>
              <w:t>改扩建</w:t>
            </w:r>
            <w:r>
              <w:rPr>
                <w:rFonts w:hint="default" w:ascii="Times New Roman" w:hAnsi="Times New Roman" w:eastAsia="宋体" w:cs="Times New Roman"/>
                <w:color w:val="auto"/>
                <w:sz w:val="24"/>
                <w:szCs w:val="24"/>
                <w:highlight w:val="none"/>
                <w:u w:val="single" w:color="auto"/>
                <w:lang w:val="en-US" w:eastAsia="zh-CN"/>
              </w:rPr>
              <w:t>后</w:t>
            </w:r>
            <w:r>
              <w:rPr>
                <w:rFonts w:hint="eastAsia" w:cs="Times New Roman"/>
                <w:color w:val="auto"/>
                <w:sz w:val="24"/>
                <w:szCs w:val="24"/>
                <w:highlight w:val="none"/>
                <w:u w:val="single" w:color="auto"/>
                <w:lang w:val="en-US" w:eastAsia="zh-CN"/>
              </w:rPr>
              <w:t>全厂</w:t>
            </w:r>
            <w:r>
              <w:rPr>
                <w:rFonts w:hint="default" w:ascii="Times New Roman" w:hAnsi="Times New Roman" w:eastAsia="宋体" w:cs="Times New Roman"/>
                <w:color w:val="auto"/>
                <w:sz w:val="24"/>
                <w:szCs w:val="24"/>
                <w:highlight w:val="none"/>
                <w:u w:val="single" w:color="auto"/>
                <w:lang w:val="en-US" w:eastAsia="zh-CN"/>
              </w:rPr>
              <w:t>总</w:t>
            </w:r>
            <w:r>
              <w:rPr>
                <w:rFonts w:hint="eastAsia" w:cs="Times New Roman"/>
                <w:color w:val="auto"/>
                <w:sz w:val="24"/>
                <w:szCs w:val="24"/>
                <w:highlight w:val="none"/>
                <w:u w:val="single" w:color="auto"/>
                <w:lang w:val="en-US" w:eastAsia="zh-CN"/>
              </w:rPr>
              <w:t>处理量</w:t>
            </w:r>
            <w:r>
              <w:rPr>
                <w:rFonts w:hint="default" w:ascii="Times New Roman" w:hAnsi="Times New Roman" w:eastAsia="宋体" w:cs="Times New Roman"/>
                <w:color w:val="auto"/>
                <w:sz w:val="24"/>
                <w:szCs w:val="24"/>
                <w:highlight w:val="none"/>
                <w:u w:val="single" w:color="auto"/>
                <w:lang w:val="en-US" w:eastAsia="zh-CN"/>
              </w:rPr>
              <w:t>约为</w:t>
            </w:r>
            <w:r>
              <w:rPr>
                <w:rFonts w:hint="eastAsia" w:cs="Times New Roman"/>
                <w:color w:val="auto"/>
                <w:sz w:val="24"/>
                <w:szCs w:val="24"/>
                <w:highlight w:val="none"/>
                <w:u w:val="single" w:color="auto"/>
                <w:lang w:val="en-US" w:eastAsia="zh-CN"/>
              </w:rPr>
              <w:t>75.73t</w:t>
            </w:r>
            <w:r>
              <w:rPr>
                <w:rFonts w:hint="default" w:ascii="Times New Roman" w:hAnsi="Times New Roman" w:eastAsia="宋体" w:cs="Times New Roman"/>
                <w:color w:val="auto"/>
                <w:sz w:val="24"/>
                <w:szCs w:val="24"/>
                <w:highlight w:val="none"/>
                <w:u w:val="single" w:color="auto"/>
              </w:rPr>
              <w:t>/d</w:t>
            </w:r>
            <w:r>
              <w:rPr>
                <w:rFonts w:hint="default" w:ascii="Times New Roman" w:hAnsi="Times New Roman" w:eastAsia="宋体" w:cs="Times New Roman"/>
                <w:color w:val="auto"/>
                <w:sz w:val="24"/>
                <w:szCs w:val="24"/>
                <w:highlight w:val="none"/>
                <w:u w:val="single" w:color="auto"/>
                <w:lang w:val="en-US" w:eastAsia="zh-CN"/>
              </w:rPr>
              <w:t>，因此现有</w:t>
            </w:r>
            <w:r>
              <w:rPr>
                <w:rFonts w:hint="default" w:ascii="Times New Roman" w:hAnsi="Times New Roman" w:eastAsia="宋体" w:cs="Times New Roman"/>
                <w:color w:val="auto"/>
                <w:sz w:val="24"/>
                <w:szCs w:val="24"/>
                <w:highlight w:val="none"/>
                <w:u w:val="single" w:color="auto"/>
              </w:rPr>
              <w:t>生产废水处理</w:t>
            </w:r>
            <w:r>
              <w:rPr>
                <w:rFonts w:hint="default" w:ascii="Times New Roman" w:hAnsi="Times New Roman" w:eastAsia="宋体" w:cs="Times New Roman"/>
                <w:color w:val="auto"/>
                <w:sz w:val="24"/>
                <w:szCs w:val="24"/>
                <w:highlight w:val="none"/>
                <w:u w:val="single" w:color="auto"/>
                <w:lang w:val="en-US" w:eastAsia="zh-CN"/>
              </w:rPr>
              <w:t>站</w:t>
            </w:r>
            <w:r>
              <w:rPr>
                <w:rFonts w:hint="default" w:ascii="Times New Roman" w:hAnsi="Times New Roman" w:eastAsia="宋体" w:cs="Times New Roman"/>
                <w:color w:val="auto"/>
                <w:sz w:val="24"/>
                <w:szCs w:val="24"/>
                <w:highlight w:val="none"/>
                <w:u w:val="single" w:color="auto"/>
              </w:rPr>
              <w:t>的处理能力</w:t>
            </w:r>
            <w:r>
              <w:rPr>
                <w:rFonts w:hint="eastAsia" w:cs="Times New Roman"/>
                <w:color w:val="auto"/>
                <w:sz w:val="24"/>
                <w:szCs w:val="24"/>
                <w:highlight w:val="none"/>
                <w:u w:val="single" w:color="auto"/>
                <w:lang w:val="en-US" w:eastAsia="zh-CN"/>
              </w:rPr>
              <w:t>200t/d</w:t>
            </w:r>
            <w:r>
              <w:rPr>
                <w:rFonts w:hint="default" w:ascii="Times New Roman" w:hAnsi="Times New Roman" w:eastAsia="宋体" w:cs="Times New Roman"/>
                <w:color w:val="auto"/>
                <w:sz w:val="24"/>
                <w:szCs w:val="24"/>
                <w:highlight w:val="none"/>
                <w:u w:val="single" w:color="auto"/>
                <w:lang w:val="en-US" w:eastAsia="zh-CN"/>
              </w:rPr>
              <w:t>满足本项目</w:t>
            </w:r>
            <w:r>
              <w:rPr>
                <w:rFonts w:hint="eastAsia" w:cs="Times New Roman"/>
                <w:color w:val="auto"/>
                <w:sz w:val="24"/>
                <w:szCs w:val="24"/>
                <w:highlight w:val="none"/>
                <w:u w:val="single" w:color="auto"/>
                <w:lang w:val="en-US" w:eastAsia="zh-CN"/>
              </w:rPr>
              <w:t>改扩建后</w:t>
            </w:r>
            <w:r>
              <w:rPr>
                <w:rFonts w:hint="default" w:ascii="Times New Roman" w:hAnsi="Times New Roman" w:eastAsia="宋体" w:cs="Times New Roman"/>
                <w:color w:val="auto"/>
                <w:sz w:val="24"/>
                <w:szCs w:val="24"/>
                <w:highlight w:val="none"/>
                <w:u w:val="single" w:color="auto"/>
                <w:lang w:val="en-US" w:eastAsia="zh-CN"/>
              </w:rPr>
              <w:t>废水处理</w:t>
            </w:r>
            <w:r>
              <w:rPr>
                <w:rFonts w:hint="default" w:ascii="Times New Roman" w:hAnsi="Times New Roman" w:eastAsia="宋体" w:cs="Times New Roman"/>
                <w:color w:val="auto"/>
                <w:sz w:val="24"/>
                <w:szCs w:val="24"/>
                <w:highlight w:val="none"/>
                <w:u w:val="single" w:color="auto"/>
              </w:rPr>
              <w:t>，因此项目生产废水可以得到处理。</w:t>
            </w:r>
          </w:p>
          <w:p>
            <w:pPr>
              <w:pStyle w:val="62"/>
              <w:keepNext w:val="0"/>
              <w:keepLines w:val="0"/>
              <w:pageBreakBefore w:val="0"/>
              <w:kinsoku/>
              <w:wordWrap/>
              <w:overflowPunct/>
              <w:topLinePunct w:val="0"/>
              <w:autoSpaceDE/>
              <w:autoSpaceDN/>
              <w:bidi w:val="0"/>
              <w:snapToGrid/>
              <w:spacing w:line="360" w:lineRule="auto"/>
              <w:ind w:firstLine="482" w:firstLineChars="200"/>
              <w:textAlignment w:val="auto"/>
              <w:rPr>
                <w:rFonts w:hint="eastAsia" w:ascii="Times New Roman" w:hAnsi="Times New Roman" w:eastAsia="宋体" w:cs="Times New Roman"/>
                <w:b/>
                <w:bCs/>
                <w:color w:val="auto"/>
                <w:sz w:val="24"/>
                <w:szCs w:val="24"/>
                <w:u w:val="none" w:color="auto"/>
                <w:lang w:eastAsia="zh-CN"/>
              </w:rPr>
            </w:pPr>
            <w:r>
              <w:rPr>
                <w:rFonts w:hint="eastAsia" w:cs="Times New Roman"/>
                <w:b/>
                <w:bCs/>
                <w:color w:val="auto"/>
                <w:sz w:val="24"/>
                <w:szCs w:val="24"/>
                <w:u w:val="none" w:color="auto"/>
                <w:lang w:eastAsia="zh-CN"/>
              </w:rPr>
              <w:t>（</w:t>
            </w:r>
            <w:r>
              <w:rPr>
                <w:rFonts w:hint="eastAsia" w:cs="Times New Roman"/>
                <w:b/>
                <w:bCs/>
                <w:color w:val="auto"/>
                <w:sz w:val="24"/>
                <w:szCs w:val="24"/>
                <w:u w:val="none" w:color="auto"/>
                <w:lang w:val="en-US" w:eastAsia="zh-CN"/>
              </w:rPr>
              <w:t>2</w:t>
            </w:r>
            <w:r>
              <w:rPr>
                <w:rFonts w:hint="eastAsia" w:cs="Times New Roman"/>
                <w:b/>
                <w:bCs/>
                <w:color w:val="auto"/>
                <w:sz w:val="24"/>
                <w:szCs w:val="24"/>
                <w:u w:val="none" w:color="auto"/>
                <w:lang w:eastAsia="zh-CN"/>
              </w:rPr>
              <w:t>）</w:t>
            </w:r>
            <w:r>
              <w:rPr>
                <w:rFonts w:hint="default" w:ascii="Times New Roman" w:hAnsi="Times New Roman" w:cs="Times New Roman"/>
                <w:b/>
                <w:bCs/>
                <w:color w:val="auto"/>
                <w:sz w:val="24"/>
                <w:szCs w:val="24"/>
                <w:u w:val="none" w:color="auto"/>
              </w:rPr>
              <w:t>污水处理厂依托可行性分析</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eastAsia="宋体"/>
                <w:color w:val="auto"/>
                <w:sz w:val="24"/>
                <w:szCs w:val="24"/>
                <w:u w:val="none" w:color="auto"/>
                <w:lang w:val="en-US" w:eastAsia="zh-CN"/>
              </w:rPr>
            </w:pPr>
            <w:r>
              <w:rPr>
                <w:color w:val="auto"/>
                <w:sz w:val="24"/>
                <w:szCs w:val="24"/>
                <w:u w:val="none" w:color="auto"/>
              </w:rPr>
              <w:t>湘阴县第三污水处理厂位于湖南省岳阳市湘阴县金龙镇金华村，34863.75m</w:t>
            </w:r>
            <w:r>
              <w:rPr>
                <w:color w:val="auto"/>
                <w:sz w:val="24"/>
                <w:szCs w:val="24"/>
                <w:u w:val="none" w:color="auto"/>
                <w:vertAlign w:val="superscript"/>
              </w:rPr>
              <w:t>2</w:t>
            </w:r>
            <w:r>
              <w:rPr>
                <w:color w:val="auto"/>
                <w:sz w:val="24"/>
                <w:szCs w:val="24"/>
                <w:u w:val="none" w:color="auto"/>
              </w:rPr>
              <w:t>。</w:t>
            </w:r>
            <w:r>
              <w:rPr>
                <w:rFonts w:hint="eastAsia"/>
                <w:color w:val="auto"/>
                <w:sz w:val="24"/>
                <w:szCs w:val="24"/>
                <w:u w:val="none" w:color="auto"/>
                <w:lang w:val="en-US" w:eastAsia="zh-CN"/>
              </w:rPr>
              <w:t>目前</w:t>
            </w:r>
            <w:r>
              <w:rPr>
                <w:color w:val="auto"/>
                <w:sz w:val="24"/>
                <w:szCs w:val="24"/>
                <w:u w:val="none" w:color="auto"/>
              </w:rPr>
              <w:t>湘阴县第三污水处理厂设计规模为</w:t>
            </w:r>
            <w:r>
              <w:rPr>
                <w:rFonts w:hint="eastAsia"/>
                <w:color w:val="auto"/>
                <w:sz w:val="24"/>
                <w:szCs w:val="24"/>
                <w:u w:val="none" w:color="auto"/>
                <w:lang w:val="en-US" w:eastAsia="zh-CN"/>
              </w:rPr>
              <w:t>1</w:t>
            </w:r>
            <w:r>
              <w:rPr>
                <w:color w:val="auto"/>
                <w:sz w:val="24"/>
                <w:szCs w:val="24"/>
                <w:u w:val="none" w:color="auto"/>
              </w:rPr>
              <w:t>.0万m</w:t>
            </w:r>
            <w:r>
              <w:rPr>
                <w:color w:val="auto"/>
                <w:sz w:val="24"/>
                <w:szCs w:val="24"/>
                <w:u w:val="none" w:color="auto"/>
                <w:vertAlign w:val="superscript"/>
              </w:rPr>
              <w:t>3</w:t>
            </w:r>
            <w:r>
              <w:rPr>
                <w:color w:val="auto"/>
                <w:sz w:val="24"/>
                <w:szCs w:val="24"/>
                <w:u w:val="none" w:color="auto"/>
              </w:rPr>
              <w:t>/d。其工程服务范围为收集湘阴县金龙镇区域约20km</w:t>
            </w:r>
            <w:r>
              <w:rPr>
                <w:color w:val="auto"/>
                <w:sz w:val="24"/>
                <w:szCs w:val="24"/>
                <w:u w:val="none" w:color="auto"/>
                <w:vertAlign w:val="superscript"/>
              </w:rPr>
              <w:t>2</w:t>
            </w:r>
            <w:r>
              <w:rPr>
                <w:color w:val="auto"/>
                <w:sz w:val="24"/>
                <w:szCs w:val="24"/>
                <w:u w:val="none" w:color="auto"/>
              </w:rPr>
              <w:t>的生活污水和金龙工业小区的工业污水。</w:t>
            </w:r>
            <w:r>
              <w:rPr>
                <w:rFonts w:hint="eastAsia"/>
                <w:color w:val="auto"/>
                <w:sz w:val="24"/>
                <w:szCs w:val="24"/>
                <w:u w:val="none" w:color="auto"/>
                <w:lang w:val="en-US" w:eastAsia="zh-CN"/>
              </w:rPr>
              <w:t>本项目周边市政污水管网已建成。</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auto"/>
                <w:sz w:val="24"/>
                <w:szCs w:val="24"/>
                <w:u w:val="none" w:color="auto"/>
              </w:rPr>
            </w:pPr>
            <w:r>
              <w:rPr>
                <w:color w:val="auto"/>
                <w:sz w:val="24"/>
                <w:szCs w:val="24"/>
                <w:u w:val="none" w:color="auto"/>
              </w:rPr>
              <w:t>湘阴县第三污水处理厂已于2021年投入运行，目前金龙新区已建道路均配套建设雨水管网及污水管网。根据湘阴县第三污水处理厂的纳污规划，金龙工业小区污水已纳入湘阴县第三污水处理厂设计容量，湘阴县第三污水处理厂厂在时间和空间上均可接受并容纳本项目废水。</w:t>
            </w:r>
          </w:p>
          <w:p>
            <w:pPr>
              <w:keepNext w:val="0"/>
              <w:keepLines w:val="0"/>
              <w:pageBreakBefore w:val="0"/>
              <w:kinsoku/>
              <w:wordWrap/>
              <w:overflowPunct/>
              <w:topLinePunct w:val="0"/>
              <w:autoSpaceDE/>
              <w:autoSpaceDN/>
              <w:bidi w:val="0"/>
              <w:snapToGrid/>
              <w:spacing w:line="360" w:lineRule="auto"/>
              <w:ind w:firstLine="480" w:firstLineChars="200"/>
              <w:jc w:val="left"/>
              <w:textAlignment w:val="auto"/>
              <w:rPr>
                <w:color w:val="auto"/>
                <w:sz w:val="24"/>
                <w:szCs w:val="24"/>
                <w:highlight w:val="none"/>
                <w:u w:val="none" w:color="auto"/>
              </w:rPr>
            </w:pPr>
            <w:r>
              <w:rPr>
                <w:color w:val="auto"/>
                <w:sz w:val="24"/>
                <w:szCs w:val="24"/>
                <w:u w:val="none" w:color="auto"/>
              </w:rPr>
              <w:t>湘阴县第三污水处理厂采用</w:t>
            </w:r>
            <w:r>
              <w:rPr>
                <w:rFonts w:hint="eastAsia"/>
                <w:color w:val="auto"/>
                <w:sz w:val="24"/>
                <w:szCs w:val="24"/>
                <w:u w:val="none" w:color="auto"/>
                <w:lang w:eastAsia="zh-CN"/>
              </w:rPr>
              <w:t>“</w:t>
            </w:r>
            <w:r>
              <w:rPr>
                <w:color w:val="auto"/>
                <w:sz w:val="24"/>
                <w:szCs w:val="24"/>
                <w:u w:val="none" w:color="auto"/>
              </w:rPr>
              <w:t>A</w:t>
            </w:r>
            <w:r>
              <w:rPr>
                <w:color w:val="auto"/>
                <w:sz w:val="24"/>
                <w:szCs w:val="24"/>
                <w:u w:val="none" w:color="auto"/>
                <w:vertAlign w:val="superscript"/>
              </w:rPr>
              <w:t>2</w:t>
            </w:r>
            <w:r>
              <w:rPr>
                <w:color w:val="auto"/>
                <w:sz w:val="24"/>
                <w:szCs w:val="24"/>
                <w:u w:val="none" w:color="auto"/>
              </w:rPr>
              <w:t>/</w:t>
            </w:r>
            <w:r>
              <w:rPr>
                <w:rFonts w:hint="eastAsia"/>
                <w:color w:val="auto"/>
                <w:sz w:val="24"/>
                <w:szCs w:val="24"/>
                <w:u w:val="none" w:color="auto"/>
                <w:lang w:val="en-US" w:eastAsia="zh-CN"/>
              </w:rPr>
              <w:t>O</w:t>
            </w:r>
            <w:r>
              <w:rPr>
                <w:color w:val="auto"/>
                <w:sz w:val="24"/>
                <w:szCs w:val="24"/>
                <w:u w:val="none" w:color="auto"/>
              </w:rPr>
              <w:t>氧化沟+高效沉淀</w:t>
            </w:r>
            <w:r>
              <w:rPr>
                <w:rFonts w:hint="eastAsia"/>
                <w:color w:val="auto"/>
                <w:sz w:val="24"/>
                <w:szCs w:val="24"/>
                <w:u w:val="none" w:color="auto"/>
                <w:lang w:eastAsia="zh-CN"/>
              </w:rPr>
              <w:t>”</w:t>
            </w:r>
            <w:r>
              <w:rPr>
                <w:color w:val="auto"/>
                <w:sz w:val="24"/>
                <w:szCs w:val="24"/>
                <w:u w:val="none" w:color="auto"/>
              </w:rPr>
              <w:t>污水处理工艺，污水经进水泵房提升后，进入细格栅间及涡流沉砂池处理，然后进入氧化沟进行生物处理，再进入二沉池进行泥水分离后达标排放。二沉池泥水分离过程</w:t>
            </w:r>
            <w:r>
              <w:rPr>
                <w:color w:val="auto"/>
                <w:sz w:val="24"/>
                <w:szCs w:val="24"/>
                <w:highlight w:val="none"/>
                <w:u w:val="none" w:color="auto"/>
              </w:rPr>
              <w:t>中产生的污泥一部分通过回流泵房进入氧化沟循环利用，一部分以剩余污泥的形式进入脱水车间经脱水后形成干污泥，再外运填埋处理。</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eastAsia="宋体"/>
                <w:color w:val="auto"/>
                <w:kern w:val="0"/>
                <w:sz w:val="24"/>
                <w:szCs w:val="24"/>
                <w:highlight w:val="none"/>
                <w:u w:val="single" w:color="auto"/>
                <w:lang w:val="en-US" w:eastAsia="zh-CN"/>
              </w:rPr>
            </w:pPr>
            <w:r>
              <w:rPr>
                <w:rFonts w:hint="eastAsia" w:ascii="Times New Roman" w:hAnsi="Times New Roman" w:cs="Times New Roman"/>
                <w:color w:val="auto"/>
                <w:sz w:val="24"/>
                <w:szCs w:val="24"/>
                <w:highlight w:val="none"/>
                <w:u w:val="none" w:color="auto"/>
                <w:lang w:val="en-US" w:eastAsia="zh-CN"/>
              </w:rPr>
              <w:t>根据《湖南湘阴高新技术产业开发区2022年度生态环境管理现状自评估报告》：</w:t>
            </w:r>
            <w:r>
              <w:rPr>
                <w:rFonts w:hint="eastAsia"/>
                <w:color w:val="auto"/>
                <w:kern w:val="0"/>
                <w:sz w:val="24"/>
                <w:szCs w:val="24"/>
                <w:highlight w:val="none"/>
                <w:u w:val="none" w:color="auto"/>
              </w:rPr>
              <w:t>2021年至今，湘阴县第三污水处理厂累计处理污水超过350万吨(约20%为工业废水、80%为生活污水）。</w:t>
            </w:r>
            <w:r>
              <w:rPr>
                <w:rFonts w:hint="eastAsia"/>
                <w:color w:val="auto"/>
                <w:kern w:val="0"/>
                <w:sz w:val="24"/>
                <w:szCs w:val="24"/>
                <w:highlight w:val="none"/>
                <w:u w:val="single" w:color="auto"/>
              </w:rPr>
              <w:t>目前，日均处理水量约为5000</w:t>
            </w:r>
            <w:r>
              <w:rPr>
                <w:rFonts w:hint="default" w:ascii="Times New Roman" w:hAnsi="Times New Roman" w:eastAsia="宋体" w:cs="Times New Roman"/>
                <w:color w:val="auto"/>
                <w:spacing w:val="4"/>
                <w:sz w:val="24"/>
                <w:szCs w:val="24"/>
                <w:highlight w:val="none"/>
                <w:u w:val="single" w:color="auto"/>
              </w:rPr>
              <w:t>m</w:t>
            </w:r>
            <w:r>
              <w:rPr>
                <w:rFonts w:hint="default" w:ascii="Times New Roman" w:hAnsi="Times New Roman" w:eastAsia="宋体" w:cs="Times New Roman"/>
                <w:color w:val="auto"/>
                <w:spacing w:val="4"/>
                <w:sz w:val="24"/>
                <w:szCs w:val="24"/>
                <w:highlight w:val="none"/>
                <w:u w:val="single" w:color="auto"/>
                <w:vertAlign w:val="superscript"/>
              </w:rPr>
              <w:t>3</w:t>
            </w:r>
            <w:r>
              <w:rPr>
                <w:rFonts w:hint="eastAsia"/>
                <w:color w:val="auto"/>
                <w:kern w:val="0"/>
                <w:sz w:val="24"/>
                <w:szCs w:val="24"/>
                <w:highlight w:val="none"/>
                <w:u w:val="single" w:color="auto"/>
              </w:rPr>
              <w:t>。</w:t>
            </w:r>
            <w:r>
              <w:rPr>
                <w:rFonts w:hint="eastAsia"/>
                <w:color w:val="auto"/>
                <w:kern w:val="0"/>
                <w:sz w:val="24"/>
                <w:szCs w:val="24"/>
                <w:highlight w:val="none"/>
                <w:u w:val="single" w:color="auto"/>
                <w:lang w:val="en-US" w:eastAsia="zh-CN"/>
              </w:rPr>
              <w:t>本项目建成后全厂废水排放量为45.03</w:t>
            </w:r>
            <w:r>
              <w:rPr>
                <w:rFonts w:hint="default" w:ascii="Times New Roman" w:hAnsi="Times New Roman" w:eastAsia="宋体" w:cs="Times New Roman"/>
                <w:color w:val="auto"/>
                <w:spacing w:val="4"/>
                <w:sz w:val="24"/>
                <w:szCs w:val="24"/>
                <w:highlight w:val="none"/>
                <w:u w:val="single" w:color="auto"/>
              </w:rPr>
              <w:t>m</w:t>
            </w:r>
            <w:r>
              <w:rPr>
                <w:rFonts w:hint="default" w:ascii="Times New Roman" w:hAnsi="Times New Roman" w:eastAsia="宋体" w:cs="Times New Roman"/>
                <w:color w:val="auto"/>
                <w:spacing w:val="4"/>
                <w:sz w:val="24"/>
                <w:szCs w:val="24"/>
                <w:highlight w:val="none"/>
                <w:u w:val="single" w:color="auto"/>
                <w:vertAlign w:val="superscript"/>
              </w:rPr>
              <w:t>3</w:t>
            </w:r>
            <w:r>
              <w:rPr>
                <w:rFonts w:hint="default" w:ascii="Times New Roman" w:hAnsi="Times New Roman" w:eastAsia="宋体" w:cs="Times New Roman"/>
                <w:color w:val="auto"/>
                <w:spacing w:val="4"/>
                <w:sz w:val="24"/>
                <w:szCs w:val="24"/>
                <w:highlight w:val="none"/>
                <w:u w:val="single" w:color="auto"/>
              </w:rPr>
              <w:t>/</w:t>
            </w:r>
            <w:r>
              <w:rPr>
                <w:rFonts w:hint="eastAsia" w:ascii="Times New Roman" w:hAnsi="Times New Roman" w:eastAsia="宋体" w:cs="Times New Roman"/>
                <w:color w:val="auto"/>
                <w:spacing w:val="4"/>
                <w:sz w:val="24"/>
                <w:szCs w:val="24"/>
                <w:highlight w:val="none"/>
                <w:u w:val="single" w:color="auto"/>
                <w:lang w:val="en-US" w:eastAsia="zh-CN"/>
              </w:rPr>
              <w:t>d，远低于</w:t>
            </w:r>
            <w:r>
              <w:rPr>
                <w:rFonts w:hint="eastAsia"/>
                <w:color w:val="auto"/>
                <w:kern w:val="0"/>
                <w:sz w:val="24"/>
                <w:szCs w:val="24"/>
                <w:highlight w:val="none"/>
                <w:u w:val="single" w:color="auto"/>
              </w:rPr>
              <w:t>湘阴县第三污水处理厂</w:t>
            </w:r>
            <w:r>
              <w:rPr>
                <w:rFonts w:hint="eastAsia"/>
                <w:color w:val="auto"/>
                <w:kern w:val="0"/>
                <w:sz w:val="24"/>
                <w:szCs w:val="24"/>
                <w:highlight w:val="none"/>
                <w:u w:val="single" w:color="auto"/>
                <w:lang w:val="en-US" w:eastAsia="zh-CN"/>
              </w:rPr>
              <w:t>剩余处理规模。</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color w:val="auto"/>
                <w:sz w:val="24"/>
                <w:szCs w:val="24"/>
                <w:highlight w:val="none"/>
                <w:u w:val="none" w:color="auto"/>
              </w:rPr>
            </w:pPr>
            <w:r>
              <w:rPr>
                <w:rFonts w:hint="eastAsia"/>
                <w:color w:val="auto"/>
                <w:sz w:val="24"/>
                <w:szCs w:val="24"/>
                <w:highlight w:val="none"/>
                <w:u w:val="none" w:color="auto"/>
              </w:rPr>
              <w:t>本项目进入湘阴县第三污水处理厂的</w:t>
            </w:r>
            <w:r>
              <w:rPr>
                <w:rFonts w:hint="eastAsia"/>
                <w:color w:val="auto"/>
                <w:sz w:val="24"/>
                <w:szCs w:val="24"/>
                <w:highlight w:val="none"/>
                <w:u w:val="none" w:color="auto"/>
                <w:lang w:eastAsia="zh-CN"/>
              </w:rPr>
              <w:t>废水</w:t>
            </w:r>
            <w:r>
              <w:rPr>
                <w:rFonts w:hint="eastAsia"/>
                <w:color w:val="auto"/>
                <w:sz w:val="24"/>
                <w:szCs w:val="24"/>
                <w:highlight w:val="none"/>
                <w:u w:val="none" w:color="auto"/>
              </w:rPr>
              <w:t>经自建污水处理站预处理后满足</w:t>
            </w:r>
            <w:r>
              <w:rPr>
                <w:rFonts w:hint="eastAsia"/>
                <w:color w:val="auto"/>
                <w:sz w:val="24"/>
                <w:szCs w:val="24"/>
                <w:highlight w:val="none"/>
                <w:u w:val="none" w:color="auto"/>
                <w:lang w:val="en-US" w:eastAsia="zh-CN"/>
              </w:rPr>
              <w:t>《污水综合排放标准》（GB8978-1996）中三级标准</w:t>
            </w:r>
            <w:r>
              <w:rPr>
                <w:rFonts w:hint="eastAsia"/>
                <w:color w:val="auto"/>
                <w:sz w:val="24"/>
                <w:szCs w:val="24"/>
                <w:highlight w:val="none"/>
                <w:u w:val="none" w:color="auto"/>
              </w:rPr>
              <w:t>及湘阴县第三污水处理厂进水水质标准要求，其污染物均为常规污染物，从水质角度来讲，本项目废水经预处理后进入湘阴县第三污水处理厂处理可行，且不会对湘阴县第三污水处理厂水质造成冲击。</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rPr>
              <w:t>综上所述，本项目预处理达标后的废水依托湘阴县第三污水处理厂处理是可行的</w:t>
            </w:r>
            <w:r>
              <w:rPr>
                <w:rFonts w:hint="eastAsia" w:ascii="Times New Roman" w:hAnsi="Times New Roman" w:eastAsia="宋体" w:cs="Times New Roman"/>
                <w:color w:val="auto"/>
                <w:sz w:val="24"/>
                <w:szCs w:val="24"/>
                <w:highlight w:val="none"/>
                <w:u w:val="none" w:color="auto"/>
                <w:lang w:eastAsia="zh-CN"/>
              </w:rPr>
              <w:t>。</w:t>
            </w:r>
          </w:p>
          <w:p>
            <w:pPr>
              <w:adjustRightInd w:val="0"/>
              <w:snapToGrid w:val="0"/>
              <w:spacing w:line="480" w:lineRule="exact"/>
              <w:ind w:firstLine="482" w:firstLineChars="200"/>
              <w:rPr>
                <w:rFonts w:hint="default" w:ascii="Times New Roman" w:hAnsi="Times New Roman" w:eastAsia="宋体" w:cs="Times New Roman"/>
                <w:b/>
                <w:bCs/>
                <w:color w:val="auto"/>
                <w:sz w:val="24"/>
                <w:szCs w:val="24"/>
                <w:highlight w:val="none"/>
                <w:u w:val="single" w:color="auto"/>
              </w:rPr>
            </w:pPr>
            <w:r>
              <w:rPr>
                <w:rFonts w:hint="eastAsia" w:cs="Times New Roman"/>
                <w:b/>
                <w:bCs/>
                <w:color w:val="auto"/>
                <w:sz w:val="24"/>
                <w:szCs w:val="24"/>
                <w:highlight w:val="none"/>
                <w:u w:val="single" w:color="auto"/>
                <w:lang w:val="en-US" w:eastAsia="zh-CN"/>
              </w:rPr>
              <w:t>4.3.3</w:t>
            </w:r>
            <w:r>
              <w:rPr>
                <w:rFonts w:hint="default" w:ascii="Times New Roman" w:hAnsi="Times New Roman" w:eastAsia="宋体" w:cs="Times New Roman"/>
                <w:b/>
                <w:bCs/>
                <w:color w:val="auto"/>
                <w:sz w:val="24"/>
                <w:szCs w:val="24"/>
                <w:highlight w:val="none"/>
                <w:u w:val="single" w:color="auto"/>
              </w:rPr>
              <w:t>监测计划</w:t>
            </w:r>
          </w:p>
          <w:p>
            <w:pPr>
              <w:pStyle w:val="62"/>
              <w:bidi w:val="0"/>
              <w:ind w:firstLine="480" w:firstLineChars="200"/>
              <w:rPr>
                <w:rFonts w:hint="default"/>
                <w:color w:val="auto"/>
                <w:sz w:val="24"/>
                <w:szCs w:val="24"/>
                <w:highlight w:val="none"/>
                <w:u w:val="single" w:color="auto"/>
              </w:rPr>
            </w:pPr>
            <w:r>
              <w:rPr>
                <w:rFonts w:hint="eastAsia"/>
                <w:color w:val="auto"/>
                <w:sz w:val="24"/>
                <w:szCs w:val="24"/>
                <w:u w:val="single" w:color="auto"/>
                <w:lang w:val="en-US" w:eastAsia="zh-CN"/>
              </w:rPr>
              <w:t>本次改扩建不涉及化学镀，废水依托现有工程废水处理设施。现有工程化学置换工序属于化学镀</w:t>
            </w:r>
            <w:r>
              <w:rPr>
                <w:rFonts w:hint="eastAsia"/>
                <w:color w:val="auto"/>
                <w:sz w:val="24"/>
                <w:szCs w:val="24"/>
                <w:highlight w:val="none"/>
                <w:u w:val="single" w:color="auto"/>
                <w:lang w:val="en-US" w:eastAsia="zh-CN"/>
              </w:rPr>
              <w:t>，因此</w:t>
            </w:r>
            <w:r>
              <w:rPr>
                <w:rFonts w:hint="default"/>
                <w:color w:val="auto"/>
                <w:sz w:val="24"/>
                <w:szCs w:val="24"/>
                <w:highlight w:val="none"/>
                <w:u w:val="single" w:color="auto"/>
              </w:rPr>
              <w:t>参考</w:t>
            </w:r>
            <w:r>
              <w:rPr>
                <w:rFonts w:hint="eastAsia"/>
                <w:color w:val="auto"/>
                <w:sz w:val="24"/>
                <w:szCs w:val="24"/>
                <w:highlight w:val="none"/>
                <w:u w:val="single" w:color="auto"/>
                <w:lang w:eastAsia="zh-CN"/>
              </w:rPr>
              <w:t>《</w:t>
            </w:r>
            <w:r>
              <w:rPr>
                <w:rFonts w:hint="default"/>
                <w:color w:val="auto"/>
                <w:sz w:val="24"/>
                <w:szCs w:val="24"/>
                <w:highlight w:val="none"/>
                <w:u w:val="single" w:color="auto"/>
              </w:rPr>
              <w:t>排污单位自行监测技术指南</w:t>
            </w:r>
            <w:r>
              <w:rPr>
                <w:rFonts w:hint="eastAsia"/>
                <w:color w:val="auto"/>
                <w:sz w:val="24"/>
                <w:szCs w:val="24"/>
                <w:highlight w:val="none"/>
                <w:u w:val="single" w:color="auto"/>
                <w:lang w:val="en-US" w:eastAsia="zh-CN"/>
              </w:rPr>
              <w:t xml:space="preserve"> </w:t>
            </w:r>
            <w:r>
              <w:rPr>
                <w:rFonts w:hint="default"/>
                <w:color w:val="auto"/>
                <w:sz w:val="24"/>
                <w:szCs w:val="24"/>
                <w:highlight w:val="none"/>
                <w:u w:val="single" w:color="auto"/>
              </w:rPr>
              <w:t>电镀工业</w:t>
            </w:r>
            <w:r>
              <w:rPr>
                <w:rFonts w:hint="eastAsia"/>
                <w:color w:val="auto"/>
                <w:sz w:val="24"/>
                <w:szCs w:val="24"/>
                <w:highlight w:val="none"/>
                <w:u w:val="single" w:color="auto"/>
                <w:lang w:eastAsia="zh-CN"/>
              </w:rPr>
              <w:t>》（</w:t>
            </w:r>
            <w:r>
              <w:rPr>
                <w:rFonts w:hint="default"/>
                <w:color w:val="auto"/>
                <w:sz w:val="24"/>
                <w:szCs w:val="24"/>
                <w:highlight w:val="none"/>
                <w:u w:val="single" w:color="auto"/>
              </w:rPr>
              <w:t>HJ985-2018</w:t>
            </w:r>
            <w:r>
              <w:rPr>
                <w:rFonts w:hint="eastAsia"/>
                <w:color w:val="auto"/>
                <w:sz w:val="24"/>
                <w:szCs w:val="24"/>
                <w:highlight w:val="none"/>
                <w:u w:val="single" w:color="auto"/>
                <w:lang w:eastAsia="zh-CN"/>
              </w:rPr>
              <w:t>）</w:t>
            </w:r>
            <w:r>
              <w:rPr>
                <w:rFonts w:hint="default"/>
                <w:color w:val="auto"/>
                <w:sz w:val="24"/>
                <w:szCs w:val="24"/>
                <w:highlight w:val="none"/>
                <w:u w:val="single" w:color="auto"/>
              </w:rPr>
              <w:t>，本项目废</w:t>
            </w:r>
            <w:r>
              <w:rPr>
                <w:rFonts w:hint="eastAsia"/>
                <w:color w:val="auto"/>
                <w:sz w:val="24"/>
                <w:szCs w:val="24"/>
                <w:highlight w:val="none"/>
                <w:u w:val="single" w:color="auto"/>
                <w:lang w:eastAsia="zh-CN"/>
              </w:rPr>
              <w:t>水</w:t>
            </w:r>
            <w:r>
              <w:rPr>
                <w:rFonts w:hint="default"/>
                <w:color w:val="auto"/>
                <w:sz w:val="24"/>
                <w:szCs w:val="24"/>
                <w:highlight w:val="none"/>
                <w:u w:val="single" w:color="auto"/>
              </w:rPr>
              <w:t>自行监测计划见下表。</w:t>
            </w:r>
          </w:p>
          <w:p>
            <w:pPr>
              <w:pStyle w:val="60"/>
              <w:bidi w:val="0"/>
              <w:spacing w:line="240" w:lineRule="auto"/>
              <w:rPr>
                <w:rFonts w:hint="default"/>
                <w:color w:val="auto"/>
                <w:sz w:val="24"/>
                <w:szCs w:val="24"/>
                <w:highlight w:val="none"/>
                <w:u w:val="single" w:color="auto"/>
              </w:rPr>
            </w:pPr>
            <w:r>
              <w:rPr>
                <w:rFonts w:hint="default"/>
                <w:color w:val="auto"/>
                <w:sz w:val="24"/>
                <w:szCs w:val="24"/>
                <w:highlight w:val="none"/>
                <w:u w:val="single" w:color="auto"/>
              </w:rPr>
              <w:t>表4</w:t>
            </w:r>
            <w:r>
              <w:rPr>
                <w:rFonts w:hint="eastAsia"/>
                <w:color w:val="auto"/>
                <w:sz w:val="24"/>
                <w:szCs w:val="24"/>
                <w:highlight w:val="none"/>
                <w:u w:val="single" w:color="auto"/>
                <w:lang w:val="en-US" w:eastAsia="zh-CN"/>
              </w:rPr>
              <w:t>.3-7</w:t>
            </w:r>
            <w:r>
              <w:rPr>
                <w:rFonts w:hint="eastAsia"/>
                <w:color w:val="auto"/>
                <w:sz w:val="24"/>
                <w:szCs w:val="24"/>
                <w:highlight w:val="none"/>
                <w:u w:val="single" w:color="auto"/>
                <w:lang w:eastAsia="zh-CN"/>
              </w:rPr>
              <w:t>废水</w:t>
            </w:r>
            <w:r>
              <w:rPr>
                <w:rFonts w:hint="default"/>
                <w:color w:val="auto"/>
                <w:sz w:val="24"/>
                <w:szCs w:val="24"/>
                <w:highlight w:val="none"/>
                <w:u w:val="single" w:color="auto"/>
              </w:rPr>
              <w:t>自行监测计划表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459"/>
              <w:gridCol w:w="2118"/>
              <w:gridCol w:w="1062"/>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noWrap w:val="0"/>
                  <w:vAlign w:val="center"/>
                </w:tcPr>
                <w:p>
                  <w:pPr>
                    <w:tabs>
                      <w:tab w:val="left" w:pos="2587"/>
                    </w:tabs>
                    <w:jc w:val="center"/>
                    <w:rPr>
                      <w:rFonts w:hint="default" w:ascii="Times New Roman" w:hAnsi="Times New Roman" w:cs="Times New Roman"/>
                      <w:b/>
                      <w:bCs/>
                      <w:color w:val="auto"/>
                      <w:highlight w:val="none"/>
                      <w:u w:val="single" w:color="auto"/>
                    </w:rPr>
                  </w:pPr>
                  <w:r>
                    <w:rPr>
                      <w:rFonts w:hint="default" w:ascii="Times New Roman" w:hAnsi="Times New Roman" w:cs="Times New Roman"/>
                      <w:b/>
                      <w:bCs/>
                      <w:color w:val="auto"/>
                      <w:highlight w:val="none"/>
                      <w:u w:val="single" w:color="auto"/>
                    </w:rPr>
                    <w:t>类别</w:t>
                  </w:r>
                </w:p>
              </w:tc>
              <w:tc>
                <w:tcPr>
                  <w:tcW w:w="1459" w:type="dxa"/>
                  <w:noWrap w:val="0"/>
                  <w:vAlign w:val="center"/>
                </w:tcPr>
                <w:p>
                  <w:pPr>
                    <w:tabs>
                      <w:tab w:val="left" w:pos="2587"/>
                    </w:tabs>
                    <w:jc w:val="center"/>
                    <w:rPr>
                      <w:rFonts w:hint="eastAsia" w:ascii="Times New Roman" w:hAnsi="Times New Roman" w:eastAsia="宋体" w:cs="Times New Roman"/>
                      <w:b/>
                      <w:bCs/>
                      <w:color w:val="auto"/>
                      <w:highlight w:val="none"/>
                      <w:u w:val="single" w:color="auto"/>
                      <w:lang w:eastAsia="zh-CN"/>
                    </w:rPr>
                  </w:pPr>
                  <w:r>
                    <w:rPr>
                      <w:rFonts w:hint="eastAsia" w:ascii="Times New Roman" w:hAnsi="Times New Roman" w:cs="Times New Roman"/>
                      <w:b/>
                      <w:bCs/>
                      <w:color w:val="auto"/>
                      <w:highlight w:val="none"/>
                      <w:u w:val="single" w:color="auto"/>
                      <w:lang w:eastAsia="zh-CN"/>
                    </w:rPr>
                    <w:t>监测点位</w:t>
                  </w:r>
                </w:p>
              </w:tc>
              <w:tc>
                <w:tcPr>
                  <w:tcW w:w="2118" w:type="dxa"/>
                  <w:noWrap w:val="0"/>
                  <w:vAlign w:val="center"/>
                </w:tcPr>
                <w:p>
                  <w:pPr>
                    <w:tabs>
                      <w:tab w:val="left" w:pos="2587"/>
                    </w:tabs>
                    <w:jc w:val="center"/>
                    <w:rPr>
                      <w:rFonts w:hint="default" w:ascii="Times New Roman" w:hAnsi="Times New Roman" w:cs="Times New Roman"/>
                      <w:b/>
                      <w:bCs/>
                      <w:color w:val="auto"/>
                      <w:highlight w:val="none"/>
                      <w:u w:val="single" w:color="auto"/>
                    </w:rPr>
                  </w:pPr>
                  <w:r>
                    <w:rPr>
                      <w:rFonts w:hint="default" w:ascii="Times New Roman" w:hAnsi="Times New Roman" w:cs="Times New Roman"/>
                      <w:b/>
                      <w:bCs/>
                      <w:color w:val="auto"/>
                      <w:highlight w:val="none"/>
                      <w:u w:val="single" w:color="auto"/>
                    </w:rPr>
                    <w:t>监测因子</w:t>
                  </w:r>
                </w:p>
              </w:tc>
              <w:tc>
                <w:tcPr>
                  <w:tcW w:w="1062" w:type="dxa"/>
                  <w:noWrap w:val="0"/>
                  <w:vAlign w:val="center"/>
                </w:tcPr>
                <w:p>
                  <w:pPr>
                    <w:tabs>
                      <w:tab w:val="left" w:pos="2587"/>
                    </w:tabs>
                    <w:jc w:val="center"/>
                    <w:rPr>
                      <w:rFonts w:hint="default" w:ascii="Times New Roman" w:hAnsi="Times New Roman" w:cs="Times New Roman"/>
                      <w:b/>
                      <w:bCs/>
                      <w:color w:val="auto"/>
                      <w:highlight w:val="none"/>
                      <w:u w:val="single" w:color="auto"/>
                    </w:rPr>
                  </w:pPr>
                  <w:r>
                    <w:rPr>
                      <w:rFonts w:hint="default" w:ascii="Times New Roman" w:hAnsi="Times New Roman" w:cs="Times New Roman"/>
                      <w:b/>
                      <w:bCs/>
                      <w:color w:val="auto"/>
                      <w:highlight w:val="none"/>
                      <w:u w:val="single" w:color="auto"/>
                    </w:rPr>
                    <w:t>监测频次</w:t>
                  </w:r>
                </w:p>
              </w:tc>
              <w:tc>
                <w:tcPr>
                  <w:tcW w:w="2600" w:type="dxa"/>
                  <w:noWrap w:val="0"/>
                  <w:vAlign w:val="center"/>
                </w:tcPr>
                <w:p>
                  <w:pPr>
                    <w:tabs>
                      <w:tab w:val="left" w:pos="2587"/>
                    </w:tabs>
                    <w:jc w:val="center"/>
                    <w:rPr>
                      <w:rFonts w:hint="default" w:ascii="Times New Roman" w:hAnsi="Times New Roman" w:eastAsia="宋体" w:cs="Times New Roman"/>
                      <w:b/>
                      <w:bCs/>
                      <w:color w:val="auto"/>
                      <w:highlight w:val="none"/>
                      <w:u w:val="single" w:color="auto"/>
                      <w:lang w:val="en-US" w:eastAsia="zh-CN"/>
                    </w:rPr>
                  </w:pPr>
                  <w:r>
                    <w:rPr>
                      <w:rFonts w:hint="eastAsia" w:cs="Times New Roman"/>
                      <w:b/>
                      <w:bCs/>
                      <w:color w:val="auto"/>
                      <w:highlight w:val="none"/>
                      <w:u w:val="single" w:color="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restart"/>
                  <w:noWrap w:val="0"/>
                  <w:vAlign w:val="center"/>
                </w:tcPr>
                <w:p>
                  <w:pPr>
                    <w:tabs>
                      <w:tab w:val="left" w:pos="2587"/>
                    </w:tabs>
                    <w:jc w:val="center"/>
                    <w:rPr>
                      <w:rFonts w:hint="default" w:ascii="Times New Roman" w:hAnsi="Times New Roman" w:cs="Times New Roman"/>
                      <w:color w:val="auto"/>
                      <w:highlight w:val="none"/>
                      <w:u w:val="single" w:color="auto"/>
                    </w:rPr>
                  </w:pPr>
                  <w:r>
                    <w:rPr>
                      <w:rFonts w:hint="eastAsia" w:cs="Times New Roman"/>
                      <w:color w:val="auto"/>
                      <w:highlight w:val="none"/>
                      <w:u w:val="single" w:color="auto"/>
                      <w:lang w:val="en-US" w:eastAsia="zh-CN"/>
                    </w:rPr>
                    <w:t>废水</w:t>
                  </w:r>
                </w:p>
              </w:tc>
              <w:tc>
                <w:tcPr>
                  <w:tcW w:w="1459" w:type="dxa"/>
                  <w:vMerge w:val="restart"/>
                  <w:noWrap w:val="0"/>
                  <w:vAlign w:val="center"/>
                </w:tcPr>
                <w:p>
                  <w:pPr>
                    <w:tabs>
                      <w:tab w:val="left" w:pos="2587"/>
                    </w:tabs>
                    <w:jc w:val="center"/>
                    <w:rPr>
                      <w:rFonts w:hint="eastAsia" w:cs="Times New Roman"/>
                      <w:color w:val="auto"/>
                      <w:highlight w:val="none"/>
                      <w:u w:val="single" w:color="auto"/>
                      <w:lang w:val="en-US" w:eastAsia="zh-CN"/>
                    </w:rPr>
                  </w:pPr>
                  <w:r>
                    <w:rPr>
                      <w:rFonts w:hint="eastAsia" w:cs="Times New Roman"/>
                      <w:color w:val="auto"/>
                      <w:highlight w:val="none"/>
                      <w:u w:val="single" w:color="auto"/>
                      <w:lang w:val="en-US" w:eastAsia="zh-CN"/>
                    </w:rPr>
                    <w:t>废水排放口（DW001）</w:t>
                  </w:r>
                </w:p>
              </w:tc>
              <w:tc>
                <w:tcPr>
                  <w:tcW w:w="2118" w:type="dxa"/>
                  <w:noWrap w:val="0"/>
                  <w:vAlign w:val="center"/>
                </w:tcPr>
                <w:p>
                  <w:pPr>
                    <w:tabs>
                      <w:tab w:val="left" w:pos="2587"/>
                    </w:tabs>
                    <w:jc w:val="center"/>
                    <w:rPr>
                      <w:rFonts w:hint="default" w:ascii="Times New Roman" w:hAnsi="Times New Roman" w:eastAsia="宋体" w:cs="Times New Roman"/>
                      <w:color w:val="auto"/>
                      <w:kern w:val="0"/>
                      <w:szCs w:val="21"/>
                      <w:u w:val="single" w:color="auto"/>
                      <w:lang w:val="en-US" w:eastAsia="zh-CN" w:bidi="ar"/>
                    </w:rPr>
                  </w:pPr>
                  <w:r>
                    <w:rPr>
                      <w:rFonts w:hint="default" w:ascii="Times New Roman" w:hAnsi="Times New Roman" w:eastAsia="宋体" w:cs="Times New Roman"/>
                      <w:b w:val="0"/>
                      <w:bCs w:val="0"/>
                      <w:color w:val="auto"/>
                      <w:kern w:val="0"/>
                      <w:szCs w:val="21"/>
                      <w:u w:val="single" w:color="auto"/>
                      <w:lang w:eastAsia="zh-CN" w:bidi="ar"/>
                    </w:rPr>
                    <w:t>流量</w:t>
                  </w:r>
                </w:p>
              </w:tc>
              <w:tc>
                <w:tcPr>
                  <w:tcW w:w="1062" w:type="dxa"/>
                  <w:noWrap w:val="0"/>
                  <w:vAlign w:val="center"/>
                </w:tcPr>
                <w:p>
                  <w:pPr>
                    <w:tabs>
                      <w:tab w:val="left" w:pos="2587"/>
                    </w:tabs>
                    <w:jc w:val="center"/>
                    <w:rPr>
                      <w:rFonts w:hint="default" w:ascii="Times New Roman" w:hAnsi="Times New Roman" w:eastAsia="宋体" w:cs="Times New Roman"/>
                      <w:color w:val="auto"/>
                      <w:kern w:val="0"/>
                      <w:szCs w:val="21"/>
                      <w:u w:val="single" w:color="auto"/>
                      <w:lang w:val="en-US" w:eastAsia="zh-CN" w:bidi="ar"/>
                    </w:rPr>
                  </w:pPr>
                  <w:r>
                    <w:rPr>
                      <w:rFonts w:hint="eastAsia" w:cs="Times New Roman"/>
                      <w:color w:val="auto"/>
                      <w:kern w:val="0"/>
                      <w:szCs w:val="21"/>
                      <w:u w:val="single" w:color="auto"/>
                      <w:lang w:val="en-US" w:eastAsia="zh-CN" w:bidi="ar"/>
                    </w:rPr>
                    <w:t>自动监测</w:t>
                  </w:r>
                </w:p>
              </w:tc>
              <w:tc>
                <w:tcPr>
                  <w:tcW w:w="2600" w:type="dxa"/>
                  <w:vMerge w:val="restart"/>
                  <w:noWrap w:val="0"/>
                  <w:vAlign w:val="center"/>
                </w:tcPr>
                <w:p>
                  <w:pPr>
                    <w:tabs>
                      <w:tab w:val="left" w:pos="2587"/>
                    </w:tabs>
                    <w:jc w:val="center"/>
                    <w:rPr>
                      <w:rFonts w:hint="default" w:ascii="Times New Roman" w:hAnsi="Times New Roman" w:eastAsia="宋体" w:cs="Times New Roman"/>
                      <w:color w:val="auto"/>
                      <w:kern w:val="0"/>
                      <w:szCs w:val="21"/>
                      <w:u w:val="single" w:color="auto"/>
                      <w:lang w:eastAsia="zh-CN" w:bidi="ar"/>
                    </w:rPr>
                  </w:pPr>
                  <w:r>
                    <w:rPr>
                      <w:rFonts w:hint="eastAsia" w:cs="Times New Roman"/>
                      <w:color w:val="auto"/>
                      <w:kern w:val="2"/>
                      <w:sz w:val="21"/>
                      <w:szCs w:val="21"/>
                      <w:u w:val="single" w:color="auto"/>
                      <w:lang w:val="en-US" w:eastAsia="zh-CN" w:bidi="ar"/>
                    </w:rPr>
                    <w:t>《污水综合排放标准》（GB8978-1996）中三级标准</w:t>
                  </w:r>
                  <w:r>
                    <w:rPr>
                      <w:rFonts w:hint="default" w:ascii="Times New Roman" w:hAnsi="Times New Roman" w:eastAsia="宋体" w:cs="Times New Roman"/>
                      <w:color w:val="auto"/>
                      <w:kern w:val="2"/>
                      <w:sz w:val="21"/>
                      <w:szCs w:val="21"/>
                      <w:u w:val="single" w:color="auto"/>
                      <w:lang w:val="en-US" w:eastAsia="zh-CN" w:bidi="ar"/>
                    </w:rPr>
                    <w:t>和湘阴县第三污水处理厂进水水质要求的较严值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c>
                <w:tcPr>
                  <w:tcW w:w="1459"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c>
                <w:tcPr>
                  <w:tcW w:w="2118" w:type="dxa"/>
                  <w:noWrap w:val="0"/>
                  <w:vAlign w:val="center"/>
                </w:tcPr>
                <w:p>
                  <w:pPr>
                    <w:tabs>
                      <w:tab w:val="left" w:pos="2587"/>
                    </w:tabs>
                    <w:jc w:val="center"/>
                    <w:rPr>
                      <w:rFonts w:hint="eastAsia"/>
                      <w:color w:val="auto"/>
                      <w:highlight w:val="none"/>
                      <w:u w:val="single" w:color="auto"/>
                      <w:lang w:val="en-US" w:eastAsia="zh-CN"/>
                    </w:rPr>
                  </w:pPr>
                  <w:r>
                    <w:rPr>
                      <w:rFonts w:hint="eastAsia"/>
                      <w:color w:val="auto"/>
                      <w:highlight w:val="none"/>
                      <w:u w:val="single" w:color="auto"/>
                      <w:lang w:val="en-US" w:eastAsia="zh-CN"/>
                    </w:rPr>
                    <w:t>pH、COD、总铜、总磷、总氮</w:t>
                  </w:r>
                </w:p>
              </w:tc>
              <w:tc>
                <w:tcPr>
                  <w:tcW w:w="1062" w:type="dxa"/>
                  <w:noWrap w:val="0"/>
                  <w:vAlign w:val="center"/>
                </w:tcPr>
                <w:p>
                  <w:pPr>
                    <w:tabs>
                      <w:tab w:val="left" w:pos="2587"/>
                    </w:tabs>
                    <w:jc w:val="center"/>
                    <w:rPr>
                      <w:rFonts w:hint="default" w:cs="Times New Roman"/>
                      <w:color w:val="auto"/>
                      <w:highlight w:val="none"/>
                      <w:u w:val="single" w:color="auto"/>
                      <w:lang w:val="en-US" w:eastAsia="zh-CN"/>
                    </w:rPr>
                  </w:pPr>
                  <w:r>
                    <w:rPr>
                      <w:rFonts w:hint="eastAsia" w:cs="Times New Roman"/>
                      <w:color w:val="auto"/>
                      <w:highlight w:val="none"/>
                      <w:u w:val="single" w:color="auto"/>
                      <w:lang w:val="en-US" w:eastAsia="zh-CN"/>
                    </w:rPr>
                    <w:t>日/次</w:t>
                  </w:r>
                </w:p>
              </w:tc>
              <w:tc>
                <w:tcPr>
                  <w:tcW w:w="2600"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c>
                <w:tcPr>
                  <w:tcW w:w="1459"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c>
                <w:tcPr>
                  <w:tcW w:w="2118" w:type="dxa"/>
                  <w:noWrap w:val="0"/>
                  <w:vAlign w:val="center"/>
                </w:tcPr>
                <w:p>
                  <w:pPr>
                    <w:tabs>
                      <w:tab w:val="left" w:pos="2587"/>
                    </w:tabs>
                    <w:jc w:val="center"/>
                    <w:rPr>
                      <w:rFonts w:hint="eastAsia"/>
                      <w:color w:val="auto"/>
                      <w:highlight w:val="none"/>
                      <w:u w:val="single" w:color="auto"/>
                      <w:lang w:val="en-US" w:eastAsia="zh-CN"/>
                    </w:rPr>
                  </w:pPr>
                  <w:r>
                    <w:rPr>
                      <w:rFonts w:hint="eastAsia"/>
                      <w:color w:val="auto"/>
                      <w:highlight w:val="none"/>
                      <w:u w:val="single" w:color="auto"/>
                      <w:lang w:val="en-US" w:eastAsia="zh-CN"/>
                    </w:rPr>
                    <w:t>SS、氨氮、石油类、总铁</w:t>
                  </w:r>
                </w:p>
              </w:tc>
              <w:tc>
                <w:tcPr>
                  <w:tcW w:w="1062" w:type="dxa"/>
                  <w:noWrap w:val="0"/>
                  <w:vAlign w:val="center"/>
                </w:tcPr>
                <w:p>
                  <w:pPr>
                    <w:tabs>
                      <w:tab w:val="left" w:pos="2587"/>
                    </w:tabs>
                    <w:jc w:val="center"/>
                    <w:rPr>
                      <w:rFonts w:hint="eastAsia" w:cs="Times New Roman"/>
                      <w:color w:val="auto"/>
                      <w:highlight w:val="none"/>
                      <w:u w:val="single" w:color="auto"/>
                      <w:lang w:val="en-US" w:eastAsia="zh-CN"/>
                    </w:rPr>
                  </w:pPr>
                  <w:r>
                    <w:rPr>
                      <w:rFonts w:hint="eastAsia" w:cs="Times New Roman"/>
                      <w:color w:val="auto"/>
                      <w:highlight w:val="none"/>
                      <w:u w:val="single" w:color="auto"/>
                      <w:lang w:val="en-US" w:eastAsia="zh-CN"/>
                    </w:rPr>
                    <w:t>月/次</w:t>
                  </w:r>
                </w:p>
              </w:tc>
              <w:tc>
                <w:tcPr>
                  <w:tcW w:w="2600"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noWrap w:val="0"/>
                  <w:vAlign w:val="center"/>
                </w:tcPr>
                <w:p>
                  <w:pPr>
                    <w:tabs>
                      <w:tab w:val="left" w:pos="2587"/>
                    </w:tabs>
                    <w:jc w:val="center"/>
                    <w:rPr>
                      <w:rFonts w:hint="eastAsia" w:cs="Times New Roman"/>
                      <w:color w:val="auto"/>
                      <w:highlight w:val="none"/>
                      <w:u w:val="single" w:color="auto"/>
                      <w:lang w:val="en-US" w:eastAsia="zh-CN"/>
                    </w:rPr>
                  </w:pPr>
                </w:p>
              </w:tc>
              <w:tc>
                <w:tcPr>
                  <w:tcW w:w="1459" w:type="dxa"/>
                  <w:noWrap w:val="0"/>
                  <w:vAlign w:val="center"/>
                </w:tcPr>
                <w:p>
                  <w:pPr>
                    <w:tabs>
                      <w:tab w:val="left" w:pos="2587"/>
                    </w:tabs>
                    <w:jc w:val="center"/>
                    <w:rPr>
                      <w:rFonts w:hint="default" w:cs="Times New Roman"/>
                      <w:color w:val="auto"/>
                      <w:highlight w:val="none"/>
                      <w:u w:val="single" w:color="auto"/>
                      <w:lang w:val="en-US" w:eastAsia="zh-CN"/>
                    </w:rPr>
                  </w:pPr>
                  <w:r>
                    <w:rPr>
                      <w:rFonts w:hint="eastAsia" w:cs="Times New Roman"/>
                      <w:color w:val="auto"/>
                      <w:highlight w:val="none"/>
                      <w:u w:val="single" w:color="auto"/>
                      <w:lang w:val="en-US" w:eastAsia="zh-CN"/>
                    </w:rPr>
                    <w:t>雨水排放口</w:t>
                  </w:r>
                </w:p>
              </w:tc>
              <w:tc>
                <w:tcPr>
                  <w:tcW w:w="2118" w:type="dxa"/>
                  <w:noWrap w:val="0"/>
                  <w:vAlign w:val="center"/>
                </w:tcPr>
                <w:p>
                  <w:pPr>
                    <w:tabs>
                      <w:tab w:val="left" w:pos="2587"/>
                    </w:tabs>
                    <w:jc w:val="center"/>
                    <w:rPr>
                      <w:rFonts w:hint="default"/>
                      <w:color w:val="auto"/>
                      <w:highlight w:val="none"/>
                      <w:u w:val="single" w:color="auto"/>
                      <w:lang w:val="en-US" w:eastAsia="zh-CN"/>
                    </w:rPr>
                  </w:pPr>
                  <w:r>
                    <w:rPr>
                      <w:rFonts w:hint="eastAsia"/>
                      <w:color w:val="auto"/>
                      <w:highlight w:val="none"/>
                      <w:u w:val="single" w:color="auto"/>
                      <w:lang w:val="en-US" w:eastAsia="zh-CN"/>
                    </w:rPr>
                    <w:t>pH、SS</w:t>
                  </w:r>
                </w:p>
              </w:tc>
              <w:tc>
                <w:tcPr>
                  <w:tcW w:w="1062" w:type="dxa"/>
                  <w:noWrap w:val="0"/>
                  <w:vAlign w:val="center"/>
                </w:tcPr>
                <w:p>
                  <w:pPr>
                    <w:tabs>
                      <w:tab w:val="left" w:pos="2587"/>
                    </w:tabs>
                    <w:jc w:val="center"/>
                    <w:rPr>
                      <w:rFonts w:hint="eastAsia" w:cs="Times New Roman"/>
                      <w:color w:val="auto"/>
                      <w:highlight w:val="none"/>
                      <w:u w:val="single" w:color="auto"/>
                      <w:lang w:val="en-US" w:eastAsia="zh-CN"/>
                    </w:rPr>
                  </w:pPr>
                  <w:r>
                    <w:rPr>
                      <w:rFonts w:hint="eastAsia" w:cs="Times New Roman"/>
                      <w:color w:val="auto"/>
                      <w:highlight w:val="none"/>
                      <w:u w:val="single" w:color="auto"/>
                      <w:lang w:val="en-US" w:eastAsia="zh-CN"/>
                    </w:rPr>
                    <w:t>季度/次</w:t>
                  </w:r>
                </w:p>
              </w:tc>
              <w:tc>
                <w:tcPr>
                  <w:tcW w:w="2600" w:type="dxa"/>
                  <w:noWrap w:val="0"/>
                  <w:vAlign w:val="center"/>
                </w:tcPr>
                <w:p>
                  <w:pPr>
                    <w:tabs>
                      <w:tab w:val="left" w:pos="2587"/>
                    </w:tabs>
                    <w:jc w:val="center"/>
                    <w:rPr>
                      <w:rFonts w:hint="default" w:cs="Times New Roman"/>
                      <w:color w:val="auto"/>
                      <w:highlight w:val="none"/>
                      <w:u w:val="single" w:color="auto"/>
                      <w:lang w:val="en-US" w:eastAsia="zh-CN"/>
                    </w:rPr>
                  </w:pPr>
                  <w:r>
                    <w:rPr>
                      <w:rFonts w:hint="eastAsia" w:cs="Times New Roman"/>
                      <w:color w:val="auto"/>
                      <w:highlight w:val="none"/>
                      <w:u w:val="single" w:color="auto"/>
                      <w:lang w:val="en-US" w:eastAsia="zh-CN"/>
                    </w:rPr>
                    <w:t>/</w:t>
                  </w:r>
                </w:p>
              </w:tc>
            </w:tr>
          </w:tbl>
          <w:p>
            <w:pPr>
              <w:pStyle w:val="25"/>
              <w:widowControl w:val="0"/>
              <w:autoSpaceDE w:val="0"/>
              <w:autoSpaceDN w:val="0"/>
              <w:adjustRightInd w:val="0"/>
              <w:spacing w:before="0" w:beforeAutospacing="0" w:after="0" w:afterAutospacing="0" w:line="360" w:lineRule="auto"/>
              <w:ind w:firstLine="482" w:firstLineChars="200"/>
              <w:rPr>
                <w:rFonts w:hint="eastAsia" w:ascii="Times New Roman" w:hAnsi="Times New Roman"/>
                <w:b/>
                <w:bCs/>
                <w:color w:val="auto"/>
                <w:sz w:val="24"/>
                <w:szCs w:val="24"/>
                <w:highlight w:val="none"/>
                <w:u w:val="none" w:color="auto"/>
                <w:lang w:val="en-US" w:eastAsia="zh-CN"/>
              </w:rPr>
            </w:pPr>
            <w:r>
              <w:rPr>
                <w:rFonts w:hint="eastAsia" w:ascii="Times New Roman" w:hAnsi="Times New Roman"/>
                <w:b/>
                <w:bCs/>
                <w:color w:val="auto"/>
                <w:sz w:val="24"/>
                <w:szCs w:val="24"/>
                <w:highlight w:val="none"/>
                <w:u w:val="none" w:color="auto"/>
                <w:lang w:val="en-US" w:eastAsia="zh-CN"/>
              </w:rPr>
              <w:t>4.4噪声污染分析</w:t>
            </w:r>
          </w:p>
          <w:p>
            <w:pPr>
              <w:pStyle w:val="25"/>
              <w:widowControl w:val="0"/>
              <w:autoSpaceDE w:val="0"/>
              <w:autoSpaceDN w:val="0"/>
              <w:adjustRightInd w:val="0"/>
              <w:spacing w:before="0" w:beforeAutospacing="0" w:after="0" w:afterAutospacing="0" w:line="360" w:lineRule="auto"/>
              <w:ind w:firstLine="482" w:firstLineChars="200"/>
              <w:rPr>
                <w:rFonts w:ascii="Times New Roman" w:hAnsi="Times New Roman"/>
                <w:b/>
                <w:bCs/>
                <w:color w:val="auto"/>
                <w:sz w:val="24"/>
                <w:szCs w:val="24"/>
                <w:highlight w:val="none"/>
                <w:u w:val="none" w:color="auto"/>
                <w:lang w:val="en-US" w:eastAsia="zh-CN"/>
              </w:rPr>
            </w:pPr>
            <w:r>
              <w:rPr>
                <w:rFonts w:hint="eastAsia" w:ascii="Times New Roman" w:hAnsi="Times New Roman"/>
                <w:b/>
                <w:bCs/>
                <w:color w:val="auto"/>
                <w:sz w:val="24"/>
                <w:szCs w:val="24"/>
                <w:highlight w:val="none"/>
                <w:u w:val="none" w:color="auto"/>
                <w:lang w:val="en-US" w:eastAsia="zh-CN"/>
              </w:rPr>
              <w:t>4.4</w:t>
            </w:r>
            <w:r>
              <w:rPr>
                <w:rFonts w:ascii="Times New Roman" w:hAnsi="Times New Roman"/>
                <w:b/>
                <w:bCs/>
                <w:color w:val="auto"/>
                <w:sz w:val="24"/>
                <w:szCs w:val="24"/>
                <w:highlight w:val="none"/>
                <w:u w:val="none" w:color="auto"/>
                <w:lang w:val="en-US" w:eastAsia="zh-CN"/>
              </w:rPr>
              <w:t>.1项目噪声源强</w:t>
            </w:r>
          </w:p>
          <w:p>
            <w:pPr>
              <w:spacing w:line="360" w:lineRule="auto"/>
              <w:ind w:firstLine="480" w:firstLineChars="200"/>
              <w:rPr>
                <w:rFonts w:hint="default" w:ascii="Times New Roman" w:hAnsi="Times New Roman" w:cs="Times New Roman"/>
                <w:color w:val="auto"/>
                <w:sz w:val="24"/>
                <w:szCs w:val="24"/>
                <w:highlight w:val="none"/>
                <w:u w:val="none" w:color="auto"/>
                <w:lang w:bidi="ar"/>
              </w:rPr>
            </w:pPr>
            <w:r>
              <w:rPr>
                <w:rFonts w:hint="default" w:ascii="Times New Roman" w:hAnsi="Times New Roman" w:cs="Times New Roman"/>
                <w:color w:val="auto"/>
                <w:sz w:val="24"/>
                <w:szCs w:val="24"/>
                <w:highlight w:val="none"/>
                <w:u w:val="none" w:color="auto"/>
                <w:lang w:bidi="ar"/>
              </w:rPr>
              <w:t>项目主要噪声源有</w:t>
            </w:r>
            <w:r>
              <w:rPr>
                <w:rFonts w:hint="eastAsia" w:ascii="Times New Roman" w:hAnsi="Times New Roman" w:cs="Times New Roman"/>
                <w:color w:val="auto"/>
                <w:sz w:val="24"/>
                <w:szCs w:val="24"/>
                <w:highlight w:val="none"/>
                <w:u w:val="none" w:color="auto"/>
                <w:lang w:eastAsia="zh-CN" w:bidi="ar"/>
              </w:rPr>
              <w:t>拉丝机、退火炉、空压机</w:t>
            </w:r>
            <w:r>
              <w:rPr>
                <w:rFonts w:hint="default" w:ascii="Times New Roman" w:hAnsi="Times New Roman" w:cs="Times New Roman"/>
                <w:color w:val="auto"/>
                <w:sz w:val="24"/>
                <w:szCs w:val="24"/>
                <w:highlight w:val="none"/>
                <w:u w:val="none" w:color="auto"/>
                <w:lang w:bidi="ar"/>
              </w:rPr>
              <w:t>等设备，根据同类项目设备的类比调查，要噪声源设备单台噪声源为</w:t>
            </w:r>
            <w:r>
              <w:rPr>
                <w:rFonts w:hint="eastAsia" w:ascii="Times New Roman" w:hAnsi="Times New Roman" w:cs="Times New Roman"/>
                <w:color w:val="auto"/>
                <w:sz w:val="24"/>
                <w:szCs w:val="24"/>
                <w:highlight w:val="none"/>
                <w:u w:val="none" w:color="auto"/>
                <w:lang w:val="en-US" w:eastAsia="zh-CN" w:bidi="ar"/>
              </w:rPr>
              <w:t>70~85</w:t>
            </w:r>
            <w:r>
              <w:rPr>
                <w:rFonts w:hint="default" w:ascii="Times New Roman" w:hAnsi="Times New Roman" w:cs="Times New Roman"/>
                <w:color w:val="auto"/>
                <w:sz w:val="24"/>
                <w:szCs w:val="24"/>
                <w:highlight w:val="none"/>
                <w:u w:val="none" w:color="auto"/>
                <w:lang w:bidi="ar"/>
              </w:rPr>
              <w:t>dB（A）。</w:t>
            </w:r>
          </w:p>
          <w:p>
            <w:pPr>
              <w:spacing w:line="360" w:lineRule="auto"/>
              <w:ind w:firstLine="480" w:firstLineChars="200"/>
              <w:rPr>
                <w:rFonts w:hint="default" w:ascii="Times New Roman" w:hAnsi="Times New Roman" w:cs="Times New Roman"/>
                <w:color w:val="auto"/>
                <w:sz w:val="24"/>
                <w:szCs w:val="24"/>
                <w:highlight w:val="none"/>
                <w:u w:val="none" w:color="auto"/>
                <w:lang w:bidi="ar"/>
              </w:rPr>
            </w:pPr>
            <w:r>
              <w:rPr>
                <w:rFonts w:hint="default" w:ascii="Times New Roman" w:hAnsi="Times New Roman" w:cs="Times New Roman"/>
                <w:color w:val="auto"/>
                <w:sz w:val="24"/>
                <w:szCs w:val="24"/>
                <w:highlight w:val="none"/>
                <w:u w:val="none" w:color="auto"/>
                <w:lang w:bidi="ar"/>
              </w:rPr>
              <w:t>根据现场调查，建设单位采取如下降噪措施：</w:t>
            </w:r>
          </w:p>
          <w:p>
            <w:pPr>
              <w:spacing w:line="360" w:lineRule="auto"/>
              <w:ind w:firstLine="480" w:firstLineChars="200"/>
              <w:rPr>
                <w:rFonts w:hint="default" w:ascii="Times New Roman" w:hAnsi="Times New Roman" w:cs="Times New Roman"/>
                <w:color w:val="auto"/>
                <w:sz w:val="24"/>
                <w:szCs w:val="24"/>
                <w:highlight w:val="none"/>
                <w:u w:val="none" w:color="auto"/>
                <w:lang w:bidi="ar"/>
              </w:rPr>
            </w:pPr>
            <w:r>
              <w:rPr>
                <w:rFonts w:hint="default" w:ascii="Times New Roman" w:hAnsi="Times New Roman" w:cs="Times New Roman"/>
                <w:color w:val="auto"/>
                <w:sz w:val="24"/>
                <w:szCs w:val="24"/>
                <w:highlight w:val="none"/>
                <w:u w:val="none" w:color="auto"/>
                <w:lang w:bidi="ar"/>
              </w:rPr>
              <w:t>①厂房合理布局，各类设备均设置在室内。</w:t>
            </w:r>
          </w:p>
          <w:p>
            <w:pPr>
              <w:spacing w:line="360" w:lineRule="auto"/>
              <w:ind w:firstLine="480" w:firstLineChars="200"/>
              <w:rPr>
                <w:rFonts w:hint="default" w:ascii="Times New Roman" w:hAnsi="Times New Roman" w:cs="Times New Roman"/>
                <w:color w:val="auto"/>
                <w:sz w:val="24"/>
                <w:szCs w:val="24"/>
                <w:highlight w:val="none"/>
                <w:u w:val="none" w:color="auto"/>
                <w:lang w:bidi="ar"/>
              </w:rPr>
            </w:pPr>
            <w:r>
              <w:rPr>
                <w:rFonts w:hint="default" w:ascii="Times New Roman" w:hAnsi="Times New Roman" w:cs="Times New Roman"/>
                <w:color w:val="auto"/>
                <w:sz w:val="24"/>
                <w:szCs w:val="24"/>
                <w:highlight w:val="none"/>
                <w:u w:val="none" w:color="auto"/>
                <w:lang w:bidi="ar"/>
              </w:rPr>
              <w:t>②设备选型时采用低噪设备；</w:t>
            </w:r>
          </w:p>
          <w:p>
            <w:pPr>
              <w:spacing w:line="360" w:lineRule="auto"/>
              <w:ind w:firstLine="480" w:firstLineChars="200"/>
              <w:rPr>
                <w:rFonts w:hint="default" w:ascii="Times New Roman" w:hAnsi="Times New Roman" w:cs="Times New Roman"/>
                <w:color w:val="auto"/>
                <w:sz w:val="24"/>
                <w:szCs w:val="24"/>
                <w:highlight w:val="none"/>
                <w:u w:val="none" w:color="auto"/>
                <w:lang w:bidi="ar"/>
              </w:rPr>
            </w:pPr>
            <w:r>
              <w:rPr>
                <w:rFonts w:hint="default" w:ascii="Times New Roman" w:hAnsi="Times New Roman" w:cs="Times New Roman"/>
                <w:color w:val="auto"/>
                <w:sz w:val="24"/>
                <w:szCs w:val="24"/>
                <w:highlight w:val="none"/>
                <w:u w:val="none" w:color="auto"/>
                <w:lang w:bidi="ar"/>
              </w:rPr>
              <w:t>③对于噪声源强相对较高的设备底座安装减震基座、垫橡胶圈。</w:t>
            </w:r>
          </w:p>
          <w:p>
            <w:pPr>
              <w:spacing w:line="360" w:lineRule="auto"/>
              <w:ind w:firstLine="480" w:firstLineChars="200"/>
              <w:rPr>
                <w:rFonts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lang w:bidi="ar"/>
              </w:rPr>
              <w:t>④加强对企业操作人员的业务管理，加强设备的维护，确保设备处于良好的运转状态，杜绝设备不正常运转产生的高噪声现象。</w:t>
            </w:r>
            <w:r>
              <w:rPr>
                <w:rFonts w:hint="default"/>
                <w:color w:val="auto"/>
                <w:spacing w:val="0"/>
                <w:kern w:val="0"/>
                <w:sz w:val="24"/>
                <w:szCs w:val="24"/>
                <w:highlight w:val="none"/>
                <w:u w:val="none" w:color="auto"/>
              </w:rPr>
              <w:t>其噪声源强见表4</w:t>
            </w:r>
            <w:r>
              <w:rPr>
                <w:rFonts w:hint="eastAsia"/>
                <w:color w:val="auto"/>
                <w:spacing w:val="0"/>
                <w:kern w:val="0"/>
                <w:sz w:val="24"/>
                <w:szCs w:val="24"/>
                <w:highlight w:val="none"/>
                <w:u w:val="none" w:color="auto"/>
                <w:lang w:val="en-US" w:eastAsia="zh-CN"/>
              </w:rPr>
              <w:t>.4-1</w:t>
            </w:r>
            <w:r>
              <w:rPr>
                <w:rFonts w:hint="default"/>
                <w:color w:val="auto"/>
                <w:spacing w:val="0"/>
                <w:kern w:val="0"/>
                <w:sz w:val="24"/>
                <w:szCs w:val="24"/>
                <w:highlight w:val="none"/>
                <w:u w:val="none" w:color="auto"/>
              </w:rPr>
              <w:t>。</w:t>
            </w:r>
          </w:p>
          <w:p>
            <w:pPr>
              <w:pStyle w:val="25"/>
              <w:spacing w:before="0" w:beforeAutospacing="0" w:after="0" w:afterAutospacing="0"/>
              <w:ind w:firstLine="482"/>
              <w:jc w:val="center"/>
              <w:rPr>
                <w:rFonts w:ascii="Times New Roman" w:hAnsi="Times New Roman"/>
                <w:b/>
                <w:color w:val="auto"/>
                <w:kern w:val="2"/>
                <w:sz w:val="21"/>
                <w:szCs w:val="21"/>
                <w:highlight w:val="none"/>
                <w:u w:val="none" w:color="auto"/>
                <w:lang w:val="en-US" w:eastAsia="zh-CN" w:bidi="ar"/>
              </w:rPr>
            </w:pPr>
            <w:r>
              <w:rPr>
                <w:rFonts w:ascii="Times New Roman" w:hAnsi="Times New Roman"/>
                <w:b/>
                <w:color w:val="auto"/>
                <w:kern w:val="2"/>
                <w:sz w:val="24"/>
                <w:szCs w:val="24"/>
                <w:highlight w:val="none"/>
                <w:u w:val="none" w:color="auto"/>
                <w:lang w:val="en-US" w:eastAsia="zh-CN" w:bidi="ar"/>
              </w:rPr>
              <w:t>表</w:t>
            </w:r>
            <w:r>
              <w:rPr>
                <w:rFonts w:hint="eastAsia" w:ascii="Times New Roman" w:hAnsi="Times New Roman"/>
                <w:b/>
                <w:color w:val="auto"/>
                <w:kern w:val="2"/>
                <w:sz w:val="24"/>
                <w:szCs w:val="24"/>
                <w:highlight w:val="none"/>
                <w:u w:val="none" w:color="auto"/>
                <w:lang w:val="en-US" w:eastAsia="zh-CN" w:bidi="ar"/>
              </w:rPr>
              <w:t>4.4-1</w:t>
            </w:r>
            <w:r>
              <w:rPr>
                <w:rFonts w:ascii="Times New Roman" w:hAnsi="Times New Roman"/>
                <w:b/>
                <w:color w:val="auto"/>
                <w:kern w:val="2"/>
                <w:sz w:val="24"/>
                <w:szCs w:val="24"/>
                <w:highlight w:val="none"/>
                <w:u w:val="none" w:color="auto"/>
                <w:lang w:val="en-US" w:eastAsia="zh-CN" w:bidi="ar"/>
              </w:rPr>
              <w:t>本项目噪声源强及降噪措施汇总表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975"/>
              <w:gridCol w:w="1170"/>
              <w:gridCol w:w="1620"/>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b/>
                      <w:color w:val="auto"/>
                      <w:sz w:val="21"/>
                      <w:szCs w:val="21"/>
                      <w:highlight w:val="none"/>
                      <w:u w:val="none" w:color="auto"/>
                      <w:lang w:val="en-US" w:eastAsia="zh-CN"/>
                    </w:rPr>
                  </w:pPr>
                  <w:r>
                    <w:rPr>
                      <w:rFonts w:ascii="Times New Roman" w:hAnsi="Times New Roman"/>
                      <w:b/>
                      <w:color w:val="auto"/>
                      <w:sz w:val="21"/>
                      <w:szCs w:val="21"/>
                      <w:highlight w:val="none"/>
                      <w:u w:val="none" w:color="auto"/>
                      <w:lang w:val="en-US" w:eastAsia="zh-CN" w:bidi="ar"/>
                    </w:rPr>
                    <w:t>设备名称</w:t>
                  </w:r>
                </w:p>
              </w:tc>
              <w:tc>
                <w:tcPr>
                  <w:tcW w:w="97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color w:val="auto"/>
                      <w:sz w:val="21"/>
                      <w:szCs w:val="21"/>
                      <w:highlight w:val="none"/>
                      <w:u w:val="none" w:color="auto"/>
                      <w:lang w:val="en-US" w:eastAsia="zh-CN"/>
                    </w:rPr>
                  </w:pPr>
                  <w:r>
                    <w:rPr>
                      <w:rFonts w:ascii="Times New Roman" w:hAnsi="Times New Roman"/>
                      <w:b/>
                      <w:color w:val="auto"/>
                      <w:sz w:val="21"/>
                      <w:szCs w:val="21"/>
                      <w:highlight w:val="none"/>
                      <w:u w:val="none" w:color="auto"/>
                      <w:lang w:val="en-US" w:eastAsia="zh-CN" w:bidi="ar"/>
                    </w:rPr>
                    <w:t>数量</w:t>
                  </w:r>
                  <w:r>
                    <w:rPr>
                      <w:rFonts w:hint="eastAsia" w:ascii="Times New Roman" w:hAnsi="Times New Roman"/>
                      <w:b/>
                      <w:color w:val="auto"/>
                      <w:sz w:val="21"/>
                      <w:szCs w:val="21"/>
                      <w:highlight w:val="none"/>
                      <w:u w:val="none" w:color="auto"/>
                      <w:lang w:val="en-US" w:eastAsia="zh-CN" w:bidi="ar"/>
                    </w:rPr>
                    <w:t>/台</w:t>
                  </w:r>
                </w:p>
              </w:tc>
              <w:tc>
                <w:tcPr>
                  <w:tcW w:w="1170"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b/>
                      <w:color w:val="auto"/>
                      <w:sz w:val="21"/>
                      <w:szCs w:val="21"/>
                      <w:highlight w:val="none"/>
                      <w:u w:val="none" w:color="auto"/>
                      <w:lang w:val="en-US" w:eastAsia="zh-CN" w:bidi="ar"/>
                    </w:rPr>
                  </w:pPr>
                  <w:r>
                    <w:rPr>
                      <w:rFonts w:hint="eastAsia" w:ascii="Times New Roman" w:hAnsi="Times New Roman"/>
                      <w:b/>
                      <w:color w:val="auto"/>
                      <w:sz w:val="21"/>
                      <w:szCs w:val="21"/>
                      <w:highlight w:val="none"/>
                      <w:u w:val="none" w:color="auto"/>
                      <w:lang w:val="en-US" w:eastAsia="zh-CN" w:bidi="ar"/>
                    </w:rPr>
                    <w:t>声源类型</w:t>
                  </w:r>
                </w:p>
              </w:tc>
              <w:tc>
                <w:tcPr>
                  <w:tcW w:w="1620"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b/>
                      <w:color w:val="auto"/>
                      <w:sz w:val="21"/>
                      <w:szCs w:val="21"/>
                      <w:highlight w:val="none"/>
                      <w:u w:val="none" w:color="auto"/>
                      <w:lang w:val="en-US" w:eastAsia="zh-CN"/>
                    </w:rPr>
                  </w:pPr>
                  <w:r>
                    <w:rPr>
                      <w:rFonts w:ascii="Times New Roman" w:hAnsi="Times New Roman"/>
                      <w:b/>
                      <w:color w:val="auto"/>
                      <w:sz w:val="21"/>
                      <w:szCs w:val="21"/>
                      <w:highlight w:val="none"/>
                      <w:u w:val="none" w:color="auto"/>
                      <w:lang w:val="en-US" w:eastAsia="zh-CN" w:bidi="ar"/>
                    </w:rPr>
                    <w:t>源强</w:t>
                  </w:r>
                  <w:r>
                    <w:rPr>
                      <w:rFonts w:hint="eastAsia" w:ascii="Times New Roman" w:hAnsi="Times New Roman"/>
                      <w:b/>
                      <w:color w:val="auto"/>
                      <w:sz w:val="21"/>
                      <w:szCs w:val="21"/>
                      <w:highlight w:val="none"/>
                      <w:u w:val="none" w:color="auto"/>
                      <w:lang w:val="en-US" w:eastAsia="zh-CN" w:bidi="ar"/>
                    </w:rPr>
                    <w:t>（</w:t>
                  </w:r>
                  <w:r>
                    <w:rPr>
                      <w:rFonts w:ascii="Times New Roman" w:hAnsi="Times New Roman"/>
                      <w:b/>
                      <w:color w:val="auto"/>
                      <w:kern w:val="2"/>
                      <w:sz w:val="21"/>
                      <w:szCs w:val="21"/>
                      <w:highlight w:val="none"/>
                      <w:u w:val="none" w:color="auto"/>
                      <w:lang w:val="en-US" w:eastAsia="zh-CN" w:bidi="ar"/>
                    </w:rPr>
                    <w:t>dB(A)</w:t>
                  </w:r>
                  <w:r>
                    <w:rPr>
                      <w:rFonts w:hint="eastAsia" w:ascii="Times New Roman" w:hAnsi="Times New Roman"/>
                      <w:b/>
                      <w:color w:val="auto"/>
                      <w:sz w:val="21"/>
                      <w:szCs w:val="21"/>
                      <w:highlight w:val="none"/>
                      <w:u w:val="none" w:color="auto"/>
                      <w:lang w:val="en-US" w:eastAsia="zh-CN" w:bidi="ar"/>
                    </w:rPr>
                    <w:t>）</w:t>
                  </w:r>
                </w:p>
              </w:tc>
              <w:tc>
                <w:tcPr>
                  <w:tcW w:w="1891"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color w:val="auto"/>
                      <w:sz w:val="21"/>
                      <w:szCs w:val="21"/>
                      <w:highlight w:val="none"/>
                      <w:u w:val="none" w:color="auto"/>
                      <w:lang w:val="en-US" w:eastAsia="zh-CN" w:bidi="ar"/>
                    </w:rPr>
                  </w:pPr>
                  <w:r>
                    <w:rPr>
                      <w:rFonts w:hint="eastAsia" w:ascii="Times New Roman" w:hAnsi="Times New Roman"/>
                      <w:b/>
                      <w:color w:val="auto"/>
                      <w:sz w:val="21"/>
                      <w:szCs w:val="21"/>
                      <w:highlight w:val="none"/>
                      <w:u w:val="none" w:color="auto"/>
                      <w:lang w:val="en-US" w:eastAsia="zh-CN" w:bidi="ar"/>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280" w:type="dxa"/>
                  <w:noWrap w:val="0"/>
                  <w:vAlign w:val="center"/>
                </w:tcPr>
                <w:p>
                  <w:pPr>
                    <w:spacing w:line="240" w:lineRule="auto"/>
                    <w:jc w:val="center"/>
                    <w:rPr>
                      <w:rFonts w:hint="eastAsia" w:eastAsia="宋体"/>
                      <w:color w:val="auto"/>
                      <w:szCs w:val="21"/>
                      <w:highlight w:val="none"/>
                      <w:u w:val="none" w:color="auto"/>
                      <w:lang w:eastAsia="zh-CN"/>
                    </w:rPr>
                  </w:pPr>
                  <w:r>
                    <w:rPr>
                      <w:rFonts w:hAnsi="宋体"/>
                      <w:color w:val="auto"/>
                      <w:szCs w:val="21"/>
                      <w:u w:val="none"/>
                    </w:rPr>
                    <w:t>收线机</w:t>
                  </w:r>
                </w:p>
              </w:tc>
              <w:tc>
                <w:tcPr>
                  <w:tcW w:w="975" w:type="dxa"/>
                  <w:noWrap w:val="0"/>
                  <w:vAlign w:val="center"/>
                </w:tcPr>
                <w:p>
                  <w:pPr>
                    <w:spacing w:line="240" w:lineRule="auto"/>
                    <w:jc w:val="center"/>
                    <w:rPr>
                      <w:rFonts w:hint="eastAsia" w:eastAsia="宋体"/>
                      <w:color w:val="auto"/>
                      <w:kern w:val="0"/>
                      <w:szCs w:val="21"/>
                      <w:highlight w:val="none"/>
                      <w:u w:val="none" w:color="auto"/>
                      <w:lang w:eastAsia="zh-CN"/>
                    </w:rPr>
                  </w:pPr>
                  <w:r>
                    <w:rPr>
                      <w:rFonts w:hint="eastAsia" w:ascii="Times New Roman" w:hAnsi="Times New Roman" w:eastAsia="宋体" w:cs="Times New Roman"/>
                      <w:b w:val="0"/>
                      <w:bCs w:val="0"/>
                      <w:color w:val="auto"/>
                      <w:kern w:val="0"/>
                      <w:szCs w:val="21"/>
                      <w:u w:val="none"/>
                      <w:lang w:val="en-US" w:eastAsia="zh-CN" w:bidi="ar"/>
                    </w:rPr>
                    <w:t>4</w:t>
                  </w:r>
                </w:p>
              </w:tc>
              <w:tc>
                <w:tcPr>
                  <w:tcW w:w="1170" w:type="dxa"/>
                  <w:noWrap w:val="0"/>
                  <w:vAlign w:val="center"/>
                </w:tcPr>
                <w:p>
                  <w:pPr>
                    <w:jc w:val="center"/>
                    <w:rPr>
                      <w:rFonts w:hint="eastAsia"/>
                      <w:color w:val="auto"/>
                      <w:szCs w:val="21"/>
                      <w:highlight w:val="none"/>
                      <w:u w:val="none" w:color="auto"/>
                      <w:lang w:bidi="ar"/>
                    </w:rPr>
                  </w:pPr>
                  <w:r>
                    <w:rPr>
                      <w:rFonts w:hint="eastAsia"/>
                      <w:color w:val="auto"/>
                      <w:szCs w:val="21"/>
                      <w:highlight w:val="none"/>
                      <w:u w:val="none" w:color="auto"/>
                      <w:lang w:bidi="ar"/>
                    </w:rPr>
                    <w:t>频发</w:t>
                  </w:r>
                </w:p>
              </w:tc>
              <w:tc>
                <w:tcPr>
                  <w:tcW w:w="1620" w:type="dxa"/>
                  <w:noWrap w:val="0"/>
                  <w:vAlign w:val="center"/>
                </w:tcPr>
                <w:p>
                  <w:pPr>
                    <w:jc w:val="center"/>
                    <w:rPr>
                      <w:rFonts w:hint="default" w:ascii="Times New Roman" w:hAnsi="Times New Roman"/>
                      <w:color w:val="auto"/>
                      <w:sz w:val="21"/>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restart"/>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sz w:val="21"/>
                      <w:szCs w:val="21"/>
                      <w:highlight w:val="none"/>
                      <w:u w:val="none" w:color="auto"/>
                      <w:lang w:val="en-US" w:eastAsia="zh-CN"/>
                    </w:rPr>
                  </w:pPr>
                  <w:r>
                    <w:rPr>
                      <w:rFonts w:hint="eastAsia" w:ascii="Times New Roman" w:hAnsi="Times New Roman"/>
                      <w:color w:val="auto"/>
                      <w:sz w:val="21"/>
                      <w:szCs w:val="21"/>
                      <w:highlight w:val="none"/>
                      <w:u w:val="none" w:color="auto"/>
                      <w:lang w:val="en-US" w:eastAsia="zh-CN"/>
                    </w:rPr>
                    <w:t>≤7920h/a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280" w:type="dxa"/>
                  <w:noWrap w:val="0"/>
                  <w:vAlign w:val="center"/>
                </w:tcPr>
                <w:p>
                  <w:pPr>
                    <w:spacing w:line="240" w:lineRule="auto"/>
                    <w:jc w:val="center"/>
                    <w:rPr>
                      <w:rFonts w:hint="eastAsia" w:ascii="宋体" w:hAnsi="宋体" w:eastAsia="宋体" w:cs="宋体"/>
                      <w:color w:val="auto"/>
                      <w:szCs w:val="21"/>
                      <w:highlight w:val="none"/>
                      <w:u w:val="none" w:color="auto"/>
                      <w:lang w:eastAsia="zh-CN" w:bidi="ar"/>
                    </w:rPr>
                  </w:pPr>
                  <w:r>
                    <w:rPr>
                      <w:rFonts w:hint="eastAsia" w:hAnsi="宋体"/>
                      <w:color w:val="auto"/>
                      <w:szCs w:val="21"/>
                      <w:u w:val="none"/>
                      <w:lang w:eastAsia="zh-CN"/>
                    </w:rPr>
                    <w:t>拉丝机</w:t>
                  </w:r>
                </w:p>
              </w:tc>
              <w:tc>
                <w:tcPr>
                  <w:tcW w:w="975" w:type="dxa"/>
                  <w:noWrap w:val="0"/>
                  <w:vAlign w:val="center"/>
                </w:tcPr>
                <w:p>
                  <w:pPr>
                    <w:spacing w:line="240" w:lineRule="auto"/>
                    <w:jc w:val="center"/>
                    <w:rPr>
                      <w:rFonts w:hint="eastAsia"/>
                      <w:color w:val="auto"/>
                      <w:kern w:val="0"/>
                      <w:szCs w:val="21"/>
                      <w:highlight w:val="none"/>
                      <w:u w:val="none" w:color="auto"/>
                      <w:lang w:bidi="ar"/>
                    </w:rPr>
                  </w:pPr>
                  <w:r>
                    <w:rPr>
                      <w:rFonts w:hint="eastAsia" w:cs="Times New Roman"/>
                      <w:b w:val="0"/>
                      <w:bCs w:val="0"/>
                      <w:color w:val="auto"/>
                      <w:kern w:val="0"/>
                      <w:szCs w:val="21"/>
                      <w:u w:val="none"/>
                      <w:lang w:val="en-US" w:eastAsia="zh-CN" w:bidi="ar"/>
                    </w:rPr>
                    <w:t>2</w:t>
                  </w:r>
                </w:p>
              </w:tc>
              <w:tc>
                <w:tcPr>
                  <w:tcW w:w="1170" w:type="dxa"/>
                  <w:noWrap w:val="0"/>
                  <w:vAlign w:val="center"/>
                </w:tcPr>
                <w:p>
                  <w:pPr>
                    <w:jc w:val="center"/>
                    <w:rPr>
                      <w:rFonts w:hint="eastAsia"/>
                      <w:color w:val="auto"/>
                      <w:szCs w:val="21"/>
                      <w:highlight w:val="none"/>
                      <w:u w:val="none" w:color="auto"/>
                      <w:lang w:bidi="ar"/>
                    </w:rPr>
                  </w:pPr>
                  <w:r>
                    <w:rPr>
                      <w:rFonts w:hint="eastAsia"/>
                      <w:color w:val="auto"/>
                      <w:szCs w:val="21"/>
                      <w:highlight w:val="none"/>
                      <w:u w:val="none" w:color="auto"/>
                    </w:rPr>
                    <w:t>频发</w:t>
                  </w:r>
                </w:p>
              </w:tc>
              <w:tc>
                <w:tcPr>
                  <w:tcW w:w="1620" w:type="dxa"/>
                  <w:noWrap w:val="0"/>
                  <w:vAlign w:val="center"/>
                </w:tcPr>
                <w:p>
                  <w:pPr>
                    <w:jc w:val="center"/>
                    <w:rPr>
                      <w:rFonts w:hint="default" w:ascii="Times New Roman" w:hAnsi="Times New Roman"/>
                      <w:color w:val="auto"/>
                      <w:sz w:val="21"/>
                      <w:szCs w:val="21"/>
                      <w:highlight w:val="none"/>
                      <w:u w:val="none" w:color="auto"/>
                      <w:lang w:val="en-US" w:eastAsia="zh-CN" w:bidi="ar"/>
                    </w:rPr>
                  </w:pPr>
                  <w:r>
                    <w:rPr>
                      <w:rFonts w:hint="eastAsia" w:eastAsia="宋体"/>
                      <w:color w:val="auto"/>
                      <w:szCs w:val="21"/>
                      <w:highlight w:val="none"/>
                      <w:u w:val="none" w:color="auto"/>
                      <w:lang w:val="en-US" w:eastAsia="zh-CN" w:bidi="ar"/>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280" w:type="dxa"/>
                  <w:noWrap w:val="0"/>
                  <w:vAlign w:val="center"/>
                </w:tcPr>
                <w:p>
                  <w:pPr>
                    <w:spacing w:line="240" w:lineRule="auto"/>
                    <w:jc w:val="center"/>
                    <w:rPr>
                      <w:rFonts w:hint="eastAsia" w:ascii="宋体" w:hAnsi="宋体" w:eastAsia="宋体" w:cs="宋体"/>
                      <w:color w:val="auto"/>
                      <w:szCs w:val="21"/>
                      <w:highlight w:val="none"/>
                      <w:u w:val="none" w:color="auto"/>
                      <w:lang w:eastAsia="zh-CN" w:bidi="ar"/>
                    </w:rPr>
                  </w:pPr>
                  <w:r>
                    <w:rPr>
                      <w:rFonts w:hint="eastAsia" w:hAnsi="宋体"/>
                      <w:color w:val="auto"/>
                      <w:szCs w:val="21"/>
                      <w:u w:val="none"/>
                      <w:lang w:eastAsia="zh-CN"/>
                    </w:rPr>
                    <w:t>细拉机</w:t>
                  </w:r>
                </w:p>
              </w:tc>
              <w:tc>
                <w:tcPr>
                  <w:tcW w:w="975" w:type="dxa"/>
                  <w:noWrap w:val="0"/>
                  <w:vAlign w:val="center"/>
                </w:tcPr>
                <w:p>
                  <w:pPr>
                    <w:spacing w:line="240" w:lineRule="auto"/>
                    <w:jc w:val="center"/>
                    <w:rPr>
                      <w:rFonts w:hint="eastAsia"/>
                      <w:color w:val="auto"/>
                      <w:kern w:val="0"/>
                      <w:szCs w:val="21"/>
                      <w:highlight w:val="none"/>
                      <w:u w:val="none" w:color="auto"/>
                      <w:lang w:bidi="ar"/>
                    </w:rPr>
                  </w:pPr>
                  <w:r>
                    <w:rPr>
                      <w:rFonts w:hint="eastAsia" w:ascii="Times New Roman" w:hAnsi="Times New Roman" w:eastAsia="宋体" w:cs="Times New Roman"/>
                      <w:b w:val="0"/>
                      <w:bCs w:val="0"/>
                      <w:color w:val="auto"/>
                      <w:kern w:val="0"/>
                      <w:szCs w:val="21"/>
                      <w:u w:val="none"/>
                      <w:lang w:val="en-US" w:eastAsia="zh-CN" w:bidi="ar"/>
                    </w:rPr>
                    <w:t>4</w:t>
                  </w:r>
                </w:p>
              </w:tc>
              <w:tc>
                <w:tcPr>
                  <w:tcW w:w="1170" w:type="dxa"/>
                  <w:noWrap w:val="0"/>
                  <w:vAlign w:val="center"/>
                </w:tcPr>
                <w:p>
                  <w:pPr>
                    <w:jc w:val="center"/>
                    <w:rPr>
                      <w:color w:val="auto"/>
                      <w:szCs w:val="21"/>
                      <w:highlight w:val="none"/>
                      <w:u w:val="none" w:color="auto"/>
                      <w:lang w:bidi="ar"/>
                    </w:rPr>
                  </w:pPr>
                  <w:r>
                    <w:rPr>
                      <w:rFonts w:hint="eastAsia"/>
                      <w:color w:val="auto"/>
                      <w:szCs w:val="21"/>
                      <w:highlight w:val="none"/>
                      <w:u w:val="none" w:color="auto"/>
                    </w:rPr>
                    <w:t>频发</w:t>
                  </w:r>
                </w:p>
              </w:tc>
              <w:tc>
                <w:tcPr>
                  <w:tcW w:w="1620" w:type="dxa"/>
                  <w:noWrap w:val="0"/>
                  <w:vAlign w:val="center"/>
                </w:tcPr>
                <w:p>
                  <w:pPr>
                    <w:jc w:val="center"/>
                    <w:rPr>
                      <w:rFonts w:hint="default" w:ascii="Times New Roman" w:hAnsi="Times New Roman"/>
                      <w:color w:val="auto"/>
                      <w:sz w:val="21"/>
                      <w:szCs w:val="21"/>
                      <w:highlight w:val="none"/>
                      <w:u w:val="none" w:color="auto"/>
                      <w:lang w:val="en-US" w:eastAsia="zh-CN" w:bidi="ar"/>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default" w:ascii="宋体" w:hAnsi="宋体" w:cs="宋体"/>
                      <w:color w:val="auto"/>
                      <w:szCs w:val="21"/>
                      <w:highlight w:val="none"/>
                      <w:u w:val="none" w:color="auto"/>
                      <w:lang w:val="en-US" w:eastAsia="zh-CN" w:bidi="ar"/>
                    </w:rPr>
                  </w:pPr>
                  <w:r>
                    <w:rPr>
                      <w:rFonts w:hAnsi="宋体"/>
                      <w:color w:val="auto"/>
                      <w:szCs w:val="21"/>
                      <w:u w:val="none"/>
                    </w:rPr>
                    <w:t>切丝机</w:t>
                  </w:r>
                </w:p>
              </w:tc>
              <w:tc>
                <w:tcPr>
                  <w:tcW w:w="975" w:type="dxa"/>
                  <w:noWrap w:val="0"/>
                  <w:vAlign w:val="center"/>
                </w:tcPr>
                <w:p>
                  <w:pPr>
                    <w:spacing w:line="240" w:lineRule="auto"/>
                    <w:jc w:val="center"/>
                    <w:rPr>
                      <w:rFonts w:hint="default" w:ascii="Times New Roman" w:hAnsi="Times New Roman" w:eastAsia="宋体" w:cs="Times New Roman"/>
                      <w:b w:val="0"/>
                      <w:bCs w:val="0"/>
                      <w:color w:val="auto"/>
                      <w:highlight w:val="none"/>
                      <w:u w:val="none" w:color="auto"/>
                      <w:lang w:val="en-US" w:eastAsia="zh-CN"/>
                    </w:rPr>
                  </w:pPr>
                  <w:r>
                    <w:rPr>
                      <w:rFonts w:hint="eastAsia" w:ascii="Times New Roman" w:hAnsi="Times New Roman" w:eastAsia="宋体" w:cs="Times New Roman"/>
                      <w:b w:val="0"/>
                      <w:bCs w:val="0"/>
                      <w:color w:val="auto"/>
                      <w:kern w:val="0"/>
                      <w:szCs w:val="21"/>
                      <w:u w:val="none"/>
                      <w:lang w:val="en-US" w:eastAsia="zh-CN" w:bidi="ar"/>
                    </w:rPr>
                    <w:t>6</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ascii="Times New Roman" w:hAnsi="Times New Roman"/>
                      <w:color w:val="auto"/>
                      <w:sz w:val="21"/>
                      <w:szCs w:val="21"/>
                      <w:highlight w:val="none"/>
                      <w:u w:val="none" w:color="auto"/>
                      <w:lang w:val="en-US" w:eastAsia="zh-CN" w:bidi="ar"/>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0" w:type="dxa"/>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退火炉</w:t>
                  </w:r>
                </w:p>
              </w:tc>
              <w:tc>
                <w:tcPr>
                  <w:tcW w:w="975" w:type="dxa"/>
                  <w:noWrap w:val="0"/>
                  <w:vAlign w:val="center"/>
                </w:tcPr>
                <w:p>
                  <w:pPr>
                    <w:spacing w:line="240" w:lineRule="auto"/>
                    <w:jc w:val="center"/>
                    <w:rPr>
                      <w:rFonts w:hint="default" w:ascii="Times New Roman" w:hAnsi="Times New Roman" w:eastAsia="宋体" w:cs="Times New Roman"/>
                      <w:b w:val="0"/>
                      <w:bCs w:val="0"/>
                      <w:color w:val="auto"/>
                      <w:highlight w:val="none"/>
                      <w:u w:val="none" w:color="auto"/>
                      <w:lang w:val="en-US" w:eastAsia="zh-CN"/>
                    </w:rPr>
                  </w:pPr>
                  <w:r>
                    <w:rPr>
                      <w:rFonts w:hint="eastAsia" w:ascii="Times New Roman" w:hAnsi="Times New Roman" w:eastAsia="宋体" w:cs="Times New Roman"/>
                      <w:b w:val="0"/>
                      <w:bCs w:val="0"/>
                      <w:color w:val="auto"/>
                      <w:kern w:val="0"/>
                      <w:szCs w:val="21"/>
                      <w:highlight w:val="none"/>
                      <w:u w:val="none"/>
                      <w:lang w:val="en-US" w:eastAsia="zh-CN" w:bidi="ar"/>
                    </w:rPr>
                    <w:t>1</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85</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val="en-US" w:eastAsia="zh-CN"/>
                    </w:rPr>
                    <w:t>倒立机</w:t>
                  </w:r>
                </w:p>
              </w:tc>
              <w:tc>
                <w:tcPr>
                  <w:tcW w:w="975" w:type="dxa"/>
                  <w:noWrap w:val="0"/>
                  <w:vAlign w:val="center"/>
                </w:tcPr>
                <w:p>
                  <w:pPr>
                    <w:spacing w:line="240" w:lineRule="auto"/>
                    <w:jc w:val="center"/>
                    <w:rPr>
                      <w:rFonts w:hint="default" w:ascii="Times New Roman" w:hAnsi="Times New Roman" w:eastAsia="宋体" w:cs="Times New Roman"/>
                      <w:b w:val="0"/>
                      <w:bCs w:val="0"/>
                      <w:color w:val="auto"/>
                      <w:highlight w:val="none"/>
                      <w:u w:val="none" w:color="auto"/>
                      <w:lang w:val="en-US" w:eastAsia="zh-CN"/>
                    </w:rPr>
                  </w:pPr>
                  <w:r>
                    <w:rPr>
                      <w:rFonts w:hint="eastAsia" w:ascii="Times New Roman" w:hAnsi="Times New Roman" w:eastAsia="宋体" w:cs="Times New Roman"/>
                      <w:b w:val="0"/>
                      <w:bCs w:val="0"/>
                      <w:color w:val="auto"/>
                      <w:kern w:val="0"/>
                      <w:szCs w:val="21"/>
                      <w:highlight w:val="none"/>
                      <w:u w:val="none"/>
                      <w:lang w:val="en-US" w:eastAsia="zh-CN" w:bidi="ar"/>
                    </w:rPr>
                    <w:t>4</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default" w:ascii="宋体" w:hAnsi="宋体" w:cs="宋体"/>
                      <w:color w:val="auto"/>
                      <w:szCs w:val="21"/>
                      <w:highlight w:val="none"/>
                      <w:u w:val="none" w:color="auto"/>
                      <w:lang w:val="en-US" w:eastAsia="zh-CN" w:bidi="ar"/>
                    </w:rPr>
                  </w:pPr>
                  <w:r>
                    <w:rPr>
                      <w:rFonts w:hint="eastAsia" w:hAnsi="宋体"/>
                      <w:color w:val="auto"/>
                      <w:szCs w:val="21"/>
                      <w:highlight w:val="none"/>
                      <w:u w:val="none"/>
                      <w:lang w:val="en-US" w:eastAsia="zh-CN"/>
                    </w:rPr>
                    <w:t>单头机</w:t>
                  </w:r>
                </w:p>
              </w:tc>
              <w:tc>
                <w:tcPr>
                  <w:tcW w:w="975" w:type="dxa"/>
                  <w:noWrap w:val="0"/>
                  <w:vAlign w:val="center"/>
                </w:tcPr>
                <w:p>
                  <w:pPr>
                    <w:spacing w:line="240" w:lineRule="auto"/>
                    <w:jc w:val="center"/>
                    <w:rPr>
                      <w:rFonts w:hint="default" w:ascii="Times New Roman" w:hAnsi="Times New Roman" w:eastAsia="宋体" w:cs="Times New Roman"/>
                      <w:b w:val="0"/>
                      <w:bCs w:val="0"/>
                      <w:color w:val="auto"/>
                      <w:highlight w:val="none"/>
                      <w:u w:val="none" w:color="auto"/>
                      <w:lang w:val="en-US" w:eastAsia="zh-CN"/>
                    </w:rPr>
                  </w:pPr>
                  <w:r>
                    <w:rPr>
                      <w:rFonts w:hint="eastAsia" w:ascii="Times New Roman" w:hAnsi="Times New Roman" w:eastAsia="宋体" w:cs="Times New Roman"/>
                      <w:b w:val="0"/>
                      <w:bCs w:val="0"/>
                      <w:color w:val="auto"/>
                      <w:kern w:val="0"/>
                      <w:szCs w:val="21"/>
                      <w:highlight w:val="none"/>
                      <w:u w:val="none"/>
                      <w:lang w:val="en-US" w:eastAsia="zh-CN" w:bidi="ar"/>
                    </w:rPr>
                    <w:t>3</w:t>
                  </w:r>
                </w:p>
              </w:tc>
              <w:tc>
                <w:tcPr>
                  <w:tcW w:w="1170" w:type="dxa"/>
                  <w:noWrap w:val="0"/>
                  <w:vAlign w:val="center"/>
                </w:tcPr>
                <w:p>
                  <w:pPr>
                    <w:jc w:val="center"/>
                    <w:rPr>
                      <w:rFonts w:hint="eastAsia"/>
                      <w:b/>
                      <w:bCs/>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val="en-US" w:eastAsia="zh-CN"/>
                    </w:rPr>
                    <w:t>清洗机</w:t>
                  </w:r>
                </w:p>
              </w:tc>
              <w:tc>
                <w:tcPr>
                  <w:tcW w:w="975" w:type="dxa"/>
                  <w:noWrap w:val="0"/>
                  <w:vAlign w:val="center"/>
                </w:tcPr>
                <w:p>
                  <w:pPr>
                    <w:spacing w:line="240" w:lineRule="auto"/>
                    <w:jc w:val="center"/>
                    <w:rPr>
                      <w:rFonts w:hint="eastAsia"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kern w:val="0"/>
                      <w:szCs w:val="21"/>
                      <w:highlight w:val="none"/>
                      <w:u w:val="none"/>
                      <w:lang w:val="en-US" w:eastAsia="zh-CN" w:bidi="ar"/>
                    </w:rPr>
                    <w:t>6</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联合纵剪机（分条机）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hAnsi="宋体"/>
                      <w:color w:val="auto"/>
                      <w:szCs w:val="21"/>
                      <w:highlight w:val="none"/>
                      <w:u w:val="none"/>
                      <w:lang w:val="en-US" w:eastAsia="zh-CN"/>
                    </w:rPr>
                    <w:t>3</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轧丝机（成型机）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hAnsi="宋体"/>
                      <w:color w:val="auto"/>
                      <w:szCs w:val="21"/>
                      <w:highlight w:val="none"/>
                      <w:u w:val="none"/>
                      <w:lang w:val="en-US" w:eastAsia="zh-CN"/>
                    </w:rPr>
                    <w:t>8</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拉丝机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hAnsi="宋体"/>
                      <w:color w:val="auto"/>
                      <w:szCs w:val="21"/>
                      <w:highlight w:val="none"/>
                      <w:u w:val="none"/>
                      <w:lang w:val="en-US" w:eastAsia="zh-CN"/>
                    </w:rPr>
                    <w:t>20</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val="en-US" w:eastAsia="zh-CN"/>
                    </w:rPr>
                    <w:t>钢带复绕机</w:t>
                  </w:r>
                </w:p>
              </w:tc>
              <w:tc>
                <w:tcPr>
                  <w:tcW w:w="975" w:type="dxa"/>
                  <w:noWrap w:val="0"/>
                  <w:vAlign w:val="center"/>
                </w:tcPr>
                <w:p>
                  <w:pPr>
                    <w:spacing w:line="240" w:lineRule="auto"/>
                    <w:jc w:val="center"/>
                    <w:rPr>
                      <w:rFonts w:hint="default" w:cs="Times New Roman"/>
                      <w:b w:val="0"/>
                      <w:bCs w:val="0"/>
                      <w:color w:val="auto"/>
                      <w:kern w:val="0"/>
                      <w:szCs w:val="21"/>
                      <w:highlight w:val="none"/>
                      <w:u w:val="none"/>
                      <w:lang w:val="en-US" w:eastAsia="zh-CN" w:bidi="ar"/>
                    </w:rPr>
                  </w:pPr>
                  <w:r>
                    <w:rPr>
                      <w:rFonts w:hint="eastAsia" w:cs="Times New Roman"/>
                      <w:b w:val="0"/>
                      <w:bCs w:val="0"/>
                      <w:color w:val="auto"/>
                      <w:kern w:val="0"/>
                      <w:szCs w:val="21"/>
                      <w:highlight w:val="none"/>
                      <w:u w:val="none"/>
                      <w:lang w:val="en-US" w:eastAsia="zh-CN" w:bidi="ar"/>
                    </w:rPr>
                    <w:t>4</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多联拉丝机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hAnsi="宋体"/>
                      <w:color w:val="auto"/>
                      <w:szCs w:val="21"/>
                      <w:highlight w:val="none"/>
                      <w:u w:val="none"/>
                      <w:lang w:val="en-US" w:eastAsia="zh-CN"/>
                    </w:rPr>
                    <w:t>2</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切丝机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hAnsi="宋体"/>
                      <w:color w:val="auto"/>
                      <w:szCs w:val="21"/>
                      <w:highlight w:val="none"/>
                      <w:u w:val="none"/>
                      <w:lang w:val="en-US" w:eastAsia="zh-CN"/>
                    </w:rPr>
                    <w:t>6</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打团机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cs="Times New Roman"/>
                      <w:color w:val="auto"/>
                      <w:szCs w:val="21"/>
                      <w:lang w:val="en-US" w:eastAsia="zh-CN"/>
                    </w:rPr>
                    <w:t>2</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80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val="en-US" w:eastAsia="zh-CN"/>
                    </w:rPr>
                  </w:pPr>
                  <w:r>
                    <w:rPr>
                      <w:rFonts w:hint="eastAsia" w:hAnsi="宋体"/>
                      <w:color w:val="auto"/>
                      <w:szCs w:val="21"/>
                      <w:highlight w:val="none"/>
                      <w:u w:val="none"/>
                      <w:lang w:eastAsia="zh-CN"/>
                    </w:rPr>
                    <w:t>自动打包机</w:t>
                  </w:r>
                </w:p>
              </w:tc>
              <w:tc>
                <w:tcPr>
                  <w:tcW w:w="975" w:type="dxa"/>
                  <w:noWrap w:val="0"/>
                  <w:vAlign w:val="center"/>
                </w:tcPr>
                <w:p>
                  <w:pPr>
                    <w:spacing w:line="240" w:lineRule="auto"/>
                    <w:jc w:val="center"/>
                    <w:rPr>
                      <w:rFonts w:hint="default" w:cs="Times New Roman"/>
                      <w:b w:val="0"/>
                      <w:bCs w:val="0"/>
                      <w:color w:val="auto"/>
                      <w:kern w:val="0"/>
                      <w:szCs w:val="21"/>
                      <w:highlight w:val="none"/>
                      <w:u w:val="none"/>
                      <w:lang w:val="en-US" w:eastAsia="zh-CN" w:bidi="ar"/>
                    </w:rPr>
                  </w:pPr>
                  <w:r>
                    <w:rPr>
                      <w:rFonts w:hint="eastAsia" w:cs="Times New Roman"/>
                      <w:b w:val="0"/>
                      <w:bCs w:val="0"/>
                      <w:color w:val="auto"/>
                      <w:kern w:val="0"/>
                      <w:szCs w:val="21"/>
                      <w:highlight w:val="none"/>
                      <w:u w:val="none"/>
                      <w:lang w:val="en-US" w:eastAsia="zh-CN" w:bidi="ar"/>
                    </w:rPr>
                    <w:t>1</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u w:val="none"/>
                      <w:lang w:eastAsia="zh-CN"/>
                    </w:rPr>
                    <w:t>抛光设备</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ascii="Times New Roman" w:hAnsi="宋体" w:eastAsia="宋体" w:cs="Times New Roman"/>
                      <w:color w:val="auto"/>
                      <w:szCs w:val="21"/>
                      <w:u w:val="none"/>
                      <w:lang w:val="en-US" w:eastAsia="zh-CN"/>
                    </w:rPr>
                    <w:t>16</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75</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eastAsia="zh-CN"/>
                    </w:rPr>
                  </w:pPr>
                  <w:r>
                    <w:rPr>
                      <w:rFonts w:hAnsi="宋体"/>
                      <w:color w:val="auto"/>
                      <w:szCs w:val="21"/>
                      <w:u w:val="none"/>
                    </w:rPr>
                    <w:t>精密层绕机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ascii="Times New Roman" w:hAnsi="宋体" w:eastAsia="宋体" w:cs="Times New Roman"/>
                      <w:color w:val="auto"/>
                      <w:szCs w:val="21"/>
                      <w:u w:val="none"/>
                      <w:lang w:val="en-US" w:eastAsia="zh-CN"/>
                    </w:rPr>
                    <w:t>40</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u w:val="none"/>
                      <w:lang w:eastAsia="zh-CN"/>
                    </w:rPr>
                    <w:t>手动</w:t>
                  </w:r>
                  <w:r>
                    <w:rPr>
                      <w:rFonts w:hAnsi="宋体"/>
                      <w:color w:val="auto"/>
                      <w:szCs w:val="21"/>
                      <w:u w:val="none"/>
                    </w:rPr>
                    <w:t>层绕机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ascii="Times New Roman" w:hAnsi="宋体" w:eastAsia="宋体" w:cs="Times New Roman"/>
                      <w:color w:val="auto"/>
                      <w:szCs w:val="21"/>
                      <w:u w:val="none"/>
                      <w:lang w:val="en-US" w:eastAsia="zh-CN"/>
                    </w:rPr>
                    <w:t>20</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eastAsia="zh-CN"/>
                    </w:rPr>
                  </w:pPr>
                  <w:r>
                    <w:rPr>
                      <w:rFonts w:hAnsi="宋体"/>
                      <w:color w:val="auto"/>
                      <w:szCs w:val="21"/>
                      <w:u w:val="none"/>
                    </w:rPr>
                    <w:t>自动包装机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ascii="Times New Roman" w:hAnsi="宋体" w:eastAsia="宋体" w:cs="Times New Roman"/>
                      <w:color w:val="auto"/>
                      <w:szCs w:val="21"/>
                      <w:u w:val="none"/>
                      <w:lang w:val="en-US" w:eastAsia="zh-CN"/>
                    </w:rPr>
                    <w:t>1</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eastAsia"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u w:val="none"/>
                      <w:lang w:eastAsia="zh-CN"/>
                    </w:rPr>
                    <w:t>手动包装机</w:t>
                  </w:r>
                </w:p>
              </w:tc>
              <w:tc>
                <w:tcPr>
                  <w:tcW w:w="975" w:type="dxa"/>
                  <w:noWrap w:val="0"/>
                  <w:vAlign w:val="center"/>
                </w:tcPr>
                <w:p>
                  <w:pPr>
                    <w:spacing w:line="240" w:lineRule="auto"/>
                    <w:jc w:val="center"/>
                    <w:rPr>
                      <w:rFonts w:hint="eastAsia" w:cs="Times New Roman"/>
                      <w:b w:val="0"/>
                      <w:bCs w:val="0"/>
                      <w:color w:val="auto"/>
                      <w:kern w:val="0"/>
                      <w:szCs w:val="21"/>
                      <w:highlight w:val="none"/>
                      <w:u w:val="none"/>
                      <w:lang w:val="en-US" w:eastAsia="zh-CN" w:bidi="ar"/>
                    </w:rPr>
                  </w:pPr>
                  <w:r>
                    <w:rPr>
                      <w:rFonts w:hint="eastAsia" w:hAnsi="宋体" w:cs="Times New Roman"/>
                      <w:color w:val="auto"/>
                      <w:szCs w:val="21"/>
                      <w:u w:val="none"/>
                      <w:lang w:val="en-US" w:eastAsia="zh-CN"/>
                    </w:rPr>
                    <w:t>1</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70</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highlight w:val="none"/>
                      <w:u w:val="none"/>
                      <w:lang w:eastAsia="zh-CN"/>
                    </w:rPr>
                  </w:pPr>
                  <w:r>
                    <w:rPr>
                      <w:rFonts w:hint="eastAsia" w:hAnsi="宋体"/>
                      <w:color w:val="auto"/>
                      <w:szCs w:val="21"/>
                      <w:u w:val="none"/>
                      <w:lang w:eastAsia="zh-CN"/>
                    </w:rPr>
                    <w:t>空压机</w:t>
                  </w:r>
                </w:p>
              </w:tc>
              <w:tc>
                <w:tcPr>
                  <w:tcW w:w="975" w:type="dxa"/>
                  <w:noWrap w:val="0"/>
                  <w:vAlign w:val="center"/>
                </w:tcPr>
                <w:p>
                  <w:pPr>
                    <w:spacing w:line="240" w:lineRule="auto"/>
                    <w:jc w:val="center"/>
                    <w:rPr>
                      <w:rFonts w:hint="default" w:cs="Times New Roman"/>
                      <w:b w:val="0"/>
                      <w:bCs w:val="0"/>
                      <w:color w:val="auto"/>
                      <w:kern w:val="0"/>
                      <w:szCs w:val="21"/>
                      <w:highlight w:val="none"/>
                      <w:u w:val="none"/>
                      <w:lang w:val="en-US" w:eastAsia="zh-CN" w:bidi="ar"/>
                    </w:rPr>
                  </w:pPr>
                  <w:r>
                    <w:rPr>
                      <w:rFonts w:hint="eastAsia" w:cs="Times New Roman"/>
                      <w:b w:val="0"/>
                      <w:bCs w:val="0"/>
                      <w:color w:val="auto"/>
                      <w:kern w:val="0"/>
                      <w:szCs w:val="21"/>
                      <w:highlight w:val="none"/>
                      <w:u w:val="none"/>
                      <w:lang w:val="en-US" w:eastAsia="zh-CN" w:bidi="ar"/>
                    </w:rPr>
                    <w:t>10</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eastAsia="宋体"/>
                      <w:color w:val="auto"/>
                      <w:szCs w:val="21"/>
                      <w:highlight w:val="none"/>
                      <w:u w:val="none" w:color="auto"/>
                      <w:lang w:val="en-US" w:eastAsia="zh-CN"/>
                    </w:rPr>
                    <w:t>85</w:t>
                  </w:r>
                </w:p>
              </w:tc>
              <w:tc>
                <w:tcPr>
                  <w:tcW w:w="1891"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80" w:type="dxa"/>
                  <w:noWrap w:val="0"/>
                  <w:vAlign w:val="center"/>
                </w:tcPr>
                <w:p>
                  <w:pPr>
                    <w:spacing w:line="240" w:lineRule="auto"/>
                    <w:jc w:val="center"/>
                    <w:rPr>
                      <w:rFonts w:hint="eastAsia" w:hAnsi="宋体"/>
                      <w:color w:val="auto"/>
                      <w:szCs w:val="21"/>
                      <w:u w:val="none"/>
                      <w:lang w:eastAsia="zh-CN"/>
                    </w:rPr>
                  </w:pPr>
                  <w:r>
                    <w:rPr>
                      <w:rFonts w:hint="eastAsia" w:hAnsi="宋体"/>
                      <w:color w:val="auto"/>
                      <w:szCs w:val="21"/>
                      <w:u w:val="none"/>
                      <w:lang w:eastAsia="zh-CN"/>
                    </w:rPr>
                    <w:t>注塑机</w:t>
                  </w:r>
                </w:p>
              </w:tc>
              <w:tc>
                <w:tcPr>
                  <w:tcW w:w="975" w:type="dxa"/>
                  <w:noWrap w:val="0"/>
                  <w:vAlign w:val="center"/>
                </w:tcPr>
                <w:p>
                  <w:pPr>
                    <w:spacing w:line="240" w:lineRule="auto"/>
                    <w:jc w:val="center"/>
                    <w:rPr>
                      <w:rFonts w:hint="default" w:cs="Times New Roman"/>
                      <w:b w:val="0"/>
                      <w:bCs w:val="0"/>
                      <w:color w:val="auto"/>
                      <w:kern w:val="0"/>
                      <w:szCs w:val="21"/>
                      <w:highlight w:val="none"/>
                      <w:u w:val="none"/>
                      <w:lang w:val="en-US" w:eastAsia="zh-CN" w:bidi="ar"/>
                    </w:rPr>
                  </w:pPr>
                  <w:r>
                    <w:rPr>
                      <w:rFonts w:hint="eastAsia" w:cs="Times New Roman"/>
                      <w:b w:val="0"/>
                      <w:bCs w:val="0"/>
                      <w:color w:val="auto"/>
                      <w:kern w:val="0"/>
                      <w:szCs w:val="21"/>
                      <w:highlight w:val="none"/>
                      <w:u w:val="none"/>
                      <w:lang w:val="en-US" w:eastAsia="zh-CN" w:bidi="ar"/>
                    </w:rPr>
                    <w:t>8</w:t>
                  </w:r>
                </w:p>
              </w:tc>
              <w:tc>
                <w:tcPr>
                  <w:tcW w:w="1170" w:type="dxa"/>
                  <w:noWrap w:val="0"/>
                  <w:vAlign w:val="center"/>
                </w:tcPr>
                <w:p>
                  <w:pPr>
                    <w:jc w:val="center"/>
                    <w:rPr>
                      <w:rFonts w:hint="eastAsia"/>
                      <w:color w:val="auto"/>
                      <w:szCs w:val="21"/>
                      <w:highlight w:val="none"/>
                      <w:u w:val="none" w:color="auto"/>
                    </w:rPr>
                  </w:pPr>
                  <w:r>
                    <w:rPr>
                      <w:rFonts w:hint="eastAsia"/>
                      <w:color w:val="auto"/>
                      <w:szCs w:val="21"/>
                      <w:highlight w:val="none"/>
                      <w:u w:val="none" w:color="auto"/>
                    </w:rPr>
                    <w:t>频发</w:t>
                  </w:r>
                </w:p>
              </w:tc>
              <w:tc>
                <w:tcPr>
                  <w:tcW w:w="1620" w:type="dxa"/>
                  <w:noWrap w:val="0"/>
                  <w:vAlign w:val="center"/>
                </w:tcPr>
                <w:p>
                  <w:pPr>
                    <w:jc w:val="center"/>
                    <w:rPr>
                      <w:rFonts w:hint="default" w:eastAsia="宋体"/>
                      <w:color w:val="auto"/>
                      <w:szCs w:val="21"/>
                      <w:highlight w:val="none"/>
                      <w:u w:val="none" w:color="auto"/>
                      <w:lang w:val="en-US" w:eastAsia="zh-CN"/>
                    </w:rPr>
                  </w:pPr>
                  <w:r>
                    <w:rPr>
                      <w:rFonts w:hint="eastAsia"/>
                      <w:color w:val="auto"/>
                      <w:szCs w:val="21"/>
                      <w:highlight w:val="none"/>
                      <w:u w:val="none" w:color="auto"/>
                      <w:lang w:val="en-US" w:eastAsia="zh-CN"/>
                    </w:rPr>
                    <w:t>80</w:t>
                  </w:r>
                </w:p>
              </w:tc>
              <w:tc>
                <w:tcPr>
                  <w:tcW w:w="1891"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rPr>
                    <w:t>≤</w:t>
                  </w:r>
                  <w:r>
                    <w:rPr>
                      <w:rFonts w:hint="eastAsia" w:ascii="Times New Roman" w:hAnsi="Times New Roman"/>
                      <w:color w:val="auto"/>
                      <w:sz w:val="21"/>
                      <w:szCs w:val="21"/>
                      <w:highlight w:val="none"/>
                      <w:u w:val="none" w:color="auto"/>
                      <w:lang w:val="en-US" w:eastAsia="zh-CN" w:bidi="ar"/>
                    </w:rPr>
                    <w:t>4800</w:t>
                  </w:r>
                  <w:r>
                    <w:rPr>
                      <w:rFonts w:hint="eastAsia" w:ascii="Times New Roman" w:hAnsi="Times New Roman"/>
                      <w:color w:val="auto"/>
                      <w:sz w:val="21"/>
                      <w:szCs w:val="21"/>
                      <w:highlight w:val="none"/>
                      <w:u w:val="none" w:color="auto"/>
                      <w:lang w:val="en-US" w:eastAsia="zh-CN"/>
                    </w:rPr>
                    <w:t>h/a</w:t>
                  </w:r>
                </w:p>
              </w:tc>
            </w:tr>
          </w:tbl>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default" w:eastAsia="宋体"/>
                <w:color w:val="auto"/>
                <w:spacing w:val="0"/>
                <w:kern w:val="0"/>
                <w:sz w:val="24"/>
                <w:szCs w:val="24"/>
                <w:highlight w:val="none"/>
                <w:u w:val="none" w:color="auto"/>
                <w:lang w:val="en-US" w:eastAsia="zh-CN"/>
              </w:rPr>
            </w:pPr>
            <w:r>
              <w:rPr>
                <w:rFonts w:hint="eastAsia"/>
                <w:b/>
                <w:bCs/>
                <w:color w:val="auto"/>
                <w:sz w:val="24"/>
                <w:szCs w:val="24"/>
                <w:highlight w:val="none"/>
                <w:u w:val="none" w:color="auto"/>
                <w:lang w:val="en-US" w:eastAsia="zh-CN" w:bidi="ar"/>
              </w:rPr>
              <w:t>4.4</w:t>
            </w:r>
            <w:r>
              <w:rPr>
                <w:b/>
                <w:bCs/>
                <w:color w:val="auto"/>
                <w:sz w:val="24"/>
                <w:szCs w:val="24"/>
                <w:highlight w:val="none"/>
                <w:u w:val="none" w:color="auto"/>
                <w:lang w:bidi="ar"/>
              </w:rPr>
              <w:t>.2</w:t>
            </w:r>
            <w:r>
              <w:rPr>
                <w:rFonts w:hint="eastAsia"/>
                <w:b/>
                <w:bCs/>
                <w:color w:val="auto"/>
                <w:spacing w:val="0"/>
                <w:kern w:val="0"/>
                <w:sz w:val="24"/>
                <w:szCs w:val="24"/>
                <w:highlight w:val="none"/>
                <w:u w:val="none" w:color="auto"/>
                <w:lang w:val="en-US" w:eastAsia="zh-CN"/>
              </w:rPr>
              <w:t>预测模式和方法</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default"/>
                <w:b/>
                <w:bCs/>
                <w:color w:val="auto"/>
                <w:spacing w:val="0"/>
                <w:kern w:val="0"/>
                <w:sz w:val="24"/>
                <w:szCs w:val="24"/>
                <w:highlight w:val="none"/>
                <w:u w:val="none" w:color="auto"/>
                <w:lang w:val="en-US" w:eastAsia="zh-CN"/>
              </w:rPr>
            </w:pPr>
            <w:r>
              <w:rPr>
                <w:rFonts w:hint="eastAsia"/>
                <w:b/>
                <w:bCs/>
                <w:color w:val="auto"/>
                <w:spacing w:val="0"/>
                <w:kern w:val="0"/>
                <w:sz w:val="24"/>
                <w:szCs w:val="24"/>
                <w:highlight w:val="none"/>
                <w:u w:val="none" w:color="auto"/>
                <w:lang w:val="en-US" w:eastAsia="zh-CN"/>
              </w:rPr>
              <w:t>（1）室内噪声源</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default"/>
                <w:b/>
                <w:bCs/>
                <w:color w:val="auto"/>
                <w:spacing w:val="0"/>
                <w:kern w:val="0"/>
                <w:sz w:val="24"/>
                <w:szCs w:val="24"/>
                <w:highlight w:val="none"/>
                <w:u w:val="none" w:color="auto"/>
                <w:lang w:val="en-US" w:eastAsia="zh-CN"/>
              </w:rPr>
            </w:pPr>
            <w:r>
              <w:rPr>
                <w:rFonts w:hint="eastAsia"/>
                <w:b/>
                <w:bCs/>
                <w:color w:val="auto"/>
                <w:spacing w:val="0"/>
                <w:kern w:val="0"/>
                <w:sz w:val="24"/>
                <w:szCs w:val="24"/>
                <w:highlight w:val="none"/>
                <w:u w:val="none" w:color="auto"/>
                <w:lang w:val="en-US" w:eastAsia="zh-CN"/>
              </w:rPr>
              <w:t>A、模式和方法</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color w:val="auto"/>
                <w:spacing w:val="0"/>
                <w:kern w:val="0"/>
                <w:sz w:val="24"/>
                <w:szCs w:val="24"/>
                <w:highlight w:val="none"/>
                <w:u w:val="none" w:color="auto"/>
                <w:lang w:val="en-US" w:eastAsia="zh-CN"/>
              </w:rPr>
            </w:pPr>
            <w:r>
              <w:rPr>
                <w:rFonts w:hint="eastAsia"/>
                <w:color w:val="auto"/>
                <w:spacing w:val="0"/>
                <w:kern w:val="0"/>
                <w:sz w:val="24"/>
                <w:szCs w:val="24"/>
                <w:highlight w:val="none"/>
                <w:u w:val="none" w:color="auto"/>
                <w:lang w:val="en-US" w:eastAsia="zh-CN"/>
              </w:rPr>
              <w:t>采用《环境影响评价技术导则声环境》（HJ2.4—2021）附录B中的室内声源等效室外声源声功率级计算方法，公式如下：</w:t>
            </w:r>
          </w:p>
          <w:p>
            <w:pPr>
              <w:keepNext w:val="0"/>
              <w:keepLines w:val="0"/>
              <w:pageBreakBefore w:val="0"/>
              <w:kinsoku/>
              <w:wordWrap/>
              <w:overflowPunct/>
              <w:topLinePunct w:val="0"/>
              <w:autoSpaceDE/>
              <w:autoSpaceDN/>
              <w:bidi w:val="0"/>
              <w:adjustRightInd/>
              <w:spacing w:line="440" w:lineRule="exact"/>
              <w:ind w:firstLine="0" w:firstLineChars="0"/>
              <w:jc w:val="center"/>
              <w:textAlignment w:val="auto"/>
              <w:rPr>
                <w:rFonts w:hint="default" w:ascii="Times New Roman" w:hAnsi="Times New Roman" w:cs="Times New Roman"/>
                <w:color w:val="auto"/>
                <w:spacing w:val="0"/>
                <w:kern w:val="0"/>
                <w:sz w:val="24"/>
                <w:szCs w:val="24"/>
                <w:highlight w:val="none"/>
                <w:u w:val="none" w:color="auto"/>
                <w:lang w:val="en-US"/>
              </w:rPr>
            </w:pPr>
            <m:oMathPara>
              <m:oMath>
                <m:sSub>
                  <m:sSubPr>
                    <m:ctrlPr>
                      <w:rPr>
                        <w:rFonts w:hint="default" w:ascii="Cambria Math" w:hAnsi="Cambria Math" w:cs="Times New Roman"/>
                        <w:color w:val="auto"/>
                        <w:spacing w:val="0"/>
                        <w:kern w:val="0"/>
                        <w:sz w:val="21"/>
                        <w:szCs w:val="21"/>
                        <w:lang w:val="en-US" w:eastAsia="zh-CN" w:bidi="ar-SA"/>
                      </w:rPr>
                    </m:ctrlPr>
                  </m:sSubPr>
                  <m:e>
                    <m:r>
                      <m:rPr>
                        <m:sty m:val="p"/>
                      </m:rPr>
                      <w:rPr>
                        <w:rFonts w:hint="default" w:ascii="Cambria Math" w:hAnsi="Cambria Math" w:cs="Times New Roman"/>
                        <w:color w:val="auto"/>
                        <w:spacing w:val="0"/>
                        <w:kern w:val="0"/>
                        <w:sz w:val="21"/>
                        <w:szCs w:val="21"/>
                        <w:lang w:val="en-US" w:eastAsia="zh-CN" w:bidi="ar-SA"/>
                      </w:rPr>
                      <m:t>L</m:t>
                    </m:r>
                    <m:ctrlPr>
                      <w:rPr>
                        <w:rFonts w:hint="default" w:ascii="Cambria Math" w:hAnsi="Cambria Math" w:cs="Times New Roman"/>
                        <w:color w:val="auto"/>
                        <w:spacing w:val="0"/>
                        <w:kern w:val="0"/>
                        <w:sz w:val="21"/>
                        <w:szCs w:val="21"/>
                        <w:lang w:val="en-US" w:eastAsia="zh-CN" w:bidi="ar-SA"/>
                      </w:rPr>
                    </m:ctrlPr>
                  </m:e>
                  <m:sub>
                    <m:r>
                      <m:rPr>
                        <m:sty m:val="p"/>
                      </m:rPr>
                      <w:rPr>
                        <w:rFonts w:hint="default" w:ascii="Cambria Math" w:hAnsi="Cambria Math" w:cs="Times New Roman"/>
                        <w:color w:val="auto"/>
                        <w:spacing w:val="0"/>
                        <w:kern w:val="0"/>
                        <w:sz w:val="21"/>
                        <w:szCs w:val="21"/>
                        <w:lang w:val="en-US" w:eastAsia="zh-CN" w:bidi="ar-SA"/>
                      </w:rPr>
                      <m:t>P2</m:t>
                    </m:r>
                    <m:ctrlPr>
                      <w:rPr>
                        <w:rFonts w:hint="default" w:ascii="Cambria Math" w:hAnsi="Cambria Math" w:cs="Times New Roman"/>
                        <w:color w:val="auto"/>
                        <w:spacing w:val="0"/>
                        <w:kern w:val="0"/>
                        <w:sz w:val="21"/>
                        <w:szCs w:val="21"/>
                        <w:lang w:val="en-US" w:eastAsia="zh-CN" w:bidi="ar-SA"/>
                      </w:rPr>
                    </m:ctrlPr>
                  </m:sub>
                </m:sSub>
                <m:r>
                  <m:rPr>
                    <m:sty m:val="p"/>
                  </m:rPr>
                  <w:rPr>
                    <w:rFonts w:hint="default" w:ascii="Cambria Math" w:hAnsi="Cambria Math" w:cs="Times New Roman"/>
                    <w:color w:val="auto"/>
                    <w:spacing w:val="0"/>
                    <w:kern w:val="0"/>
                    <w:sz w:val="21"/>
                    <w:szCs w:val="21"/>
                    <w:lang w:val="en-US" w:bidi="ar-SA"/>
                  </w:rPr>
                  <m:t>=</m:t>
                </m:r>
                <m:sSub>
                  <m:sSubPr>
                    <m:ctrlPr>
                      <w:rPr>
                        <w:rFonts w:hint="default" w:ascii="Cambria Math" w:hAnsi="Cambria Math" w:cs="Times New Roman"/>
                        <w:color w:val="auto"/>
                        <w:spacing w:val="0"/>
                        <w:kern w:val="0"/>
                        <w:sz w:val="21"/>
                        <w:szCs w:val="21"/>
                        <w:lang w:val="en-US" w:eastAsia="zh-CN" w:bidi="ar-SA"/>
                      </w:rPr>
                    </m:ctrlPr>
                  </m:sSubPr>
                  <m:e>
                    <m:r>
                      <m:rPr>
                        <m:sty m:val="p"/>
                      </m:rPr>
                      <w:rPr>
                        <w:rFonts w:hint="default" w:ascii="Cambria Math" w:hAnsi="Cambria Math" w:cs="Times New Roman"/>
                        <w:color w:val="auto"/>
                        <w:spacing w:val="0"/>
                        <w:kern w:val="0"/>
                        <w:sz w:val="21"/>
                        <w:szCs w:val="21"/>
                        <w:lang w:val="en-US" w:eastAsia="zh-CN" w:bidi="ar-SA"/>
                      </w:rPr>
                      <m:t>L</m:t>
                    </m:r>
                    <m:ctrlPr>
                      <w:rPr>
                        <w:rFonts w:hint="default" w:ascii="Cambria Math" w:hAnsi="Cambria Math" w:cs="Times New Roman"/>
                        <w:color w:val="auto"/>
                        <w:spacing w:val="0"/>
                        <w:kern w:val="0"/>
                        <w:sz w:val="21"/>
                        <w:szCs w:val="21"/>
                        <w:lang w:val="en-US" w:eastAsia="zh-CN" w:bidi="ar-SA"/>
                      </w:rPr>
                    </m:ctrlPr>
                  </m:e>
                  <m:sub>
                    <m:r>
                      <m:rPr>
                        <m:sty m:val="p"/>
                      </m:rPr>
                      <w:rPr>
                        <w:rFonts w:hint="default" w:ascii="Cambria Math" w:hAnsi="Cambria Math" w:cs="Times New Roman"/>
                        <w:color w:val="auto"/>
                        <w:spacing w:val="0"/>
                        <w:kern w:val="0"/>
                        <w:sz w:val="21"/>
                        <w:szCs w:val="21"/>
                        <w:lang w:val="en-US" w:eastAsia="zh-CN" w:bidi="ar-SA"/>
                      </w:rPr>
                      <m:t>P1</m:t>
                    </m:r>
                    <m:ctrlPr>
                      <w:rPr>
                        <w:rFonts w:hint="default" w:ascii="Cambria Math" w:hAnsi="Cambria Math" w:cs="Times New Roman"/>
                        <w:color w:val="auto"/>
                        <w:spacing w:val="0"/>
                        <w:kern w:val="0"/>
                        <w:sz w:val="21"/>
                        <w:szCs w:val="21"/>
                        <w:lang w:val="en-US" w:eastAsia="zh-CN" w:bidi="ar-SA"/>
                      </w:rPr>
                    </m:ctrlPr>
                  </m:sub>
                </m:sSub>
                <m:r>
                  <m:rPr>
                    <m:sty m:val="p"/>
                  </m:rPr>
                  <w:rPr>
                    <w:rFonts w:hint="default" w:ascii="Cambria Math" w:hAnsi="Cambria Math" w:cs="Times New Roman"/>
                    <w:color w:val="auto"/>
                    <w:spacing w:val="0"/>
                    <w:kern w:val="0"/>
                    <w:sz w:val="21"/>
                    <w:szCs w:val="21"/>
                    <w:lang w:val="en-US" w:bidi="ar-SA"/>
                  </w:rPr>
                  <m:t>−</m:t>
                </m:r>
                <m:d>
                  <m:dPr>
                    <m:ctrlPr>
                      <w:rPr>
                        <w:rFonts w:hint="default" w:ascii="Cambria Math" w:hAnsi="Cambria Math" w:cs="Times New Roman"/>
                        <w:color w:val="auto"/>
                        <w:spacing w:val="0"/>
                        <w:kern w:val="0"/>
                        <w:sz w:val="21"/>
                        <w:szCs w:val="21"/>
                        <w:lang w:val="en-US" w:bidi="ar-SA"/>
                      </w:rPr>
                    </m:ctrlPr>
                  </m:dPr>
                  <m:e>
                    <m:r>
                      <m:rPr>
                        <m:sty m:val="p"/>
                      </m:rPr>
                      <w:rPr>
                        <w:rFonts w:hint="default" w:ascii="Cambria Math" w:hAnsi="Cambria Math" w:cs="Times New Roman"/>
                        <w:color w:val="auto"/>
                        <w:spacing w:val="0"/>
                        <w:kern w:val="0"/>
                        <w:sz w:val="21"/>
                        <w:szCs w:val="21"/>
                        <w:lang w:val="en-US" w:eastAsia="zh-CN" w:bidi="ar-SA"/>
                      </w:rPr>
                      <m:t>TL</m:t>
                    </m:r>
                    <m:r>
                      <m:rPr>
                        <m:sty m:val="p"/>
                      </m:rPr>
                      <w:rPr>
                        <w:rFonts w:hint="default" w:ascii="Cambria Math" w:hAnsi="Cambria Math" w:cs="Times New Roman"/>
                        <w:color w:val="auto"/>
                        <w:spacing w:val="0"/>
                        <w:kern w:val="0"/>
                        <w:sz w:val="21"/>
                        <w:szCs w:val="21"/>
                        <w:lang w:val="en-US" w:bidi="ar-SA"/>
                      </w:rPr>
                      <m:t>+</m:t>
                    </m:r>
                    <m:r>
                      <m:rPr>
                        <m:sty m:val="p"/>
                      </m:rPr>
                      <w:rPr>
                        <w:rFonts w:hint="default" w:ascii="Cambria Math" w:hAnsi="Cambria Math" w:cs="Times New Roman"/>
                        <w:color w:val="auto"/>
                        <w:spacing w:val="0"/>
                        <w:kern w:val="0"/>
                        <w:sz w:val="21"/>
                        <w:szCs w:val="21"/>
                        <w:lang w:val="en-US" w:eastAsia="zh-CN" w:bidi="ar-SA"/>
                      </w:rPr>
                      <m:t>6</m:t>
                    </m:r>
                    <m:ctrlPr>
                      <w:rPr>
                        <w:rFonts w:hint="default" w:ascii="Cambria Math" w:hAnsi="Cambria Math" w:cs="Times New Roman"/>
                        <w:color w:val="auto"/>
                        <w:spacing w:val="0"/>
                        <w:kern w:val="0"/>
                        <w:sz w:val="21"/>
                        <w:szCs w:val="21"/>
                        <w:lang w:val="en-US" w:bidi="ar-SA"/>
                      </w:rPr>
                    </m:ctrlPr>
                  </m:e>
                </m:d>
              </m:oMath>
            </m:oMathPara>
          </w:p>
          <w:p>
            <w:pPr>
              <w:pStyle w:val="27"/>
              <w:keepNext w:val="0"/>
              <w:keepLines w:val="0"/>
              <w:pageBreakBefore w:val="0"/>
              <w:kinsoku/>
              <w:wordWrap/>
              <w:overflowPunct/>
              <w:topLinePunct w:val="0"/>
              <w:autoSpaceDE/>
              <w:autoSpaceDN/>
              <w:bidi w:val="0"/>
              <w:adjustRightInd/>
              <w:spacing w:before="0" w:after="0"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式中：L</w:t>
            </w:r>
            <w:r>
              <w:rPr>
                <w:rFonts w:hint="eastAsia" w:ascii="Times New Roman" w:hAnsi="Times New Roman" w:eastAsia="宋体" w:cs="Times New Roman"/>
                <w:b w:val="0"/>
                <w:bCs w:val="0"/>
                <w:color w:val="auto"/>
                <w:sz w:val="24"/>
                <w:szCs w:val="24"/>
                <w:highlight w:val="none"/>
                <w:u w:val="none" w:color="auto"/>
                <w:vertAlign w:val="subscript"/>
                <w:lang w:val="en-US" w:eastAsia="zh-CN"/>
              </w:rPr>
              <w:t>p1</w:t>
            </w:r>
            <w:r>
              <w:rPr>
                <w:rFonts w:hint="eastAsia" w:ascii="Times New Roman" w:hAnsi="Times New Roman" w:eastAsia="宋体" w:cs="Times New Roman"/>
                <w:b w:val="0"/>
                <w:bCs w:val="0"/>
                <w:color w:val="auto"/>
                <w:sz w:val="24"/>
                <w:szCs w:val="24"/>
                <w:highlight w:val="none"/>
                <w:u w:val="none" w:color="auto"/>
                <w:lang w:val="en-US" w:eastAsia="zh-CN"/>
              </w:rPr>
              <w:t>——靠近开口处（或窗户）室内某倍频带的声压级或A声级，dB；</w:t>
            </w:r>
          </w:p>
          <w:p>
            <w:pPr>
              <w:pStyle w:val="27"/>
              <w:keepNext w:val="0"/>
              <w:keepLines w:val="0"/>
              <w:pageBreakBefore w:val="0"/>
              <w:kinsoku/>
              <w:wordWrap/>
              <w:overflowPunct/>
              <w:topLinePunct w:val="0"/>
              <w:autoSpaceDE/>
              <w:autoSpaceDN/>
              <w:bidi w:val="0"/>
              <w:adjustRightInd/>
              <w:spacing w:before="0" w:after="0"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L</w:t>
            </w:r>
            <w:r>
              <w:rPr>
                <w:rFonts w:hint="eastAsia" w:ascii="Times New Roman" w:hAnsi="Times New Roman" w:eastAsia="宋体" w:cs="Times New Roman"/>
                <w:b w:val="0"/>
                <w:bCs w:val="0"/>
                <w:color w:val="auto"/>
                <w:sz w:val="24"/>
                <w:szCs w:val="24"/>
                <w:highlight w:val="none"/>
                <w:u w:val="none" w:color="auto"/>
                <w:vertAlign w:val="subscript"/>
                <w:lang w:val="en-US" w:eastAsia="zh-CN"/>
              </w:rPr>
              <w:t>p2</w:t>
            </w:r>
            <w:r>
              <w:rPr>
                <w:rFonts w:hint="eastAsia" w:ascii="Times New Roman" w:hAnsi="Times New Roman" w:eastAsia="宋体" w:cs="Times New Roman"/>
                <w:b w:val="0"/>
                <w:bCs w:val="0"/>
                <w:color w:val="auto"/>
                <w:sz w:val="24"/>
                <w:szCs w:val="24"/>
                <w:highlight w:val="none"/>
                <w:u w:val="none" w:color="auto"/>
                <w:lang w:val="en-US" w:eastAsia="zh-CN"/>
              </w:rPr>
              <w:t>——靠近开口处（或窗户）室外某倍频带的声压级或A声级，dB；</w:t>
            </w:r>
          </w:p>
          <w:p>
            <w:pPr>
              <w:pStyle w:val="27"/>
              <w:keepNext w:val="0"/>
              <w:keepLines w:val="0"/>
              <w:pageBreakBefore w:val="0"/>
              <w:kinsoku/>
              <w:wordWrap/>
              <w:overflowPunct/>
              <w:topLinePunct w:val="0"/>
              <w:autoSpaceDE/>
              <w:autoSpaceDN/>
              <w:bidi w:val="0"/>
              <w:adjustRightInd/>
              <w:spacing w:before="0" w:after="0"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TL——隔墙（或窗户）倍频带或A声级的隔声量，dB。</w:t>
            </w:r>
          </w:p>
          <w:p>
            <w:pPr>
              <w:pStyle w:val="27"/>
              <w:keepNext w:val="0"/>
              <w:keepLines w:val="0"/>
              <w:pageBreakBefore w:val="0"/>
              <w:kinsoku/>
              <w:wordWrap/>
              <w:overflowPunct/>
              <w:topLinePunct w:val="0"/>
              <w:autoSpaceDE/>
              <w:autoSpaceDN/>
              <w:bidi w:val="0"/>
              <w:adjustRightInd/>
              <w:spacing w:before="0" w:after="0"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计算某一室内声源靠近围护结构处产生的倍频带声压级或A声级：</w:t>
            </w:r>
          </w:p>
          <w:p>
            <w:pPr>
              <w:keepNext w:val="0"/>
              <w:keepLines w:val="0"/>
              <w:pageBreakBefore w:val="0"/>
              <w:kinsoku/>
              <w:wordWrap/>
              <w:overflowPunct/>
              <w:topLinePunct w:val="0"/>
              <w:autoSpaceDE/>
              <w:autoSpaceDN/>
              <w:bidi w:val="0"/>
              <w:adjustRightInd/>
              <w:spacing w:line="440" w:lineRule="exact"/>
              <w:ind w:firstLine="0" w:firstLineChars="0"/>
              <w:jc w:val="center"/>
              <w:textAlignment w:val="auto"/>
              <w:rPr>
                <w:rFonts w:hint="eastAsia"/>
                <w:color w:val="auto"/>
                <w:spacing w:val="0"/>
                <w:kern w:val="0"/>
                <w:sz w:val="24"/>
                <w:szCs w:val="24"/>
                <w:highlight w:val="none"/>
                <w:u w:val="none" w:color="auto"/>
                <w:lang w:val="en-US" w:eastAsia="zh-CN"/>
              </w:rPr>
            </w:pPr>
            <w:r>
              <w:rPr>
                <w:color w:val="auto"/>
                <w:sz w:val="24"/>
                <w:szCs w:val="24"/>
                <w:highlight w:val="none"/>
                <w:u w:val="none" w:color="auto"/>
              </w:rPr>
              <w:drawing>
                <wp:inline distT="0" distB="0" distL="114300" distR="114300">
                  <wp:extent cx="1943100" cy="323850"/>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30"/>
                          <a:stretch>
                            <a:fillRect/>
                          </a:stretch>
                        </pic:blipFill>
                        <pic:spPr>
                          <a:xfrm>
                            <a:off x="0" y="0"/>
                            <a:ext cx="1943100" cy="323850"/>
                          </a:xfrm>
                          <a:prstGeom prst="rect">
                            <a:avLst/>
                          </a:prstGeom>
                          <a:noFill/>
                          <a:ln>
                            <a:noFill/>
                          </a:ln>
                        </pic:spPr>
                      </pic:pic>
                    </a:graphicData>
                  </a:graphic>
                </wp:inline>
              </w:drawing>
            </w:r>
          </w:p>
          <w:p>
            <w:pPr>
              <w:pStyle w:val="7"/>
              <w:keepNext w:val="0"/>
              <w:keepLines w:val="0"/>
              <w:pageBreakBefore w:val="0"/>
              <w:kinsoku/>
              <w:wordWrap/>
              <w:overflowPunct/>
              <w:topLinePunct w:val="0"/>
              <w:autoSpaceDE/>
              <w:autoSpaceDN/>
              <w:bidi w:val="0"/>
              <w:adjustRightInd/>
              <w:spacing w:line="440" w:lineRule="exact"/>
              <w:ind w:firstLineChars="200"/>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式中：</w:t>
            </w:r>
            <w:r>
              <w:rPr>
                <w:rFonts w:hint="default" w:ascii="Times New Roman" w:hAnsi="Times New Roman" w:eastAsia="宋体" w:cs="Times New Roman"/>
                <w:color w:val="auto"/>
                <w:sz w:val="24"/>
                <w:szCs w:val="24"/>
                <w:highlight w:val="none"/>
                <w:u w:val="none" w:color="auto"/>
                <w:lang w:val="en-US" w:eastAsia="zh-CN"/>
              </w:rPr>
              <w:t>L</w:t>
            </w:r>
            <w:r>
              <w:rPr>
                <w:rFonts w:hint="default" w:ascii="Times New Roman" w:hAnsi="Times New Roman" w:eastAsia="宋体" w:cs="Times New Roman"/>
                <w:color w:val="auto"/>
                <w:sz w:val="24"/>
                <w:szCs w:val="24"/>
                <w:highlight w:val="none"/>
                <w:u w:val="none" w:color="auto"/>
                <w:vertAlign w:val="subscript"/>
                <w:lang w:val="en-US" w:eastAsia="zh-CN"/>
              </w:rPr>
              <w:t>p1</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cs="Times New Roman"/>
                <w:color w:val="auto"/>
                <w:sz w:val="24"/>
                <w:szCs w:val="24"/>
                <w:highlight w:val="none"/>
                <w:u w:val="none" w:color="auto"/>
                <w:lang w:val="en-US" w:eastAsia="zh-CN"/>
              </w:rPr>
              <w:t>靠近开口处（或窗户）室内某倍频带的声压级或A声级，dB；</w:t>
            </w:r>
          </w:p>
          <w:p>
            <w:pPr>
              <w:pStyle w:val="7"/>
              <w:keepNext w:val="0"/>
              <w:keepLines w:val="0"/>
              <w:pageBreakBefore w:val="0"/>
              <w:kinsoku/>
              <w:wordWrap/>
              <w:overflowPunct/>
              <w:topLinePunct w:val="0"/>
              <w:autoSpaceDE/>
              <w:autoSpaceDN/>
              <w:bidi w:val="0"/>
              <w:adjustRightInd/>
              <w:spacing w:line="440" w:lineRule="exact"/>
              <w:ind w:firstLineChars="200"/>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Lw——点声源声功率级（A计权或倍频带），dB；</w:t>
            </w:r>
          </w:p>
          <w:p>
            <w:pPr>
              <w:pStyle w:val="7"/>
              <w:keepNext w:val="0"/>
              <w:keepLines w:val="0"/>
              <w:pageBreakBefore w:val="0"/>
              <w:kinsoku/>
              <w:wordWrap/>
              <w:overflowPunct/>
              <w:topLinePunct w:val="0"/>
              <w:autoSpaceDE/>
              <w:autoSpaceDN/>
              <w:bidi w:val="0"/>
              <w:adjustRightInd/>
              <w:spacing w:line="440" w:lineRule="exact"/>
              <w:ind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Q——指向性因数；通常对无指向性声源，当声源放在房间中心时，Q=1；当放在一面墙的中心时，Q=2；当放在两面墙夹角处时，Q=4；当放在三面墙夹角处时，Q=8；</w:t>
            </w:r>
          </w:p>
          <w:p>
            <w:pPr>
              <w:pStyle w:val="7"/>
              <w:keepNext w:val="0"/>
              <w:keepLines w:val="0"/>
              <w:pageBreakBefore w:val="0"/>
              <w:kinsoku/>
              <w:wordWrap/>
              <w:overflowPunct/>
              <w:topLinePunct w:val="0"/>
              <w:autoSpaceDE/>
              <w:autoSpaceDN/>
              <w:bidi w:val="0"/>
              <w:adjustRightInd/>
              <w:spacing w:line="440" w:lineRule="exact"/>
              <w:ind w:firstLineChars="200"/>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R——房间常数；R=S</w:t>
            </w:r>
            <w:r>
              <w:rPr>
                <w:rFonts w:hint="default" w:ascii="Times New Roman" w:hAnsi="Times New Roman" w:eastAsia="微软雅黑" w:cs="Times New Roman"/>
                <w:color w:val="auto"/>
                <w:sz w:val="24"/>
                <w:szCs w:val="24"/>
                <w:highlight w:val="none"/>
                <w:u w:val="none" w:color="auto"/>
                <w:lang w:val="en-US" w:eastAsia="zh-CN"/>
              </w:rPr>
              <w:t>α</w:t>
            </w:r>
            <w:r>
              <w:rPr>
                <w:rFonts w:hint="default" w:ascii="Times New Roman" w:hAnsi="Times New Roman" w:cs="Times New Roman"/>
                <w:color w:val="auto"/>
                <w:sz w:val="24"/>
                <w:szCs w:val="24"/>
                <w:highlight w:val="none"/>
                <w:u w:val="none" w:color="auto"/>
                <w:lang w:val="en-US" w:eastAsia="zh-CN"/>
              </w:rPr>
              <w:t>/（1-</w:t>
            </w:r>
            <w:r>
              <w:rPr>
                <w:rFonts w:hint="default" w:ascii="Times New Roman" w:hAnsi="Times New Roman" w:eastAsia="微软雅黑" w:cs="Times New Roman"/>
                <w:color w:val="auto"/>
                <w:sz w:val="24"/>
                <w:szCs w:val="24"/>
                <w:highlight w:val="none"/>
                <w:u w:val="none" w:color="auto"/>
                <w:lang w:val="en-US" w:eastAsia="zh-CN"/>
              </w:rPr>
              <w:t>α</w:t>
            </w:r>
            <w:r>
              <w:rPr>
                <w:rFonts w:hint="default" w:ascii="Times New Roman" w:hAnsi="Times New Roman" w:cs="Times New Roman"/>
                <w:color w:val="auto"/>
                <w:sz w:val="24"/>
                <w:szCs w:val="24"/>
                <w:highlight w:val="none"/>
                <w:u w:val="none" w:color="auto"/>
                <w:lang w:val="en-US" w:eastAsia="zh-CN"/>
              </w:rPr>
              <w:t>），S为房间内表面面积，m</w:t>
            </w:r>
            <w:r>
              <w:rPr>
                <w:rFonts w:hint="default" w:ascii="Times New Roman" w:hAnsi="Times New Roman" w:cs="Times New Roman"/>
                <w:color w:val="auto"/>
                <w:sz w:val="24"/>
                <w:szCs w:val="24"/>
                <w:highlight w:val="none"/>
                <w:u w:val="none" w:color="auto"/>
                <w:vertAlign w:val="superscript"/>
                <w:lang w:val="en-US" w:eastAsia="zh-CN"/>
              </w:rPr>
              <w:t>2</w:t>
            </w:r>
            <w:r>
              <w:rPr>
                <w:rFonts w:hint="default" w:ascii="Times New Roman" w:hAnsi="Times New Roman" w:cs="Times New Roman"/>
                <w:color w:val="auto"/>
                <w:sz w:val="24"/>
                <w:szCs w:val="24"/>
                <w:highlight w:val="none"/>
                <w:u w:val="none" w:color="auto"/>
                <w:lang w:val="en-US" w:eastAsia="zh-CN"/>
              </w:rPr>
              <w:t>；</w:t>
            </w:r>
            <w:r>
              <w:rPr>
                <w:rFonts w:hint="default" w:ascii="Times New Roman" w:hAnsi="Times New Roman" w:eastAsia="微软雅黑" w:cs="Times New Roman"/>
                <w:color w:val="auto"/>
                <w:sz w:val="24"/>
                <w:szCs w:val="24"/>
                <w:highlight w:val="none"/>
                <w:u w:val="none" w:color="auto"/>
                <w:lang w:val="en-US" w:eastAsia="zh-CN"/>
              </w:rPr>
              <w:t>α</w:t>
            </w:r>
            <w:r>
              <w:rPr>
                <w:rFonts w:hint="default" w:ascii="Times New Roman" w:hAnsi="Times New Roman" w:cs="Times New Roman"/>
                <w:color w:val="auto"/>
                <w:sz w:val="24"/>
                <w:szCs w:val="24"/>
                <w:highlight w:val="none"/>
                <w:u w:val="none" w:color="auto"/>
                <w:lang w:val="en-US" w:eastAsia="zh-CN"/>
              </w:rPr>
              <w:t>为平均吸声系数；</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cs="Times New Roman"/>
                <w:color w:val="auto"/>
                <w:spacing w:val="0"/>
                <w:kern w:val="0"/>
                <w:sz w:val="24"/>
                <w:szCs w:val="24"/>
                <w:highlight w:val="none"/>
                <w:u w:val="none" w:color="auto"/>
                <w:lang w:val="en-US" w:eastAsia="zh-CN"/>
              </w:rPr>
            </w:pPr>
            <w:r>
              <w:rPr>
                <w:rFonts w:hint="default" w:ascii="Times New Roman" w:hAnsi="Times New Roman" w:cs="Times New Roman"/>
                <w:color w:val="auto"/>
                <w:spacing w:val="0"/>
                <w:kern w:val="0"/>
                <w:sz w:val="24"/>
                <w:szCs w:val="24"/>
                <w:highlight w:val="none"/>
                <w:u w:val="none" w:color="auto"/>
                <w:lang w:val="en-US" w:eastAsia="zh-CN"/>
              </w:rPr>
              <w:t>r——声源到靠近围护结构某点处的距离，m。</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cs="Times New Roman"/>
                <w:color w:val="auto"/>
                <w:spacing w:val="0"/>
                <w:kern w:val="0"/>
                <w:sz w:val="24"/>
                <w:szCs w:val="24"/>
                <w:highlight w:val="none"/>
                <w:u w:val="none" w:color="auto"/>
                <w:lang w:val="en-US" w:eastAsia="zh-CN"/>
              </w:rPr>
            </w:pPr>
            <w:r>
              <w:rPr>
                <w:rFonts w:hint="default" w:ascii="Times New Roman" w:hAnsi="Times New Roman" w:cs="Times New Roman"/>
                <w:color w:val="auto"/>
                <w:spacing w:val="0"/>
                <w:kern w:val="0"/>
                <w:sz w:val="24"/>
                <w:szCs w:val="24"/>
                <w:highlight w:val="none"/>
                <w:u w:val="none" w:color="auto"/>
                <w:lang w:val="en-US" w:eastAsia="zh-CN"/>
              </w:rPr>
              <w:t>计算出所有室内声源在围护结构处产生的i倍频带叠加声压级：</w:t>
            </w:r>
          </w:p>
          <w:p>
            <w:pPr>
              <w:keepNext w:val="0"/>
              <w:keepLines w:val="0"/>
              <w:pageBreakBefore w:val="0"/>
              <w:kinsoku/>
              <w:wordWrap/>
              <w:overflowPunct/>
              <w:topLinePunct w:val="0"/>
              <w:autoSpaceDE/>
              <w:autoSpaceDN/>
              <w:bidi w:val="0"/>
              <w:adjustRightInd/>
              <w:spacing w:line="440" w:lineRule="exact"/>
              <w:ind w:firstLine="0" w:firstLineChars="0"/>
              <w:jc w:val="center"/>
              <w:textAlignment w:val="auto"/>
              <w:rPr>
                <w:rFonts w:hint="default" w:ascii="Times New Roman" w:hAnsi="Times New Roman" w:cs="Times New Roman"/>
                <w:color w:val="auto"/>
                <w:spacing w:val="0"/>
                <w:kern w:val="0"/>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rPr>
              <w:drawing>
                <wp:inline distT="0" distB="0" distL="114300" distR="114300">
                  <wp:extent cx="1971675" cy="363855"/>
                  <wp:effectExtent l="0" t="0" r="9525" b="1714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31"/>
                          <a:stretch>
                            <a:fillRect/>
                          </a:stretch>
                        </pic:blipFill>
                        <pic:spPr>
                          <a:xfrm>
                            <a:off x="0" y="0"/>
                            <a:ext cx="1971675" cy="3638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cs="Times New Roman"/>
                <w:color w:val="auto"/>
                <w:spacing w:val="0"/>
                <w:kern w:val="0"/>
                <w:sz w:val="24"/>
                <w:szCs w:val="24"/>
                <w:highlight w:val="none"/>
                <w:u w:val="none" w:color="auto"/>
                <w:lang w:val="en-US" w:eastAsia="zh-CN"/>
              </w:rPr>
            </w:pPr>
            <w:r>
              <w:rPr>
                <w:rFonts w:hint="default" w:ascii="Times New Roman" w:hAnsi="Times New Roman" w:cs="Times New Roman"/>
                <w:color w:val="auto"/>
                <w:spacing w:val="0"/>
                <w:kern w:val="0"/>
                <w:sz w:val="24"/>
                <w:szCs w:val="24"/>
                <w:highlight w:val="none"/>
                <w:u w:val="none" w:color="auto"/>
                <w:lang w:val="en-US" w:eastAsia="zh-CN"/>
              </w:rPr>
              <w:t>式中：L</w:t>
            </w:r>
            <w:r>
              <w:rPr>
                <w:rFonts w:hint="default" w:ascii="Times New Roman" w:hAnsi="Times New Roman" w:cs="Times New Roman"/>
                <w:color w:val="auto"/>
                <w:spacing w:val="0"/>
                <w:kern w:val="0"/>
                <w:sz w:val="24"/>
                <w:szCs w:val="24"/>
                <w:highlight w:val="none"/>
                <w:u w:val="none" w:color="auto"/>
                <w:vertAlign w:val="subscript"/>
                <w:lang w:val="en-US" w:eastAsia="zh-CN"/>
              </w:rPr>
              <w:t>p1i</w:t>
            </w:r>
            <w:r>
              <w:rPr>
                <w:rFonts w:hint="default" w:ascii="Times New Roman" w:hAnsi="Times New Roman" w:cs="Times New Roman"/>
                <w:color w:val="auto"/>
                <w:spacing w:val="0"/>
                <w:kern w:val="0"/>
                <w:sz w:val="24"/>
                <w:szCs w:val="24"/>
                <w:highlight w:val="none"/>
                <w:u w:val="none" w:color="auto"/>
                <w:vertAlign w:val="baseline"/>
                <w:lang w:val="en-US" w:eastAsia="zh-CN"/>
              </w:rPr>
              <w:t>（</w:t>
            </w:r>
            <w:r>
              <w:rPr>
                <w:rFonts w:hint="default" w:ascii="Times New Roman" w:hAnsi="Times New Roman" w:cs="Times New Roman"/>
                <w:color w:val="auto"/>
                <w:spacing w:val="0"/>
                <w:kern w:val="0"/>
                <w:sz w:val="24"/>
                <w:szCs w:val="24"/>
                <w:highlight w:val="none"/>
                <w:u w:val="none" w:color="auto"/>
                <w:lang w:val="en-US" w:eastAsia="zh-CN"/>
              </w:rPr>
              <w:t>T</w:t>
            </w:r>
            <w:r>
              <w:rPr>
                <w:rFonts w:hint="default" w:ascii="Times New Roman" w:hAnsi="Times New Roman" w:cs="Times New Roman"/>
                <w:color w:val="auto"/>
                <w:spacing w:val="0"/>
                <w:kern w:val="0"/>
                <w:sz w:val="24"/>
                <w:szCs w:val="24"/>
                <w:highlight w:val="none"/>
                <w:u w:val="none" w:color="auto"/>
                <w:vertAlign w:val="baseline"/>
                <w:lang w:val="en-US" w:eastAsia="zh-CN"/>
              </w:rPr>
              <w:t>）</w:t>
            </w:r>
            <w:r>
              <w:rPr>
                <w:rFonts w:hint="default" w:ascii="Times New Roman" w:hAnsi="Times New Roman" w:cs="Times New Roman"/>
                <w:color w:val="auto"/>
                <w:spacing w:val="0"/>
                <w:kern w:val="0"/>
                <w:sz w:val="24"/>
                <w:szCs w:val="24"/>
                <w:highlight w:val="none"/>
                <w:u w:val="none" w:color="auto"/>
                <w:lang w:val="en-US" w:eastAsia="zh-CN"/>
              </w:rPr>
              <w:t>——靠近围护结构处室内N个声源i倍频带的叠加声压级，dB；</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cs="Times New Roman"/>
                <w:color w:val="auto"/>
                <w:spacing w:val="0"/>
                <w:kern w:val="0"/>
                <w:sz w:val="24"/>
                <w:szCs w:val="24"/>
                <w:highlight w:val="none"/>
                <w:u w:val="none" w:color="auto"/>
                <w:lang w:val="en-US" w:eastAsia="zh-CN"/>
              </w:rPr>
            </w:pPr>
            <w:r>
              <w:rPr>
                <w:rFonts w:hint="default" w:ascii="Times New Roman" w:hAnsi="Times New Roman" w:cs="Times New Roman"/>
                <w:color w:val="auto"/>
                <w:spacing w:val="0"/>
                <w:kern w:val="0"/>
                <w:sz w:val="24"/>
                <w:szCs w:val="24"/>
                <w:highlight w:val="none"/>
                <w:u w:val="none" w:color="auto"/>
                <w:lang w:val="en-US" w:eastAsia="zh-CN"/>
              </w:rPr>
              <w:t>L</w:t>
            </w:r>
            <w:r>
              <w:rPr>
                <w:rFonts w:hint="default" w:ascii="Times New Roman" w:hAnsi="Times New Roman" w:cs="Times New Roman"/>
                <w:color w:val="auto"/>
                <w:spacing w:val="0"/>
                <w:kern w:val="0"/>
                <w:sz w:val="24"/>
                <w:szCs w:val="24"/>
                <w:highlight w:val="none"/>
                <w:u w:val="none" w:color="auto"/>
                <w:vertAlign w:val="subscript"/>
                <w:lang w:val="en-US" w:eastAsia="zh-CN"/>
              </w:rPr>
              <w:t>p1ij</w:t>
            </w:r>
            <w:r>
              <w:rPr>
                <w:rFonts w:hint="default" w:ascii="Times New Roman" w:hAnsi="Times New Roman" w:cs="Times New Roman"/>
                <w:color w:val="auto"/>
                <w:spacing w:val="0"/>
                <w:kern w:val="0"/>
                <w:sz w:val="24"/>
                <w:szCs w:val="24"/>
                <w:highlight w:val="none"/>
                <w:u w:val="none" w:color="auto"/>
                <w:lang w:val="en-US" w:eastAsia="zh-CN"/>
              </w:rPr>
              <w:t>——室内j声源i倍频带的声压级，dB；</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cs="Times New Roman"/>
                <w:color w:val="auto"/>
                <w:spacing w:val="0"/>
                <w:kern w:val="0"/>
                <w:sz w:val="24"/>
                <w:szCs w:val="24"/>
                <w:highlight w:val="none"/>
                <w:u w:val="none" w:color="auto"/>
                <w:lang w:val="en-US" w:eastAsia="zh-CN"/>
              </w:rPr>
            </w:pPr>
            <w:r>
              <w:rPr>
                <w:rFonts w:hint="default" w:ascii="Times New Roman" w:hAnsi="Times New Roman" w:cs="Times New Roman"/>
                <w:color w:val="auto"/>
                <w:spacing w:val="0"/>
                <w:kern w:val="0"/>
                <w:sz w:val="24"/>
                <w:szCs w:val="24"/>
                <w:highlight w:val="none"/>
                <w:u w:val="none" w:color="auto"/>
                <w:lang w:val="en-US" w:eastAsia="zh-CN"/>
              </w:rPr>
              <w:t>N——室内声源总数。</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default" w:ascii="Times New Roman" w:hAnsi="Times New Roman" w:eastAsia="宋体" w:cs="Times New Roman"/>
                <w:b/>
                <w:bCs/>
                <w:color w:val="auto"/>
                <w:spacing w:val="0"/>
                <w:kern w:val="0"/>
                <w:sz w:val="24"/>
                <w:szCs w:val="24"/>
                <w:highlight w:val="none"/>
                <w:u w:val="none" w:color="auto"/>
                <w:lang w:val="en-US" w:eastAsia="zh-CN"/>
              </w:rPr>
            </w:pPr>
            <w:r>
              <w:rPr>
                <w:rFonts w:hint="default" w:ascii="Times New Roman" w:hAnsi="Times New Roman" w:cs="Times New Roman"/>
                <w:b/>
                <w:bCs/>
                <w:color w:val="auto"/>
                <w:spacing w:val="0"/>
                <w:kern w:val="0"/>
                <w:sz w:val="24"/>
                <w:szCs w:val="24"/>
                <w:highlight w:val="none"/>
                <w:u w:val="none" w:color="auto"/>
                <w:lang w:val="en-US" w:eastAsia="zh-CN"/>
              </w:rPr>
              <w:t>B、噪声计算基本参数</w:t>
            </w:r>
          </w:p>
          <w:p>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default"/>
                <w:color w:val="auto"/>
                <w:spacing w:val="0"/>
                <w:kern w:val="0"/>
                <w:sz w:val="24"/>
                <w:szCs w:val="24"/>
                <w:highlight w:val="none"/>
                <w:u w:val="none" w:color="auto"/>
                <w:lang w:val="en-US" w:eastAsia="zh-CN"/>
              </w:rPr>
            </w:pPr>
            <w:r>
              <w:rPr>
                <w:rFonts w:hint="eastAsia"/>
                <w:color w:val="auto"/>
                <w:spacing w:val="0"/>
                <w:kern w:val="0"/>
                <w:sz w:val="24"/>
                <w:szCs w:val="24"/>
                <w:highlight w:val="none"/>
                <w:u w:val="none" w:color="auto"/>
                <w:lang w:val="en-US" w:eastAsia="zh-CN"/>
              </w:rPr>
              <w:t>根据以上公式，其噪声预测所需参数见下表：</w:t>
            </w:r>
          </w:p>
          <w:p>
            <w:pPr>
              <w:pStyle w:val="27"/>
              <w:spacing w:before="0" w:after="0" w:line="240" w:lineRule="auto"/>
              <w:ind w:firstLine="0" w:firstLineChars="0"/>
              <w:jc w:val="center"/>
              <w:rPr>
                <w:rFonts w:hint="default" w:ascii="Times New Roman" w:hAnsi="Times New Roman" w:eastAsia="宋体" w:cs="Times New Roman"/>
                <w:b/>
                <w:bCs/>
                <w:color w:val="auto"/>
                <w:highlight w:val="none"/>
                <w:u w:val="none" w:color="auto"/>
                <w:vertAlign w:val="baseline"/>
                <w:lang w:val="en-US" w:eastAsia="zh-CN"/>
              </w:rPr>
            </w:pPr>
            <w:r>
              <w:rPr>
                <w:rFonts w:hint="eastAsia" w:ascii="Times New Roman" w:hAnsi="Times New Roman" w:eastAsia="宋体" w:cs="Times New Roman"/>
                <w:b/>
                <w:bCs/>
                <w:color w:val="auto"/>
                <w:sz w:val="24"/>
                <w:szCs w:val="22"/>
                <w:highlight w:val="none"/>
                <w:u w:val="none" w:color="auto"/>
                <w:lang w:val="en-US" w:eastAsia="zh-CN"/>
              </w:rPr>
              <w:t>表4</w:t>
            </w:r>
            <w:r>
              <w:rPr>
                <w:rFonts w:hint="eastAsia" w:ascii="Times New Roman" w:hAnsi="Times New Roman" w:cs="Times New Roman"/>
                <w:b/>
                <w:bCs/>
                <w:color w:val="auto"/>
                <w:sz w:val="24"/>
                <w:szCs w:val="22"/>
                <w:highlight w:val="none"/>
                <w:u w:val="none" w:color="auto"/>
                <w:lang w:val="en-US" w:eastAsia="zh-CN"/>
              </w:rPr>
              <w:t>.4-2</w:t>
            </w:r>
            <w:r>
              <w:rPr>
                <w:rFonts w:hint="eastAsia" w:ascii="Times New Roman" w:hAnsi="Times New Roman" w:eastAsia="宋体" w:cs="Times New Roman"/>
                <w:b/>
                <w:bCs/>
                <w:color w:val="auto"/>
                <w:sz w:val="24"/>
                <w:szCs w:val="22"/>
                <w:highlight w:val="none"/>
                <w:u w:val="none" w:color="auto"/>
                <w:lang w:val="en-US" w:eastAsia="zh-CN"/>
              </w:rPr>
              <w:t>噪声基本参数一览表</w:t>
            </w:r>
          </w:p>
          <w:tbl>
            <w:tblPr>
              <w:tblStyle w:val="2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
              <w:gridCol w:w="1508"/>
              <w:gridCol w:w="532"/>
              <w:gridCol w:w="526"/>
              <w:gridCol w:w="503"/>
              <w:gridCol w:w="855"/>
              <w:gridCol w:w="937"/>
              <w:gridCol w:w="1060"/>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30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序号</w:t>
                  </w:r>
                </w:p>
              </w:tc>
              <w:tc>
                <w:tcPr>
                  <w:tcW w:w="948" w:type="pct"/>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噪声源</w:t>
                  </w:r>
                </w:p>
              </w:tc>
              <w:tc>
                <w:tcPr>
                  <w:tcW w:w="33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vertAlign w:val="baseline"/>
                    </w:rPr>
                  </w:pPr>
                  <w:r>
                    <w:rPr>
                      <w:rFonts w:hint="default" w:ascii="Times New Roman" w:hAnsi="Times New Roman" w:eastAsia="宋体" w:cs="Times New Roman"/>
                      <w:b/>
                      <w:bCs/>
                      <w:i w:val="0"/>
                      <w:iCs w:val="0"/>
                      <w:color w:val="auto"/>
                      <w:kern w:val="0"/>
                      <w:sz w:val="21"/>
                      <w:szCs w:val="21"/>
                      <w:highlight w:val="none"/>
                      <w:u w:val="none" w:color="auto"/>
                      <w:vertAlign w:val="baseline"/>
                      <w:lang w:val="en-US" w:eastAsia="zh-CN" w:bidi="ar"/>
                    </w:rPr>
                    <w:t>长</w:t>
                  </w:r>
                  <w:r>
                    <w:rPr>
                      <w:rStyle w:val="71"/>
                      <w:rFonts w:eastAsia="宋体"/>
                      <w:b/>
                      <w:bCs/>
                      <w:color w:val="auto"/>
                      <w:sz w:val="21"/>
                      <w:szCs w:val="21"/>
                      <w:highlight w:val="none"/>
                      <w:u w:val="none" w:color="auto"/>
                      <w:vertAlign w:val="baseline"/>
                      <w:lang w:val="en-US" w:eastAsia="zh-CN" w:bidi="ar"/>
                    </w:rPr>
                    <w:t>/m</w:t>
                  </w:r>
                </w:p>
              </w:tc>
              <w:tc>
                <w:tcPr>
                  <w:tcW w:w="33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vertAlign w:val="baseline"/>
                    </w:rPr>
                  </w:pPr>
                  <w:r>
                    <w:rPr>
                      <w:rFonts w:hint="default" w:ascii="Times New Roman" w:hAnsi="Times New Roman" w:eastAsia="宋体" w:cs="Times New Roman"/>
                      <w:b/>
                      <w:bCs/>
                      <w:i w:val="0"/>
                      <w:iCs w:val="0"/>
                      <w:color w:val="auto"/>
                      <w:kern w:val="0"/>
                      <w:sz w:val="21"/>
                      <w:szCs w:val="21"/>
                      <w:highlight w:val="none"/>
                      <w:u w:val="none" w:color="auto"/>
                      <w:vertAlign w:val="baseline"/>
                      <w:lang w:val="en-US" w:eastAsia="zh-CN" w:bidi="ar"/>
                    </w:rPr>
                    <w:t>宽</w:t>
                  </w:r>
                  <w:r>
                    <w:rPr>
                      <w:rStyle w:val="71"/>
                      <w:rFonts w:eastAsia="宋体"/>
                      <w:b/>
                      <w:bCs/>
                      <w:color w:val="auto"/>
                      <w:sz w:val="21"/>
                      <w:szCs w:val="21"/>
                      <w:highlight w:val="none"/>
                      <w:u w:val="none" w:color="auto"/>
                      <w:vertAlign w:val="baseline"/>
                      <w:lang w:val="en-US" w:eastAsia="zh-CN" w:bidi="ar"/>
                    </w:rPr>
                    <w:t>/m</w:t>
                  </w:r>
                </w:p>
              </w:tc>
              <w:tc>
                <w:tcPr>
                  <w:tcW w:w="31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vertAlign w:val="baseline"/>
                    </w:rPr>
                  </w:pPr>
                  <w:r>
                    <w:rPr>
                      <w:rFonts w:hint="default" w:ascii="Times New Roman" w:hAnsi="Times New Roman" w:eastAsia="宋体" w:cs="Times New Roman"/>
                      <w:b/>
                      <w:bCs/>
                      <w:i w:val="0"/>
                      <w:iCs w:val="0"/>
                      <w:color w:val="auto"/>
                      <w:kern w:val="0"/>
                      <w:sz w:val="21"/>
                      <w:szCs w:val="21"/>
                      <w:highlight w:val="none"/>
                      <w:u w:val="none" w:color="auto"/>
                      <w:vertAlign w:val="baseline"/>
                      <w:lang w:val="en-US" w:eastAsia="zh-CN" w:bidi="ar"/>
                    </w:rPr>
                    <w:t>高</w:t>
                  </w:r>
                  <w:r>
                    <w:rPr>
                      <w:rStyle w:val="71"/>
                      <w:rFonts w:eastAsia="宋体"/>
                      <w:b/>
                      <w:bCs/>
                      <w:color w:val="auto"/>
                      <w:sz w:val="21"/>
                      <w:szCs w:val="21"/>
                      <w:highlight w:val="none"/>
                      <w:u w:val="none" w:color="auto"/>
                      <w:vertAlign w:val="baseline"/>
                      <w:lang w:val="en-US" w:eastAsia="zh-CN" w:bidi="ar"/>
                    </w:rPr>
                    <w:t>/m</w:t>
                  </w:r>
                </w:p>
              </w:tc>
              <w:tc>
                <w:tcPr>
                  <w:tcW w:w="537"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表面积</w:t>
                  </w:r>
                  <w:r>
                    <w:rPr>
                      <w:rStyle w:val="71"/>
                      <w:rFonts w:eastAsia="宋体"/>
                      <w:b/>
                      <w:bCs/>
                      <w:color w:val="auto"/>
                      <w:sz w:val="21"/>
                      <w:szCs w:val="21"/>
                      <w:highlight w:val="none"/>
                      <w:u w:val="none" w:color="auto"/>
                      <w:vertAlign w:val="baseline"/>
                      <w:lang w:val="en-US" w:eastAsia="zh-CN" w:bidi="ar"/>
                    </w:rPr>
                    <w:t>/m</w:t>
                  </w:r>
                  <w:r>
                    <w:rPr>
                      <w:rStyle w:val="70"/>
                      <w:rFonts w:eastAsia="宋体"/>
                      <w:b/>
                      <w:bCs/>
                      <w:color w:val="auto"/>
                      <w:sz w:val="21"/>
                      <w:szCs w:val="21"/>
                      <w:highlight w:val="none"/>
                      <w:u w:val="none" w:color="auto"/>
                      <w:vertAlign w:val="superscript"/>
                      <w:lang w:val="en-US" w:eastAsia="zh-CN" w:bidi="ar"/>
                    </w:rPr>
                    <w:t>2</w:t>
                  </w:r>
                </w:p>
              </w:tc>
              <w:tc>
                <w:tcPr>
                  <w:tcW w:w="589"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吸声系数</w:t>
                  </w:r>
                  <w:r>
                    <w:rPr>
                      <w:rStyle w:val="87"/>
                      <w:rFonts w:ascii="Times New Roman" w:hAnsi="Times New Roman" w:cs="Times New Roman"/>
                      <w:color w:val="auto"/>
                      <w:sz w:val="21"/>
                      <w:szCs w:val="21"/>
                      <w:highlight w:val="none"/>
                      <w:u w:val="none" w:color="auto"/>
                      <w:lang w:val="en-US" w:eastAsia="zh-CN" w:bidi="ar"/>
                    </w:rPr>
                    <w:t>α</w:t>
                  </w:r>
                </w:p>
              </w:tc>
              <w:tc>
                <w:tcPr>
                  <w:tcW w:w="66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房间常数</w:t>
                  </w:r>
                  <w:r>
                    <w:rPr>
                      <w:rStyle w:val="88"/>
                      <w:rFonts w:eastAsia="宋体"/>
                      <w:color w:val="auto"/>
                      <w:sz w:val="21"/>
                      <w:szCs w:val="21"/>
                      <w:highlight w:val="none"/>
                      <w:u w:val="none" w:color="auto"/>
                      <w:lang w:val="en-US" w:eastAsia="zh-CN" w:bidi="ar"/>
                    </w:rPr>
                    <w:t>R</w:t>
                  </w:r>
                </w:p>
              </w:tc>
              <w:tc>
                <w:tcPr>
                  <w:tcW w:w="973"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bidi="ar"/>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指向性因数Q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00"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rPr>
                  </w:pPr>
                </w:p>
              </w:tc>
              <w:tc>
                <w:tcPr>
                  <w:tcW w:w="948" w:type="pct"/>
                  <w:tcBorders>
                    <w:top w:val="single" w:color="000000" w:sz="8" w:space="0"/>
                    <w:left w:val="nil"/>
                    <w:bottom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r>
                    <w:rPr>
                      <w:rFonts w:hAnsi="宋体"/>
                      <w:color w:val="auto"/>
                      <w:szCs w:val="21"/>
                      <w:u w:val="none"/>
                    </w:rPr>
                    <w:t>收线机</w:t>
                  </w:r>
                </w:p>
              </w:tc>
              <w:tc>
                <w:tcPr>
                  <w:tcW w:w="334" w:type="pct"/>
                  <w:vMerge w:val="restart"/>
                  <w:tcBorders>
                    <w:top w:val="single" w:color="000000" w:sz="8" w:space="0"/>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152</w:t>
                  </w:r>
                </w:p>
              </w:tc>
              <w:tc>
                <w:tcPr>
                  <w:tcW w:w="330" w:type="pct"/>
                  <w:vMerge w:val="restart"/>
                  <w:tcBorders>
                    <w:top w:val="single" w:color="000000" w:sz="8" w:space="0"/>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50</w:t>
                  </w:r>
                </w:p>
              </w:tc>
              <w:tc>
                <w:tcPr>
                  <w:tcW w:w="316" w:type="pct"/>
                  <w:vMerge w:val="restart"/>
                  <w:tcBorders>
                    <w:top w:val="single" w:color="000000" w:sz="8" w:space="0"/>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10</w:t>
                  </w:r>
                </w:p>
              </w:tc>
              <w:tc>
                <w:tcPr>
                  <w:tcW w:w="537" w:type="pct"/>
                  <w:vMerge w:val="restart"/>
                  <w:tcBorders>
                    <w:top w:val="single" w:color="000000" w:sz="8" w:space="0"/>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19240</w:t>
                  </w:r>
                </w:p>
              </w:tc>
              <w:tc>
                <w:tcPr>
                  <w:tcW w:w="589" w:type="pct"/>
                  <w:vMerge w:val="restart"/>
                  <w:tcBorders>
                    <w:top w:val="single" w:color="000000" w:sz="8" w:space="0"/>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default" w:ascii="Times New Roman" w:hAnsi="Times New Roman" w:eastAsia="宋体" w:cs="Times New Roman"/>
                      <w:i w:val="0"/>
                      <w:iCs w:val="0"/>
                      <w:color w:val="auto"/>
                      <w:sz w:val="21"/>
                      <w:szCs w:val="21"/>
                      <w:highlight w:val="none"/>
                      <w:u w:val="none" w:color="auto"/>
                      <w:lang w:val="en-US" w:eastAsia="zh-CN"/>
                    </w:rPr>
                    <w:t>0.</w:t>
                  </w:r>
                  <w:r>
                    <w:rPr>
                      <w:rFonts w:hint="eastAsia" w:ascii="Times New Roman" w:hAnsi="Times New Roman" w:eastAsia="宋体" w:cs="Times New Roman"/>
                      <w:i w:val="0"/>
                      <w:iCs w:val="0"/>
                      <w:color w:val="auto"/>
                      <w:sz w:val="21"/>
                      <w:szCs w:val="21"/>
                      <w:highlight w:val="none"/>
                      <w:u w:val="none" w:color="auto"/>
                      <w:lang w:val="en-US" w:eastAsia="zh-CN"/>
                    </w:rPr>
                    <w:t>1</w:t>
                  </w:r>
                </w:p>
              </w:tc>
              <w:tc>
                <w:tcPr>
                  <w:tcW w:w="666" w:type="pct"/>
                  <w:vMerge w:val="restart"/>
                  <w:tcBorders>
                    <w:top w:val="single" w:color="000000" w:sz="8" w:space="0"/>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2137</w:t>
                  </w:r>
                </w:p>
              </w:tc>
              <w:tc>
                <w:tcPr>
                  <w:tcW w:w="973" w:type="pct"/>
                  <w:vMerge w:val="restart"/>
                  <w:tcBorders>
                    <w:top w:val="single" w:color="000000" w:sz="8" w:space="0"/>
                    <w:left w:val="single" w:color="000000" w:sz="8"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00" w:type="pct"/>
                  <w:tcBorders>
                    <w:top w:val="nil"/>
                    <w:left w:val="single" w:color="000000" w:sz="8" w:space="0"/>
                    <w:bottom w:val="single" w:color="auto" w:sz="4" w:space="0"/>
                    <w:right w:val="single" w:color="000000" w:sz="8"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rPr>
                  </w:pPr>
                </w:p>
              </w:tc>
              <w:tc>
                <w:tcPr>
                  <w:tcW w:w="948" w:type="pct"/>
                  <w:tcBorders>
                    <w:top w:val="nil"/>
                    <w:left w:val="nil"/>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r>
                    <w:rPr>
                      <w:rFonts w:hint="eastAsia" w:hAnsi="宋体"/>
                      <w:color w:val="auto"/>
                      <w:szCs w:val="21"/>
                      <w:u w:val="none"/>
                      <w:lang w:eastAsia="zh-CN"/>
                    </w:rPr>
                    <w:t>拉丝机</w:t>
                  </w:r>
                </w:p>
              </w:tc>
              <w:tc>
                <w:tcPr>
                  <w:tcW w:w="334"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000000" w:sz="8"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r>
                    <w:rPr>
                      <w:rFonts w:hint="eastAsia" w:hAnsi="宋体"/>
                      <w:color w:val="auto"/>
                      <w:szCs w:val="21"/>
                      <w:u w:val="none"/>
                      <w:lang w:eastAsia="zh-CN"/>
                    </w:rPr>
                    <w:t>细拉机</w:t>
                  </w:r>
                </w:p>
              </w:tc>
              <w:tc>
                <w:tcPr>
                  <w:tcW w:w="334"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000000" w:sz="8"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eastAsia="zh-CN" w:bidi="ar"/>
                    </w:rPr>
                  </w:pPr>
                  <w:r>
                    <w:rPr>
                      <w:rFonts w:hAnsi="宋体"/>
                      <w:color w:val="auto"/>
                      <w:szCs w:val="21"/>
                      <w:u w:val="none"/>
                    </w:rPr>
                    <w:t>切丝机</w:t>
                  </w:r>
                </w:p>
              </w:tc>
              <w:tc>
                <w:tcPr>
                  <w:tcW w:w="334"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000000" w:sz="8"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eastAsia="zh-CN" w:bidi="ar"/>
                    </w:rPr>
                  </w:pPr>
                  <w:r>
                    <w:rPr>
                      <w:rFonts w:hint="eastAsia" w:hAnsi="宋体"/>
                      <w:color w:val="auto"/>
                      <w:szCs w:val="21"/>
                      <w:highlight w:val="none"/>
                      <w:u w:val="none"/>
                      <w:lang w:eastAsia="zh-CN"/>
                    </w:rPr>
                    <w:t>退火炉</w:t>
                  </w:r>
                </w:p>
              </w:tc>
              <w:tc>
                <w:tcPr>
                  <w:tcW w:w="334"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000000" w:sz="8"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eastAsia="zh-CN" w:bidi="ar"/>
                    </w:rPr>
                  </w:pPr>
                  <w:r>
                    <w:rPr>
                      <w:rFonts w:hint="eastAsia" w:hAnsi="宋体"/>
                      <w:color w:val="auto"/>
                      <w:szCs w:val="21"/>
                      <w:highlight w:val="none"/>
                      <w:u w:val="none"/>
                      <w:lang w:val="en-US" w:eastAsia="zh-CN"/>
                    </w:rPr>
                    <w:t>倒立机</w:t>
                  </w:r>
                </w:p>
              </w:tc>
              <w:tc>
                <w:tcPr>
                  <w:tcW w:w="334"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000000" w:sz="8"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000000" w:sz="8"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eastAsia="zh-CN" w:bidi="ar"/>
                    </w:rPr>
                  </w:pPr>
                  <w:r>
                    <w:rPr>
                      <w:rFonts w:hint="eastAsia" w:hAnsi="宋体"/>
                      <w:color w:val="auto"/>
                      <w:szCs w:val="21"/>
                      <w:highlight w:val="none"/>
                      <w:u w:val="none"/>
                      <w:lang w:val="en-US" w:eastAsia="zh-CN"/>
                    </w:rPr>
                    <w:t>单头机</w:t>
                  </w:r>
                </w:p>
              </w:tc>
              <w:tc>
                <w:tcPr>
                  <w:tcW w:w="334" w:type="pct"/>
                  <w:vMerge w:val="continue"/>
                  <w:tcBorders>
                    <w:left w:val="single" w:color="000000" w:sz="8" w:space="0"/>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left w:val="single" w:color="000000" w:sz="8" w:space="0"/>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000000" w:sz="8" w:space="0"/>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000000" w:sz="8" w:space="0"/>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000000" w:sz="8" w:space="0"/>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000000" w:sz="8" w:space="0"/>
                    <w:bottom w:val="single" w:color="auto" w:sz="4" w:space="0"/>
                    <w:right w:val="single" w:color="000000" w:sz="8"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000000" w:sz="8"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val="en-US" w:eastAsia="zh-CN"/>
                    </w:rPr>
                    <w:t>清洗机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default" w:ascii="Times New Roman" w:hAnsi="Times New Roman" w:eastAsia="宋体" w:cs="Times New Roman"/>
                      <w:i w:val="0"/>
                      <w:iCs w:val="0"/>
                      <w:color w:val="auto"/>
                      <w:sz w:val="21"/>
                      <w:szCs w:val="21"/>
                      <w:highlight w:val="none"/>
                      <w:u w:val="none" w:color="auto"/>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联合纵剪机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轧丝机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拉丝机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val="en-US" w:eastAsia="zh-CN"/>
                    </w:rPr>
                    <w:t>钢带复绕机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多联拉丝机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切丝机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打团机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highlight w:val="none"/>
                      <w:u w:val="none"/>
                      <w:lang w:eastAsia="zh-CN"/>
                    </w:rPr>
                    <w:t>自动打包机</w:t>
                  </w:r>
                </w:p>
              </w:tc>
              <w:tc>
                <w:tcPr>
                  <w:tcW w:w="334"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u w:val="none"/>
                      <w:lang w:eastAsia="zh-CN"/>
                    </w:rPr>
                    <w:t>抛光设备</w:t>
                  </w:r>
                </w:p>
              </w:tc>
              <w:tc>
                <w:tcPr>
                  <w:tcW w:w="33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9</w:t>
                  </w:r>
                </w:p>
              </w:tc>
              <w:tc>
                <w:tcPr>
                  <w:tcW w:w="330"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541</w:t>
                  </w:r>
                </w:p>
              </w:tc>
              <w:tc>
                <w:tcPr>
                  <w:tcW w:w="58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0.1</w:t>
                  </w:r>
                </w:p>
              </w:tc>
              <w:tc>
                <w:tcPr>
                  <w:tcW w:w="66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60.11</w:t>
                  </w:r>
                </w:p>
              </w:tc>
              <w:tc>
                <w:tcPr>
                  <w:tcW w:w="973"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Ansi="宋体"/>
                      <w:color w:val="auto"/>
                      <w:szCs w:val="21"/>
                      <w:u w:val="none"/>
                    </w:rPr>
                    <w:t>精密层绕机</w:t>
                  </w:r>
                </w:p>
              </w:tc>
              <w:tc>
                <w:tcPr>
                  <w:tcW w:w="334"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152</w:t>
                  </w:r>
                </w:p>
              </w:tc>
              <w:tc>
                <w:tcPr>
                  <w:tcW w:w="330"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48</w:t>
                  </w:r>
                </w:p>
              </w:tc>
              <w:tc>
                <w:tcPr>
                  <w:tcW w:w="316"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10</w:t>
                  </w:r>
                </w:p>
              </w:tc>
              <w:tc>
                <w:tcPr>
                  <w:tcW w:w="537"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18791</w:t>
                  </w:r>
                </w:p>
              </w:tc>
              <w:tc>
                <w:tcPr>
                  <w:tcW w:w="589"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0.1</w:t>
                  </w:r>
                </w:p>
              </w:tc>
              <w:tc>
                <w:tcPr>
                  <w:tcW w:w="666"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2088</w:t>
                  </w:r>
                </w:p>
              </w:tc>
              <w:tc>
                <w:tcPr>
                  <w:tcW w:w="973"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u w:val="none"/>
                      <w:lang w:eastAsia="zh-CN"/>
                    </w:rPr>
                    <w:t>手动</w:t>
                  </w:r>
                  <w:r>
                    <w:rPr>
                      <w:rFonts w:hAnsi="宋体"/>
                      <w:color w:val="auto"/>
                      <w:szCs w:val="21"/>
                      <w:u w:val="none"/>
                    </w:rPr>
                    <w:t>层绕机</w:t>
                  </w:r>
                </w:p>
              </w:tc>
              <w:tc>
                <w:tcPr>
                  <w:tcW w:w="334"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Ansi="宋体"/>
                      <w:color w:val="auto"/>
                      <w:szCs w:val="21"/>
                      <w:u w:val="none"/>
                    </w:rPr>
                    <w:t>自动包装机</w:t>
                  </w:r>
                </w:p>
              </w:tc>
              <w:tc>
                <w:tcPr>
                  <w:tcW w:w="334"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u w:val="none"/>
                      <w:lang w:eastAsia="zh-CN"/>
                    </w:rPr>
                    <w:t>手动包装机</w:t>
                  </w:r>
                </w:p>
              </w:tc>
              <w:tc>
                <w:tcPr>
                  <w:tcW w:w="334"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30"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316"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37"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589"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666"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73"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cs="宋体"/>
                      <w:color w:val="auto"/>
                      <w:szCs w:val="21"/>
                      <w:highlight w:val="none"/>
                      <w:u w:val="none" w:color="auto"/>
                      <w:lang w:val="en-US" w:eastAsia="zh-CN" w:bidi="ar"/>
                    </w:rPr>
                  </w:pPr>
                  <w:r>
                    <w:rPr>
                      <w:rFonts w:hint="eastAsia" w:hAnsi="宋体"/>
                      <w:color w:val="auto"/>
                      <w:szCs w:val="21"/>
                      <w:u w:val="none"/>
                      <w:lang w:eastAsia="zh-CN"/>
                    </w:rPr>
                    <w:t>空压机</w:t>
                  </w:r>
                </w:p>
              </w:tc>
              <w:tc>
                <w:tcPr>
                  <w:tcW w:w="33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9</w:t>
                  </w:r>
                </w:p>
              </w:tc>
              <w:tc>
                <w:tcPr>
                  <w:tcW w:w="330"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541</w:t>
                  </w:r>
                </w:p>
              </w:tc>
              <w:tc>
                <w:tcPr>
                  <w:tcW w:w="58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0.1</w:t>
                  </w:r>
                </w:p>
              </w:tc>
              <w:tc>
                <w:tcPr>
                  <w:tcW w:w="66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60.11</w:t>
                  </w:r>
                </w:p>
              </w:tc>
              <w:tc>
                <w:tcPr>
                  <w:tcW w:w="973"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 w:hRule="atLeast"/>
                <w:jc w:val="center"/>
              </w:trPr>
              <w:tc>
                <w:tcPr>
                  <w:tcW w:w="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26"/>
                    </w:numPr>
                    <w:suppressLineNumbers w:val="0"/>
                    <w:ind w:left="0" w:leftChars="0" w:firstLine="0" w:firstLineChars="0"/>
                    <w:jc w:val="center"/>
                    <w:textAlignment w:val="center"/>
                    <w:rPr>
                      <w:rFonts w:hint="eastAsia" w:ascii="Times New Roman" w:hAnsi="Times New Roman" w:eastAsia="宋体" w:cs="Times New Roman"/>
                      <w:i w:val="0"/>
                      <w:iCs w:val="0"/>
                      <w:color w:val="auto"/>
                      <w:sz w:val="21"/>
                      <w:szCs w:val="21"/>
                      <w:highlight w:val="none"/>
                      <w:u w:val="none" w:color="auto"/>
                      <w:lang w:val="en-US" w:eastAsia="zh-CN"/>
                    </w:rPr>
                  </w:pPr>
                </w:p>
              </w:tc>
              <w:tc>
                <w:tcPr>
                  <w:tcW w:w="94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hAnsi="宋体"/>
                      <w:color w:val="auto"/>
                      <w:szCs w:val="21"/>
                      <w:u w:val="none"/>
                      <w:lang w:eastAsia="zh-CN"/>
                    </w:rPr>
                  </w:pPr>
                  <w:r>
                    <w:rPr>
                      <w:rFonts w:hint="eastAsia" w:hAnsi="宋体"/>
                      <w:color w:val="auto"/>
                      <w:szCs w:val="21"/>
                      <w:u w:val="none"/>
                      <w:lang w:eastAsia="zh-CN"/>
                    </w:rPr>
                    <w:t>注塑机</w:t>
                  </w:r>
                </w:p>
              </w:tc>
              <w:tc>
                <w:tcPr>
                  <w:tcW w:w="33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152</w:t>
                  </w:r>
                </w:p>
              </w:tc>
              <w:tc>
                <w:tcPr>
                  <w:tcW w:w="330"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48</w:t>
                  </w:r>
                </w:p>
              </w:tc>
              <w:tc>
                <w:tcPr>
                  <w:tcW w:w="31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18791</w:t>
                  </w:r>
                </w:p>
              </w:tc>
              <w:tc>
                <w:tcPr>
                  <w:tcW w:w="58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0.1</w:t>
                  </w:r>
                </w:p>
              </w:tc>
              <w:tc>
                <w:tcPr>
                  <w:tcW w:w="66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2088</w:t>
                  </w:r>
                </w:p>
              </w:tc>
              <w:tc>
                <w:tcPr>
                  <w:tcW w:w="973"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w:t>
                  </w:r>
                </w:p>
              </w:tc>
            </w:tr>
          </w:tbl>
          <w:p>
            <w:pPr>
              <w:spacing w:line="360" w:lineRule="auto"/>
              <w:ind w:firstLine="482" w:firstLineChars="200"/>
              <w:rPr>
                <w:rFonts w:hint="default" w:eastAsia="宋体"/>
                <w:color w:val="auto"/>
                <w:spacing w:val="0"/>
                <w:kern w:val="0"/>
                <w:sz w:val="24"/>
                <w:szCs w:val="24"/>
                <w:u w:val="none" w:color="auto"/>
                <w:lang w:val="en-US" w:eastAsia="zh-CN"/>
              </w:rPr>
            </w:pPr>
            <w:r>
              <w:rPr>
                <w:rFonts w:hint="eastAsia"/>
                <w:b/>
                <w:bCs/>
                <w:color w:val="auto"/>
                <w:spacing w:val="0"/>
                <w:kern w:val="0"/>
                <w:sz w:val="24"/>
                <w:szCs w:val="24"/>
                <w:u w:val="none" w:color="auto"/>
                <w:lang w:eastAsia="zh-CN"/>
              </w:rPr>
              <w:t>（</w:t>
            </w:r>
            <w:r>
              <w:rPr>
                <w:rFonts w:hint="eastAsia"/>
                <w:b/>
                <w:bCs/>
                <w:color w:val="auto"/>
                <w:spacing w:val="0"/>
                <w:kern w:val="0"/>
                <w:sz w:val="24"/>
                <w:szCs w:val="24"/>
                <w:u w:val="none" w:color="auto"/>
                <w:lang w:val="en-US" w:eastAsia="zh-CN"/>
              </w:rPr>
              <w:t>2</w:t>
            </w:r>
            <w:r>
              <w:rPr>
                <w:rFonts w:hint="eastAsia"/>
                <w:b/>
                <w:bCs/>
                <w:color w:val="auto"/>
                <w:spacing w:val="0"/>
                <w:kern w:val="0"/>
                <w:sz w:val="24"/>
                <w:szCs w:val="24"/>
                <w:u w:val="none" w:color="auto"/>
                <w:lang w:eastAsia="zh-CN"/>
              </w:rPr>
              <w:t>）噪声源强调查</w:t>
            </w:r>
          </w:p>
          <w:p>
            <w:pPr>
              <w:pStyle w:val="25"/>
              <w:spacing w:before="0" w:beforeAutospacing="0" w:after="0" w:afterAutospacing="0" w:line="360" w:lineRule="auto"/>
              <w:ind w:firstLine="482"/>
              <w:rPr>
                <w:rFonts w:hint="default" w:ascii="Times New Roman" w:hAnsi="Times New Roman" w:cs="Times New Roman"/>
                <w:color w:val="auto"/>
                <w:spacing w:val="0"/>
                <w:kern w:val="0"/>
                <w:sz w:val="24"/>
                <w:szCs w:val="24"/>
                <w:u w:val="none" w:color="auto"/>
                <w:lang w:val="en-US" w:eastAsia="zh-CN"/>
              </w:rPr>
            </w:pPr>
            <w:r>
              <w:rPr>
                <w:rFonts w:hint="default" w:ascii="Times New Roman" w:hAnsi="Times New Roman" w:cs="Times New Roman"/>
                <w:color w:val="auto"/>
                <w:spacing w:val="0"/>
                <w:kern w:val="0"/>
                <w:sz w:val="24"/>
                <w:szCs w:val="24"/>
                <w:u w:val="none" w:color="auto"/>
                <w:lang w:val="en-US" w:eastAsia="zh-CN"/>
              </w:rPr>
              <w:t>根据《环境影响评价技术导则声环境》（HJ2.4-2021），室内噪声源强调查详见下表</w:t>
            </w:r>
            <w:r>
              <w:rPr>
                <w:rFonts w:hint="eastAsia" w:ascii="Times New Roman" w:hAnsi="Times New Roman" w:cs="Times New Roman"/>
                <w:color w:val="auto"/>
                <w:spacing w:val="0"/>
                <w:kern w:val="0"/>
                <w:sz w:val="24"/>
                <w:szCs w:val="24"/>
                <w:u w:val="none" w:color="auto"/>
                <w:lang w:val="en-US" w:eastAsia="zh-CN"/>
              </w:rPr>
              <w:t>：</w:t>
            </w:r>
          </w:p>
          <w:p>
            <w:pPr>
              <w:pStyle w:val="25"/>
              <w:ind w:firstLine="0"/>
              <w:rPr>
                <w:rFonts w:hint="default"/>
                <w:color w:val="auto"/>
                <w:u w:val="none"/>
              </w:rPr>
            </w:pPr>
          </w:p>
        </w:tc>
      </w:tr>
    </w:tbl>
    <w:p>
      <w:pPr>
        <w:pStyle w:val="25"/>
        <w:spacing w:line="360" w:lineRule="auto"/>
        <w:jc w:val="center"/>
        <w:outlineLvl w:val="9"/>
        <w:rPr>
          <w:rFonts w:ascii="Times New Roman" w:hAnsi="Times New Roman"/>
          <w:snapToGrid w:val="0"/>
          <w:color w:val="auto"/>
          <w:sz w:val="30"/>
          <w:szCs w:val="30"/>
          <w:highlight w:val="none"/>
          <w:u w:val="none"/>
        </w:rPr>
        <w:sectPr>
          <w:pgSz w:w="11906" w:h="16838"/>
          <w:pgMar w:top="1440" w:right="1080" w:bottom="1440" w:left="1080" w:header="851" w:footer="992" w:gutter="0"/>
          <w:pgNumType w:fmt="decimal"/>
          <w:cols w:space="425" w:num="1"/>
          <w:docGrid w:type="lines" w:linePitch="312" w:charSpace="0"/>
        </w:sectPr>
      </w:pPr>
      <w:bookmarkStart w:id="68" w:name="_Toc15548"/>
    </w:p>
    <w:p>
      <w:pPr>
        <w:pStyle w:val="27"/>
        <w:spacing w:before="0" w:after="0" w:line="240" w:lineRule="auto"/>
        <w:ind w:firstLine="0" w:firstLineChars="0"/>
        <w:jc w:val="center"/>
        <w:rPr>
          <w:rFonts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b/>
          <w:bCs/>
          <w:color w:val="auto"/>
          <w:sz w:val="24"/>
          <w:szCs w:val="22"/>
          <w:u w:val="none" w:color="auto"/>
          <w:lang w:val="en-US" w:eastAsia="zh-CN"/>
        </w:rPr>
        <w:t>表4</w:t>
      </w:r>
      <w:r>
        <w:rPr>
          <w:rFonts w:hint="eastAsia" w:ascii="Times New Roman" w:hAnsi="Times New Roman" w:cs="Times New Roman"/>
          <w:b/>
          <w:bCs/>
          <w:color w:val="auto"/>
          <w:sz w:val="24"/>
          <w:szCs w:val="22"/>
          <w:u w:val="none" w:color="auto"/>
          <w:lang w:val="en-US" w:eastAsia="zh-CN"/>
        </w:rPr>
        <w:t>.4-3</w:t>
      </w:r>
      <w:r>
        <w:rPr>
          <w:rFonts w:ascii="Times New Roman" w:hAnsi="Times New Roman" w:eastAsia="宋体" w:cs="Times New Roman"/>
          <w:b/>
          <w:bCs/>
          <w:color w:val="auto"/>
          <w:sz w:val="24"/>
          <w:szCs w:val="22"/>
          <w:u w:val="none" w:color="auto"/>
          <w:lang w:eastAsia="zh-CN"/>
        </w:rPr>
        <w:t>工业企业噪声源强调查清单（室</w:t>
      </w:r>
      <w:r>
        <w:rPr>
          <w:rFonts w:hint="eastAsia" w:ascii="Times New Roman" w:hAnsi="Times New Roman" w:eastAsia="宋体" w:cs="Times New Roman"/>
          <w:b/>
          <w:bCs/>
          <w:color w:val="auto"/>
          <w:sz w:val="24"/>
          <w:szCs w:val="22"/>
          <w:u w:val="none" w:color="auto"/>
          <w:lang w:val="en-US" w:eastAsia="zh-CN"/>
        </w:rPr>
        <w:t>内</w:t>
      </w:r>
      <w:r>
        <w:rPr>
          <w:rFonts w:ascii="Times New Roman" w:hAnsi="Times New Roman" w:eastAsia="宋体" w:cs="Times New Roman"/>
          <w:b/>
          <w:bCs/>
          <w:color w:val="auto"/>
          <w:sz w:val="24"/>
          <w:szCs w:val="22"/>
          <w:u w:val="none" w:color="auto"/>
          <w:lang w:eastAsia="zh-CN"/>
        </w:rPr>
        <w:t>声源）</w:t>
      </w:r>
    </w:p>
    <w:tbl>
      <w:tblPr>
        <w:tblStyle w:val="29"/>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67"/>
        <w:gridCol w:w="975"/>
        <w:gridCol w:w="870"/>
        <w:gridCol w:w="648"/>
        <w:gridCol w:w="581"/>
        <w:gridCol w:w="579"/>
        <w:gridCol w:w="370"/>
        <w:gridCol w:w="585"/>
        <w:gridCol w:w="369"/>
        <w:gridCol w:w="570"/>
        <w:gridCol w:w="450"/>
        <w:gridCol w:w="630"/>
        <w:gridCol w:w="585"/>
        <w:gridCol w:w="588"/>
        <w:gridCol w:w="659"/>
        <w:gridCol w:w="346"/>
        <w:gridCol w:w="852"/>
        <w:gridCol w:w="686"/>
        <w:gridCol w:w="752"/>
        <w:gridCol w:w="752"/>
        <w:gridCol w:w="755"/>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60"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bookmarkStart w:id="69" w:name="PT_6"/>
            <w:r>
              <w:rPr>
                <w:rFonts w:hint="default" w:ascii="Times New Roman" w:hAnsi="Times New Roman" w:eastAsia="宋体" w:cs="Times New Roman"/>
                <w:b/>
                <w:bCs/>
                <w:i w:val="0"/>
                <w:iCs w:val="0"/>
                <w:color w:val="auto"/>
                <w:kern w:val="0"/>
                <w:sz w:val="21"/>
                <w:szCs w:val="21"/>
                <w:u w:val="none" w:color="auto"/>
                <w:lang w:val="en-US" w:eastAsia="zh-CN" w:bidi="ar"/>
              </w:rPr>
              <w:t>序号</w:t>
            </w:r>
          </w:p>
        </w:tc>
        <w:tc>
          <w:tcPr>
            <w:tcW w:w="164"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建筑物名称</w:t>
            </w:r>
          </w:p>
        </w:tc>
        <w:tc>
          <w:tcPr>
            <w:tcW w:w="342"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声源名称</w:t>
            </w:r>
          </w:p>
        </w:tc>
        <w:tc>
          <w:tcPr>
            <w:tcW w:w="305"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声源源强</w:t>
            </w:r>
          </w:p>
        </w:tc>
        <w:tc>
          <w:tcPr>
            <w:tcW w:w="227"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声源控制措施</w:t>
            </w:r>
          </w:p>
        </w:tc>
        <w:tc>
          <w:tcPr>
            <w:tcW w:w="537" w:type="pct"/>
            <w:gridSpan w:val="3"/>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空间相对位置/m</w:t>
            </w:r>
          </w:p>
        </w:tc>
        <w:tc>
          <w:tcPr>
            <w:tcW w:w="693" w:type="pct"/>
            <w:gridSpan w:val="4"/>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距室内边界距离/m</w:t>
            </w:r>
          </w:p>
        </w:tc>
        <w:tc>
          <w:tcPr>
            <w:tcW w:w="864" w:type="pct"/>
            <w:gridSpan w:val="4"/>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室内边界声级/dB(A)</w:t>
            </w:r>
          </w:p>
        </w:tc>
        <w:tc>
          <w:tcPr>
            <w:tcW w:w="121"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运行时段</w:t>
            </w:r>
          </w:p>
        </w:tc>
        <w:tc>
          <w:tcPr>
            <w:tcW w:w="299"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建筑物插入损失/dB(A)</w:t>
            </w:r>
          </w:p>
        </w:tc>
        <w:tc>
          <w:tcPr>
            <w:tcW w:w="1283" w:type="pct"/>
            <w:gridSpan w:val="5"/>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blHeader/>
          <w:jc w:val="center"/>
        </w:trPr>
        <w:tc>
          <w:tcPr>
            <w:tcW w:w="160"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164"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342"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305"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声功率级/dB(A)</w:t>
            </w:r>
          </w:p>
        </w:tc>
        <w:tc>
          <w:tcPr>
            <w:tcW w:w="227"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204"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X</w:t>
            </w:r>
          </w:p>
        </w:tc>
        <w:tc>
          <w:tcPr>
            <w:tcW w:w="203"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Y</w:t>
            </w:r>
          </w:p>
        </w:tc>
        <w:tc>
          <w:tcPr>
            <w:tcW w:w="12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Z</w:t>
            </w:r>
          </w:p>
        </w:tc>
        <w:tc>
          <w:tcPr>
            <w:tcW w:w="205" w:type="pct"/>
            <w:vMerge w:val="restart"/>
            <w:shd w:val="clear" w:color="auto" w:fill="auto"/>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东</w:t>
            </w:r>
          </w:p>
        </w:tc>
        <w:tc>
          <w:tcPr>
            <w:tcW w:w="129" w:type="pct"/>
            <w:vMerge w:val="restart"/>
            <w:shd w:val="clear" w:color="auto" w:fill="auto"/>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南</w:t>
            </w:r>
          </w:p>
        </w:tc>
        <w:tc>
          <w:tcPr>
            <w:tcW w:w="200" w:type="pct"/>
            <w:vMerge w:val="restart"/>
            <w:shd w:val="clear" w:color="auto" w:fill="auto"/>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西</w:t>
            </w:r>
          </w:p>
        </w:tc>
        <w:tc>
          <w:tcPr>
            <w:tcW w:w="158" w:type="pct"/>
            <w:vMerge w:val="restart"/>
            <w:shd w:val="clear" w:color="auto" w:fill="auto"/>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北</w:t>
            </w:r>
          </w:p>
        </w:tc>
        <w:tc>
          <w:tcPr>
            <w:tcW w:w="221" w:type="pct"/>
            <w:vMerge w:val="restart"/>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东</w:t>
            </w:r>
          </w:p>
        </w:tc>
        <w:tc>
          <w:tcPr>
            <w:tcW w:w="205" w:type="pct"/>
            <w:vMerge w:val="restart"/>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南</w:t>
            </w:r>
          </w:p>
        </w:tc>
        <w:tc>
          <w:tcPr>
            <w:tcW w:w="206" w:type="pct"/>
            <w:vMerge w:val="restart"/>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西</w:t>
            </w:r>
          </w:p>
        </w:tc>
        <w:tc>
          <w:tcPr>
            <w:tcW w:w="231" w:type="pct"/>
            <w:vMerge w:val="restart"/>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北</w:t>
            </w:r>
          </w:p>
        </w:tc>
        <w:tc>
          <w:tcPr>
            <w:tcW w:w="121"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299" w:type="pct"/>
            <w:vMerge w:val="continue"/>
            <w:shd w:val="clear" w:color="auto" w:fill="auto"/>
            <w:noWrap w:val="0"/>
            <w:vAlign w:val="center"/>
          </w:tcPr>
          <w:p>
            <w:pPr>
              <w:spacing w:line="240" w:lineRule="auto"/>
              <w:jc w:val="center"/>
              <w:rPr>
                <w:rFonts w:hint="default" w:ascii="Times New Roman" w:hAnsi="Times New Roman" w:eastAsia="宋体" w:cs="Times New Roman"/>
                <w:b/>
                <w:bCs/>
                <w:i w:val="0"/>
                <w:iCs w:val="0"/>
                <w:color w:val="auto"/>
                <w:sz w:val="21"/>
                <w:szCs w:val="21"/>
                <w:u w:val="none" w:color="auto"/>
              </w:rPr>
            </w:pPr>
          </w:p>
        </w:tc>
        <w:tc>
          <w:tcPr>
            <w:tcW w:w="1034" w:type="pct"/>
            <w:gridSpan w:val="4"/>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color="auto"/>
                <w:lang w:val="en-US" w:eastAsia="zh-CN" w:bidi="ar"/>
              </w:rPr>
            </w:pPr>
            <w:r>
              <w:rPr>
                <w:rFonts w:hint="default" w:ascii="Times New Roman" w:hAnsi="Times New Roman" w:eastAsia="宋体" w:cs="Times New Roman"/>
                <w:b/>
                <w:bCs/>
                <w:i w:val="0"/>
                <w:iCs w:val="0"/>
                <w:color w:val="auto"/>
                <w:kern w:val="0"/>
                <w:sz w:val="21"/>
                <w:szCs w:val="21"/>
                <w:u w:val="none" w:color="auto"/>
                <w:lang w:val="en-US" w:eastAsia="zh-CN" w:bidi="ar"/>
              </w:rPr>
              <w:t>声压级/dB(A)</w:t>
            </w:r>
          </w:p>
        </w:tc>
        <w:tc>
          <w:tcPr>
            <w:tcW w:w="248"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b/>
                <w:bCs/>
                <w:i w:val="0"/>
                <w:iCs w:val="0"/>
                <w:color w:val="auto"/>
                <w:kern w:val="0"/>
                <w:sz w:val="21"/>
                <w:szCs w:val="21"/>
                <w:u w:val="none" w:color="auto"/>
                <w:lang w:val="en-US" w:eastAsia="zh-CN" w:bidi="ar"/>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0" w:type="pct"/>
            <w:vMerge w:val="continue"/>
            <w:shd w:val="clear" w:color="auto" w:fill="auto"/>
            <w:noWrap w:val="0"/>
            <w:vAlign w:val="center"/>
          </w:tcPr>
          <w:p>
            <w:pPr>
              <w:keepNext w:val="0"/>
              <w:keepLines w:val="0"/>
              <w:widowControl/>
              <w:suppressLineNumbers w:val="0"/>
              <w:spacing w:line="240" w:lineRule="auto"/>
              <w:jc w:val="center"/>
              <w:textAlignment w:val="center"/>
              <w:rPr>
                <w:color w:val="auto"/>
              </w:rPr>
            </w:pPr>
          </w:p>
        </w:tc>
        <w:tc>
          <w:tcPr>
            <w:tcW w:w="164" w:type="pct"/>
            <w:vMerge w:val="continue"/>
            <w:shd w:val="clear" w:color="auto" w:fill="auto"/>
            <w:noWrap w:val="0"/>
            <w:vAlign w:val="center"/>
          </w:tcPr>
          <w:p>
            <w:pPr>
              <w:keepNext w:val="0"/>
              <w:keepLines w:val="0"/>
              <w:widowControl/>
              <w:suppressLineNumbers w:val="0"/>
              <w:spacing w:line="240" w:lineRule="auto"/>
              <w:jc w:val="center"/>
              <w:textAlignment w:val="center"/>
              <w:rPr>
                <w:color w:val="auto"/>
              </w:rPr>
            </w:pPr>
          </w:p>
        </w:tc>
        <w:tc>
          <w:tcPr>
            <w:tcW w:w="342" w:type="pct"/>
            <w:vMerge w:val="continue"/>
            <w:shd w:val="clear" w:color="auto" w:fill="auto"/>
            <w:noWrap w:val="0"/>
            <w:vAlign w:val="center"/>
          </w:tcPr>
          <w:p>
            <w:pPr>
              <w:keepNext w:val="0"/>
              <w:keepLines w:val="0"/>
              <w:widowControl/>
              <w:suppressLineNumbers w:val="0"/>
              <w:spacing w:line="240" w:lineRule="auto"/>
              <w:jc w:val="center"/>
              <w:textAlignment w:val="center"/>
              <w:rPr>
                <w:color w:val="auto"/>
              </w:rPr>
            </w:pPr>
          </w:p>
        </w:tc>
        <w:tc>
          <w:tcPr>
            <w:tcW w:w="305" w:type="pct"/>
            <w:vMerge w:val="continue"/>
            <w:shd w:val="clear" w:color="auto" w:fill="FFFFFF"/>
            <w:noWrap w:val="0"/>
            <w:vAlign w:val="center"/>
          </w:tcPr>
          <w:p>
            <w:pPr>
              <w:keepNext w:val="0"/>
              <w:keepLines w:val="0"/>
              <w:widowControl/>
              <w:suppressLineNumbers w:val="0"/>
              <w:spacing w:line="240" w:lineRule="auto"/>
              <w:jc w:val="center"/>
              <w:textAlignment w:val="center"/>
              <w:rPr>
                <w:color w:val="auto"/>
              </w:rPr>
            </w:pPr>
          </w:p>
        </w:tc>
        <w:tc>
          <w:tcPr>
            <w:tcW w:w="227" w:type="pct"/>
            <w:vMerge w:val="continue"/>
            <w:shd w:val="clear" w:color="auto" w:fill="auto"/>
            <w:noWrap w:val="0"/>
            <w:vAlign w:val="center"/>
          </w:tcPr>
          <w:p>
            <w:pPr>
              <w:keepNext w:val="0"/>
              <w:keepLines w:val="0"/>
              <w:widowControl/>
              <w:suppressLineNumbers w:val="0"/>
              <w:spacing w:line="240" w:lineRule="auto"/>
              <w:jc w:val="center"/>
              <w:textAlignment w:val="center"/>
              <w:rPr>
                <w:color w:val="auto"/>
              </w:rPr>
            </w:pPr>
          </w:p>
        </w:tc>
        <w:tc>
          <w:tcPr>
            <w:tcW w:w="204"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03"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12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05"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129"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00"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158"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21"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05"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06"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31" w:type="pct"/>
            <w:vMerge w:val="continue"/>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121" w:type="pct"/>
            <w:vMerge w:val="continue"/>
            <w:shd w:val="clear" w:color="auto" w:fill="auto"/>
            <w:noWrap w:val="0"/>
            <w:vAlign w:val="center"/>
          </w:tcPr>
          <w:p>
            <w:pPr>
              <w:keepNext w:val="0"/>
              <w:keepLines w:val="0"/>
              <w:widowControl/>
              <w:suppressLineNumbers w:val="0"/>
              <w:spacing w:line="240" w:lineRule="auto"/>
              <w:jc w:val="center"/>
              <w:textAlignment w:val="center"/>
              <w:rPr>
                <w:color w:val="auto"/>
              </w:rPr>
            </w:pPr>
          </w:p>
        </w:tc>
        <w:tc>
          <w:tcPr>
            <w:tcW w:w="299" w:type="pct"/>
            <w:vMerge w:val="continue"/>
            <w:shd w:val="clear" w:color="auto" w:fill="auto"/>
            <w:noWrap w:val="0"/>
            <w:vAlign w:val="center"/>
          </w:tcPr>
          <w:p>
            <w:pPr>
              <w:keepNext w:val="0"/>
              <w:keepLines w:val="0"/>
              <w:widowControl/>
              <w:suppressLineNumbers w:val="0"/>
              <w:spacing w:line="240" w:lineRule="auto"/>
              <w:jc w:val="center"/>
              <w:textAlignment w:val="center"/>
              <w:rPr>
                <w:color w:val="auto"/>
              </w:rPr>
            </w:pPr>
          </w:p>
        </w:tc>
        <w:tc>
          <w:tcPr>
            <w:tcW w:w="240" w:type="pct"/>
            <w:shd w:val="clear" w:color="auto" w:fill="FFFFFF"/>
            <w:noWrap w:val="0"/>
            <w:vAlign w:val="center"/>
          </w:tcPr>
          <w:p>
            <w:pPr>
              <w:spacing w:line="240" w:lineRule="auto"/>
              <w:jc w:val="center"/>
              <w:rPr>
                <w:color w:val="auto"/>
              </w:rPr>
            </w:pPr>
            <w:r>
              <w:rPr>
                <w:rFonts w:hint="eastAsia" w:ascii="Times New Roman" w:hAnsi="Times New Roman" w:eastAsia="宋体" w:cs="Times New Roman"/>
                <w:b/>
                <w:bCs/>
                <w:i w:val="0"/>
                <w:iCs w:val="0"/>
                <w:color w:val="auto"/>
                <w:sz w:val="21"/>
                <w:szCs w:val="21"/>
                <w:u w:val="none" w:color="auto"/>
                <w:lang w:eastAsia="zh-CN"/>
              </w:rPr>
              <w:t>东</w:t>
            </w:r>
          </w:p>
        </w:tc>
        <w:tc>
          <w:tcPr>
            <w:tcW w:w="264" w:type="pct"/>
            <w:shd w:val="clear" w:color="auto" w:fill="FFFFFF"/>
            <w:noWrap w:val="0"/>
            <w:vAlign w:val="center"/>
          </w:tcPr>
          <w:p>
            <w:pPr>
              <w:spacing w:line="240" w:lineRule="auto"/>
              <w:jc w:val="center"/>
              <w:rPr>
                <w:color w:val="auto"/>
              </w:rPr>
            </w:pPr>
            <w:r>
              <w:rPr>
                <w:rFonts w:hint="eastAsia" w:ascii="Times New Roman" w:hAnsi="Times New Roman" w:eastAsia="宋体" w:cs="Times New Roman"/>
                <w:b/>
                <w:bCs/>
                <w:i w:val="0"/>
                <w:iCs w:val="0"/>
                <w:color w:val="auto"/>
                <w:sz w:val="21"/>
                <w:szCs w:val="21"/>
                <w:u w:val="none" w:color="auto"/>
                <w:lang w:eastAsia="zh-CN"/>
              </w:rPr>
              <w:t>南</w:t>
            </w:r>
          </w:p>
        </w:tc>
        <w:tc>
          <w:tcPr>
            <w:tcW w:w="264" w:type="pct"/>
            <w:shd w:val="clear" w:color="auto" w:fill="FFFFFF"/>
            <w:noWrap w:val="0"/>
            <w:vAlign w:val="center"/>
          </w:tcPr>
          <w:p>
            <w:pPr>
              <w:spacing w:line="240" w:lineRule="auto"/>
              <w:jc w:val="center"/>
              <w:rPr>
                <w:color w:val="auto"/>
              </w:rPr>
            </w:pPr>
            <w:r>
              <w:rPr>
                <w:rFonts w:hint="eastAsia" w:ascii="Times New Roman" w:hAnsi="Times New Roman" w:eastAsia="宋体" w:cs="Times New Roman"/>
                <w:b/>
                <w:bCs/>
                <w:i w:val="0"/>
                <w:iCs w:val="0"/>
                <w:color w:val="auto"/>
                <w:sz w:val="21"/>
                <w:szCs w:val="21"/>
                <w:u w:val="none" w:color="auto"/>
                <w:lang w:eastAsia="zh-CN"/>
              </w:rPr>
              <w:t>西</w:t>
            </w:r>
          </w:p>
        </w:tc>
        <w:tc>
          <w:tcPr>
            <w:tcW w:w="265" w:type="pct"/>
            <w:shd w:val="clear" w:color="auto" w:fill="FFFFFF"/>
            <w:noWrap w:val="0"/>
            <w:vAlign w:val="center"/>
          </w:tcPr>
          <w:p>
            <w:pPr>
              <w:spacing w:line="240" w:lineRule="auto"/>
              <w:jc w:val="center"/>
              <w:rPr>
                <w:color w:val="auto"/>
              </w:rPr>
            </w:pPr>
            <w:r>
              <w:rPr>
                <w:rFonts w:hint="eastAsia" w:ascii="Times New Roman" w:hAnsi="Times New Roman" w:eastAsia="宋体" w:cs="Times New Roman"/>
                <w:b/>
                <w:bCs/>
                <w:i w:val="0"/>
                <w:iCs w:val="0"/>
                <w:color w:val="auto"/>
                <w:sz w:val="21"/>
                <w:szCs w:val="21"/>
                <w:u w:val="none" w:color="auto"/>
                <w:lang w:eastAsia="zh-CN"/>
              </w:rPr>
              <w:t>北</w:t>
            </w:r>
          </w:p>
        </w:tc>
        <w:tc>
          <w:tcPr>
            <w:tcW w:w="248" w:type="pct"/>
            <w:vMerge w:val="continue"/>
            <w:shd w:val="clear" w:color="auto" w:fill="FFFFFF"/>
            <w:noWrap w:val="0"/>
            <w:vAlign w:val="center"/>
          </w:tcPr>
          <w:p>
            <w:pPr>
              <w:keepNext w:val="0"/>
              <w:keepLines w:val="0"/>
              <w:widowControl/>
              <w:suppressLineNumbers w:val="0"/>
              <w:spacing w:line="240" w:lineRule="auto"/>
              <w:jc w:val="center"/>
              <w:textAlignment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60" w:type="pct"/>
            <w:shd w:val="clear" w:color="auto" w:fill="FFFFFF"/>
            <w:noWrap w:val="0"/>
            <w:vAlign w:val="center"/>
          </w:tcPr>
          <w:p>
            <w:pPr>
              <w:keepNext w:val="0"/>
              <w:keepLines w:val="0"/>
              <w:widowControl/>
              <w:numPr>
                <w:ilvl w:val="0"/>
                <w:numId w:val="27"/>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164" w:type="pct"/>
            <w:vMerge w:val="restar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1#生产厂房</w:t>
            </w:r>
          </w:p>
        </w:tc>
        <w:tc>
          <w:tcPr>
            <w:tcW w:w="342"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r>
              <w:rPr>
                <w:rFonts w:hAnsi="宋体"/>
                <w:color w:val="auto"/>
                <w:szCs w:val="21"/>
                <w:u w:val="none"/>
              </w:rPr>
              <w:t>收线机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r>
              <w:rPr>
                <w:rFonts w:hint="eastAsia" w:ascii="Times New Roman" w:hAnsi="Times New Roman"/>
                <w:color w:val="auto"/>
                <w:sz w:val="21"/>
                <w:szCs w:val="21"/>
                <w:u w:val="none" w:color="auto"/>
                <w:lang w:val="en-US" w:eastAsia="zh-CN" w:bidi="ar"/>
              </w:rPr>
              <w:t>设备基础减震、厂房及建筑材料隔声、吸声等措施</w:t>
            </w: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106</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44.9</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121"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昼</w:t>
            </w:r>
            <w:r>
              <w:rPr>
                <w:rFonts w:hint="eastAsia" w:ascii="Times New Roman" w:hAnsi="Times New Roman" w:eastAsia="宋体" w:cs="Times New Roman"/>
                <w:i w:val="0"/>
                <w:iCs w:val="0"/>
                <w:color w:val="auto"/>
                <w:sz w:val="21"/>
                <w:szCs w:val="21"/>
                <w:u w:val="none" w:color="auto"/>
                <w:lang w:val="en-US" w:eastAsia="zh-CN"/>
              </w:rPr>
              <w:t>夜</w:t>
            </w:r>
            <w:r>
              <w:rPr>
                <w:rFonts w:hint="default" w:ascii="Times New Roman" w:hAnsi="Times New Roman" w:eastAsia="宋体" w:cs="Times New Roman"/>
                <w:i w:val="0"/>
                <w:iCs w:val="0"/>
                <w:color w:val="auto"/>
                <w:sz w:val="21"/>
                <w:szCs w:val="21"/>
                <w:u w:val="none" w:color="auto"/>
                <w:lang w:val="en-US" w:eastAsia="zh-CN"/>
              </w:rPr>
              <w:t>间</w:t>
            </w:r>
          </w:p>
        </w:tc>
        <w:tc>
          <w:tcPr>
            <w:tcW w:w="299"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r>
              <w:rPr>
                <w:rFonts w:hint="eastAsia" w:cs="Times New Roman"/>
                <w:i w:val="0"/>
                <w:iCs w:val="0"/>
                <w:color w:val="auto"/>
                <w:sz w:val="21"/>
                <w:szCs w:val="21"/>
                <w:u w:val="none" w:color="auto"/>
                <w:lang w:val="en-US" w:eastAsia="zh-CN"/>
              </w:rPr>
              <w:t>0</w:t>
            </w: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248" w:type="pct"/>
            <w:vMerge w:val="restar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 w:type="pct"/>
            <w:shd w:val="clear" w:color="auto" w:fill="FFFFFF"/>
            <w:noWrap w:val="0"/>
            <w:vAlign w:val="center"/>
          </w:tcPr>
          <w:p>
            <w:pPr>
              <w:keepNext w:val="0"/>
              <w:keepLines w:val="0"/>
              <w:widowControl/>
              <w:numPr>
                <w:ilvl w:val="0"/>
                <w:numId w:val="27"/>
              </w:numPr>
              <w:suppressLineNumbers w:val="0"/>
              <w:spacing w:line="240" w:lineRule="auto"/>
              <w:ind w:left="0" w:leftChars="0" w:firstLine="0" w:firstLineChars="0"/>
              <w:jc w:val="center"/>
              <w:textAlignment w:val="center"/>
              <w:rPr>
                <w:rFonts w:hint="default" w:ascii="Times New Roman" w:hAnsi="Times New Roman" w:eastAsia="宋体" w:cs="Times New Roman"/>
                <w:i w:val="0"/>
                <w:iCs w:val="0"/>
                <w:color w:val="auto"/>
                <w:sz w:val="21"/>
                <w:szCs w:val="21"/>
                <w:u w:val="none" w:color="auto"/>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p>
        </w:tc>
        <w:tc>
          <w:tcPr>
            <w:tcW w:w="342"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highlight w:val="none"/>
                <w:u w:val="none" w:color="auto"/>
              </w:rPr>
            </w:pPr>
            <w:r>
              <w:rPr>
                <w:rFonts w:hint="eastAsia" w:hAnsi="宋体"/>
                <w:color w:val="auto"/>
                <w:szCs w:val="21"/>
                <w:u w:val="none"/>
                <w:lang w:eastAsia="zh-CN"/>
              </w:rPr>
              <w:t>拉丝机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bidi="ar"/>
              </w:rPr>
              <w:t>70</w:t>
            </w:r>
          </w:p>
        </w:tc>
        <w:tc>
          <w:tcPr>
            <w:tcW w:w="227"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45.4</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248"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default"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rPr>
            </w:pPr>
            <w:r>
              <w:rPr>
                <w:rFonts w:hint="eastAsia" w:hAnsi="宋体"/>
                <w:color w:val="auto"/>
                <w:szCs w:val="21"/>
                <w:u w:val="none"/>
                <w:lang w:eastAsia="zh-CN"/>
              </w:rPr>
              <w:t>细拉机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104</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46.1</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20.1</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eastAsia="zh-CN" w:bidi="ar"/>
              </w:rPr>
            </w:pPr>
            <w:r>
              <w:rPr>
                <w:rFonts w:hAnsi="宋体"/>
                <w:color w:val="auto"/>
                <w:szCs w:val="21"/>
                <w:u w:val="none"/>
              </w:rPr>
              <w:t>切丝机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101</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78</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48.4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45.4</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22.4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eastAsia="zh-CN" w:bidi="ar"/>
              </w:rPr>
            </w:pPr>
            <w:r>
              <w:rPr>
                <w:rFonts w:hint="eastAsia" w:hAnsi="宋体"/>
                <w:color w:val="auto"/>
                <w:szCs w:val="21"/>
                <w:highlight w:val="none"/>
                <w:u w:val="none"/>
                <w:lang w:eastAsia="zh-CN"/>
              </w:rPr>
              <w:t>退火炉</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85</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103</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62.0</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57.7</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31.7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31.7</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rPr>
            </w:pPr>
            <w:r>
              <w:rPr>
                <w:rFonts w:hint="eastAsia" w:hAnsi="宋体"/>
                <w:color w:val="auto"/>
                <w:szCs w:val="21"/>
                <w:highlight w:val="none"/>
                <w:u w:val="none"/>
                <w:lang w:val="en-US" w:eastAsia="zh-CN"/>
              </w:rPr>
              <w:t>倒立机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104</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77</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47.0</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46.1</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20.1</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highlight w:val="none"/>
                <w:u w:val="none"/>
                <w:lang w:val="en-US" w:eastAsia="zh-CN"/>
              </w:rPr>
              <w:t>单头机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color w:val="auto"/>
                <w:sz w:val="21"/>
                <w:szCs w:val="21"/>
                <w:highlight w:val="none"/>
                <w:u w:val="none" w:color="auto"/>
                <w:lang w:val="en-US" w:eastAsia="zh-CN" w:bidi="ar"/>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77</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47.0</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45.4</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highlight w:val="none"/>
                <w:u w:val="none"/>
                <w:lang w:val="en-US" w:eastAsia="zh-CN"/>
              </w:rPr>
              <w:t>清洗机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100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77</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47.0</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53.4</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eastAsia"/>
                <w:color w:val="auto"/>
                <w:kern w:val="0"/>
                <w:sz w:val="21"/>
                <w:szCs w:val="21"/>
                <w:u w:val="none" w:color="auto"/>
                <w:lang w:val="en-US" w:eastAsia="zh-CN"/>
              </w:rPr>
            </w:pPr>
            <w:r>
              <w:rPr>
                <w:rFonts w:hint="eastAsia" w:hAnsi="宋体"/>
                <w:color w:val="auto"/>
                <w:szCs w:val="21"/>
                <w:highlight w:val="none"/>
                <w:u w:val="none"/>
                <w:lang w:eastAsia="zh-CN"/>
              </w:rPr>
              <w:t>联合纵剪机（分条机）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86</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79</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43.2</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50.3</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24.3</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color w:val="auto"/>
                <w:kern w:val="0"/>
                <w:sz w:val="21"/>
                <w:szCs w:val="21"/>
                <w:u w:val="none" w:color="auto"/>
                <w:lang w:val="en-US" w:eastAsia="zh-CN"/>
              </w:rPr>
            </w:pPr>
            <w:r>
              <w:rPr>
                <w:rFonts w:hint="eastAsia" w:hAnsi="宋体"/>
                <w:color w:val="auto"/>
                <w:szCs w:val="21"/>
                <w:highlight w:val="none"/>
                <w:u w:val="none"/>
                <w:lang w:eastAsia="zh-CN"/>
              </w:rPr>
              <w:t>轧丝机（成型机）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85</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19</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4</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78</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43.2</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48.4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22.4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color w:val="auto"/>
                <w:kern w:val="0"/>
                <w:sz w:val="21"/>
                <w:szCs w:val="21"/>
                <w:u w:val="none" w:color="auto"/>
                <w:lang w:val="en-US" w:eastAsia="zh-CN"/>
              </w:rPr>
            </w:pPr>
            <w:r>
              <w:rPr>
                <w:rFonts w:hint="eastAsia" w:hAnsi="宋体"/>
                <w:color w:val="auto"/>
                <w:szCs w:val="21"/>
                <w:highlight w:val="none"/>
                <w:u w:val="none"/>
                <w:lang w:eastAsia="zh-CN"/>
              </w:rPr>
              <w:t>拉丝机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84</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18</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43.3</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highlight w:val="none"/>
                <w:u w:val="none"/>
                <w:lang w:val="en-US" w:eastAsia="zh-CN"/>
              </w:rPr>
              <w:t>钢带复绕机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78</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25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75</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43.0</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45.4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rPr>
            </w:pPr>
            <w:r>
              <w:rPr>
                <w:rFonts w:hint="eastAsia" w:hAnsi="宋体"/>
                <w:color w:val="auto"/>
                <w:szCs w:val="21"/>
                <w:highlight w:val="none"/>
                <w:u w:val="none"/>
                <w:lang w:eastAsia="zh-CN"/>
              </w:rPr>
              <w:t>多联拉丝机</w:t>
            </w:r>
          </w:p>
        </w:tc>
        <w:tc>
          <w:tcPr>
            <w:tcW w:w="305" w:type="pct"/>
            <w:shd w:val="clear" w:color="auto" w:fill="FFFFFF"/>
            <w:noWrap w:val="0"/>
            <w:vAlign w:val="center"/>
          </w:tcPr>
          <w:p>
            <w:pPr>
              <w:jc w:val="center"/>
              <w:rPr>
                <w:rFonts w:hint="default"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78</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74</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43.0</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44.9</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highlight w:val="none"/>
                <w:u w:val="none"/>
                <w:lang w:eastAsia="zh-CN"/>
              </w:rPr>
              <w:t>切丝机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23</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74</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43.1</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44.9</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17.1</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highlight w:val="none"/>
                <w:u w:val="none"/>
                <w:lang w:eastAsia="zh-CN"/>
              </w:rPr>
              <w:t>打团机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80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82</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21</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74</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53.1</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54.9</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52.7</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28.9</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highlight w:val="none"/>
                <w:u w:val="none"/>
                <w:lang w:eastAsia="zh-CN"/>
              </w:rPr>
              <w:t>自动打包机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51</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52</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117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74</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44.9</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42.8</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r>
              <w:rPr>
                <w:rFonts w:hint="eastAsia"/>
                <w:color w:val="auto"/>
                <w:kern w:val="2"/>
                <w:sz w:val="21"/>
                <w:szCs w:val="21"/>
                <w:u w:val="none"/>
                <w:lang w:val="en-US" w:eastAsia="zh-CN"/>
              </w:rPr>
              <w:t>修模间</w:t>
            </w: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u w:val="none"/>
                <w:lang w:eastAsia="zh-CN"/>
              </w:rPr>
              <w:t>抛光设备</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75</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-28</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64.4</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63.8</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64.4</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64.4</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37.8</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restart"/>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lang w:val="en-US" w:eastAsia="zh-CN"/>
              </w:rPr>
            </w:pPr>
            <w:r>
              <w:rPr>
                <w:rFonts w:hint="eastAsia" w:ascii="Times New Roman" w:hAnsi="Times New Roman" w:eastAsia="宋体" w:cs="Times New Roman"/>
                <w:i w:val="0"/>
                <w:iCs w:val="0"/>
                <w:color w:val="auto"/>
                <w:sz w:val="21"/>
                <w:szCs w:val="21"/>
                <w:u w:val="none" w:color="auto"/>
                <w:lang w:val="en-US" w:eastAsia="zh-CN"/>
              </w:rPr>
              <w:t>2#生产厂房</w:t>
            </w: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Ansi="宋体"/>
                <w:color w:val="auto"/>
                <w:szCs w:val="21"/>
                <w:u w:val="none"/>
              </w:rPr>
              <w:t>精密层绕机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16</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87</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25</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42.9</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50.3</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43.1</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24.3</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17.1</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u w:val="none"/>
                <w:lang w:eastAsia="zh-CN"/>
              </w:rPr>
              <w:t>手动</w:t>
            </w:r>
            <w:r>
              <w:rPr>
                <w:rFonts w:hAnsi="宋体"/>
                <w:color w:val="auto"/>
                <w:szCs w:val="21"/>
                <w:u w:val="none"/>
              </w:rPr>
              <w:t>层绕机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16</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87</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25</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42.9</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43.1</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17.1</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Ansi="宋体"/>
                <w:color w:val="auto"/>
                <w:szCs w:val="21"/>
                <w:u w:val="none"/>
              </w:rPr>
              <w:t>自动包装机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66</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37</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98</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43.0</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42.9</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u w:val="none"/>
                <w:lang w:eastAsia="zh-CN"/>
              </w:rPr>
              <w:t>手动包装机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70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66</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85</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37</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97</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5</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43.0</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42.9</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47.1</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342" w:type="pct"/>
            <w:shd w:val="clear" w:color="auto" w:fill="FFFFFF"/>
            <w:noWrap w:val="0"/>
            <w:vAlign w:val="center"/>
          </w:tcPr>
          <w:p>
            <w:pPr>
              <w:spacing w:line="240" w:lineRule="auto"/>
              <w:jc w:val="center"/>
              <w:rPr>
                <w:rFonts w:hint="eastAsia" w:hAnsi="宋体"/>
                <w:color w:val="auto"/>
                <w:szCs w:val="21"/>
                <w:u w:val="none"/>
                <w:lang w:eastAsia="zh-CN"/>
              </w:rPr>
            </w:pPr>
            <w:r>
              <w:rPr>
                <w:rFonts w:hint="eastAsia" w:hAnsi="宋体"/>
                <w:color w:val="auto"/>
                <w:szCs w:val="21"/>
                <w:u w:val="none"/>
                <w:lang w:eastAsia="zh-CN"/>
              </w:rPr>
              <w:t>注塑机</w:t>
            </w:r>
          </w:p>
        </w:tc>
        <w:tc>
          <w:tcPr>
            <w:tcW w:w="305" w:type="pct"/>
            <w:shd w:val="clear" w:color="auto" w:fill="FFFFFF"/>
            <w:noWrap w:val="0"/>
            <w:vAlign w:val="center"/>
          </w:tcPr>
          <w:p>
            <w:pPr>
              <w:jc w:val="center"/>
              <w:rPr>
                <w:rFonts w:hint="default" w:eastAsia="宋体"/>
                <w:color w:val="auto"/>
                <w:szCs w:val="21"/>
                <w:highlight w:val="none"/>
                <w:u w:val="none" w:color="auto"/>
                <w:lang w:val="en-US" w:eastAsia="zh-CN"/>
              </w:rPr>
            </w:pPr>
            <w:r>
              <w:rPr>
                <w:rFonts w:hint="eastAsia"/>
                <w:color w:val="auto"/>
                <w:szCs w:val="21"/>
                <w:highlight w:val="none"/>
                <w:u w:val="none" w:color="auto"/>
                <w:lang w:val="en-US" w:eastAsia="zh-CN"/>
              </w:rPr>
              <w:t>80</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67</w:t>
            </w:r>
          </w:p>
        </w:tc>
        <w:tc>
          <w:tcPr>
            <w:tcW w:w="203"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29"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205"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29"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200"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w:t>
            </w:r>
          </w:p>
        </w:tc>
        <w:tc>
          <w:tcPr>
            <w:tcW w:w="158" w:type="pct"/>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30"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76.6</w:t>
            </w:r>
          </w:p>
        </w:tc>
        <w:tc>
          <w:tcPr>
            <w:tcW w:w="58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74.4</w:t>
            </w:r>
          </w:p>
        </w:tc>
        <w:tc>
          <w:tcPr>
            <w:tcW w:w="588"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73.8</w:t>
            </w:r>
          </w:p>
        </w:tc>
        <w:tc>
          <w:tcPr>
            <w:tcW w:w="659"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76.6</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50.6</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48.4</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47.8</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50.6</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shd w:val="clear" w:color="auto" w:fill="FFFFFF"/>
            <w:noWrap w:val="0"/>
            <w:vAlign w:val="center"/>
          </w:tcPr>
          <w:p>
            <w:pPr>
              <w:numPr>
                <w:ilvl w:val="0"/>
                <w:numId w:val="27"/>
              </w:numPr>
              <w:spacing w:line="240" w:lineRule="auto"/>
              <w:ind w:left="0" w:leftChars="0" w:firstLine="0" w:firstLineChars="0"/>
              <w:jc w:val="center"/>
              <w:rPr>
                <w:rFonts w:hint="eastAsia" w:ascii="Times New Roman" w:hAnsi="Times New Roman" w:eastAsia="宋体" w:cs="Times New Roman"/>
                <w:i w:val="0"/>
                <w:iCs w:val="0"/>
                <w:color w:val="auto"/>
                <w:sz w:val="21"/>
                <w:szCs w:val="21"/>
                <w:u w:val="none" w:color="auto"/>
                <w:lang w:val="en-US" w:eastAsia="zh-CN"/>
              </w:rPr>
            </w:pPr>
          </w:p>
        </w:tc>
        <w:tc>
          <w:tcPr>
            <w:tcW w:w="164" w:type="pct"/>
            <w:shd w:val="clear" w:color="auto" w:fill="FFFFFF"/>
            <w:noWrap w:val="0"/>
            <w:vAlign w:val="center"/>
          </w:tcPr>
          <w:p>
            <w:pPr>
              <w:spacing w:line="240" w:lineRule="auto"/>
              <w:jc w:val="center"/>
              <w:rPr>
                <w:rFonts w:hint="eastAsia" w:ascii="Times New Roman" w:hAnsi="Times New Roman" w:eastAsia="宋体" w:cs="Times New Roman"/>
                <w:i w:val="0"/>
                <w:iCs w:val="0"/>
                <w:color w:val="auto"/>
                <w:sz w:val="21"/>
                <w:szCs w:val="21"/>
                <w:u w:val="none" w:color="auto"/>
                <w:lang w:eastAsia="zh-CN"/>
              </w:rPr>
            </w:pPr>
            <w:r>
              <w:rPr>
                <w:rFonts w:hint="eastAsia"/>
                <w:color w:val="auto"/>
                <w:kern w:val="2"/>
                <w:sz w:val="21"/>
                <w:szCs w:val="21"/>
                <w:u w:val="none"/>
                <w:lang w:val="en-US" w:eastAsia="zh-CN"/>
              </w:rPr>
              <w:t>修模间</w:t>
            </w:r>
          </w:p>
        </w:tc>
        <w:tc>
          <w:tcPr>
            <w:tcW w:w="342" w:type="pct"/>
            <w:shd w:val="clear" w:color="auto" w:fill="FFFFFF"/>
            <w:noWrap w:val="0"/>
            <w:vAlign w:val="center"/>
          </w:tcPr>
          <w:p>
            <w:pPr>
              <w:spacing w:line="240" w:lineRule="auto"/>
              <w:jc w:val="center"/>
              <w:rPr>
                <w:rFonts w:hint="default" w:ascii="Times New Roman" w:hAnsi="Times New Roman" w:cs="Times New Roman"/>
                <w:color w:val="auto"/>
                <w:szCs w:val="21"/>
                <w:highlight w:val="none"/>
                <w:u w:val="none" w:color="auto"/>
                <w:lang w:val="en-US" w:eastAsia="zh-CN" w:bidi="ar"/>
              </w:rPr>
            </w:pPr>
            <w:r>
              <w:rPr>
                <w:rFonts w:hint="eastAsia" w:hAnsi="宋体"/>
                <w:color w:val="auto"/>
                <w:szCs w:val="21"/>
                <w:u w:val="none"/>
                <w:lang w:eastAsia="zh-CN"/>
              </w:rPr>
              <w:t>空压机</w:t>
            </w:r>
          </w:p>
        </w:tc>
        <w:tc>
          <w:tcPr>
            <w:tcW w:w="305" w:type="pct"/>
            <w:shd w:val="clear" w:color="auto" w:fill="FFFFFF"/>
            <w:noWrap w:val="0"/>
            <w:vAlign w:val="center"/>
          </w:tcPr>
          <w:p>
            <w:pPr>
              <w:jc w:val="center"/>
              <w:rPr>
                <w:rFonts w:hint="eastAsia" w:ascii="Times New Roman" w:hAnsi="Times New Roman" w:eastAsia="宋体" w:cs="Times New Roman"/>
                <w:i w:val="0"/>
                <w:iCs w:val="0"/>
                <w:color w:val="auto"/>
                <w:sz w:val="21"/>
                <w:szCs w:val="21"/>
                <w:u w:val="none" w:color="auto"/>
                <w:lang w:val="en-US" w:eastAsia="zh-CN"/>
              </w:rPr>
            </w:pPr>
            <w:r>
              <w:rPr>
                <w:rFonts w:hint="eastAsia" w:eastAsia="宋体"/>
                <w:color w:val="auto"/>
                <w:szCs w:val="21"/>
                <w:highlight w:val="none"/>
                <w:u w:val="none" w:color="auto"/>
                <w:lang w:val="en-US" w:eastAsia="zh-CN"/>
              </w:rPr>
              <w:t>85</w:t>
            </w:r>
          </w:p>
        </w:tc>
        <w:tc>
          <w:tcPr>
            <w:tcW w:w="227"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c>
          <w:tcPr>
            <w:tcW w:w="204"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-28</w:t>
            </w:r>
          </w:p>
        </w:tc>
        <w:tc>
          <w:tcPr>
            <w:tcW w:w="203"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80</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0</w:t>
            </w:r>
          </w:p>
        </w:tc>
        <w:tc>
          <w:tcPr>
            <w:tcW w:w="205"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w:t>
            </w:r>
          </w:p>
        </w:tc>
        <w:tc>
          <w:tcPr>
            <w:tcW w:w="129"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2</w:t>
            </w:r>
          </w:p>
        </w:tc>
        <w:tc>
          <w:tcPr>
            <w:tcW w:w="200"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3</w:t>
            </w:r>
          </w:p>
        </w:tc>
        <w:tc>
          <w:tcPr>
            <w:tcW w:w="158" w:type="pct"/>
            <w:shd w:val="clear" w:color="auto" w:fill="FFFFFF"/>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sz w:val="21"/>
                <w:szCs w:val="21"/>
                <w:u w:val="none" w:color="auto"/>
                <w:lang w:val="en-US" w:eastAsia="zh-CN"/>
              </w:rPr>
              <w:t>1</w:t>
            </w:r>
          </w:p>
        </w:tc>
        <w:tc>
          <w:tcPr>
            <w:tcW w:w="630"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53.0</w:t>
            </w:r>
          </w:p>
        </w:tc>
        <w:tc>
          <w:tcPr>
            <w:tcW w:w="585"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57.1</w:t>
            </w:r>
          </w:p>
        </w:tc>
        <w:tc>
          <w:tcPr>
            <w:tcW w:w="588"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52.9</w:t>
            </w:r>
          </w:p>
        </w:tc>
        <w:tc>
          <w:tcPr>
            <w:tcW w:w="659" w:type="dxa"/>
            <w:shd w:val="clear" w:color="auto" w:fill="FFFFFF"/>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57.1</w:t>
            </w:r>
          </w:p>
        </w:tc>
        <w:tc>
          <w:tcPr>
            <w:tcW w:w="121"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299" w:type="pct"/>
            <w:vMerge w:val="continue"/>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color="auto"/>
                <w:lang w:val="en-US" w:eastAsia="zh-CN"/>
              </w:rPr>
            </w:pPr>
          </w:p>
        </w:tc>
        <w:tc>
          <w:tcPr>
            <w:tcW w:w="686"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31.1</w:t>
            </w:r>
          </w:p>
        </w:tc>
        <w:tc>
          <w:tcPr>
            <w:tcW w:w="752"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26.9</w:t>
            </w:r>
          </w:p>
        </w:tc>
        <w:tc>
          <w:tcPr>
            <w:tcW w:w="755" w:type="dxa"/>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31.1</w:t>
            </w:r>
          </w:p>
        </w:tc>
        <w:tc>
          <w:tcPr>
            <w:tcW w:w="248" w:type="pct"/>
            <w:vMerge w:val="continue"/>
            <w:shd w:val="clear" w:color="auto" w:fill="FFFFFF"/>
            <w:noWrap w:val="0"/>
            <w:vAlign w:val="center"/>
          </w:tcPr>
          <w:p>
            <w:pPr>
              <w:spacing w:line="240" w:lineRule="auto"/>
              <w:jc w:val="center"/>
              <w:rPr>
                <w:rFonts w:hint="default" w:ascii="Times New Roman" w:hAnsi="Times New Roman" w:eastAsia="宋体" w:cs="Times New Roman"/>
                <w:i w:val="0"/>
                <w:i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23"/>
            <w:shd w:val="clear" w:color="auto" w:fill="FFFFFF"/>
            <w:noWrap w:val="0"/>
            <w:vAlign w:val="center"/>
          </w:tcPr>
          <w:p>
            <w:pPr>
              <w:spacing w:line="240" w:lineRule="auto"/>
              <w:jc w:val="left"/>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18"/>
                <w:szCs w:val="18"/>
                <w:u w:val="none" w:color="auto"/>
                <w:lang w:val="en-US" w:eastAsia="zh-CN" w:bidi="ar"/>
              </w:rPr>
              <w:t>注：①以</w:t>
            </w:r>
            <w:r>
              <w:rPr>
                <w:rFonts w:hint="eastAsia" w:ascii="Times New Roman" w:hAnsi="Times New Roman" w:eastAsia="宋体" w:cs="Times New Roman"/>
                <w:i w:val="0"/>
                <w:iCs w:val="0"/>
                <w:color w:val="auto"/>
                <w:kern w:val="0"/>
                <w:sz w:val="18"/>
                <w:szCs w:val="18"/>
                <w:u w:val="none" w:color="auto"/>
                <w:lang w:val="en-US" w:eastAsia="zh-CN" w:bidi="ar"/>
              </w:rPr>
              <w:t>退火炉</w:t>
            </w:r>
            <w:r>
              <w:rPr>
                <w:rFonts w:hint="default" w:ascii="Times New Roman" w:hAnsi="Times New Roman" w:eastAsia="宋体" w:cs="Times New Roman"/>
                <w:i w:val="0"/>
                <w:iCs w:val="0"/>
                <w:color w:val="auto"/>
                <w:kern w:val="0"/>
                <w:sz w:val="18"/>
                <w:szCs w:val="18"/>
                <w:u w:val="none" w:color="auto"/>
                <w:lang w:val="en-US" w:eastAsia="zh-CN" w:bidi="ar"/>
              </w:rPr>
              <w:t>为原点坐标，正北为Y轴，正东为X轴，地面为Z轴起点；②根据《噪声控制与建筑声学设备和材料选用手册》（吕玉恒等化学工业出版社）可知，普通钢质门隔声量在20~25dB左右，</w:t>
            </w:r>
            <w:r>
              <w:rPr>
                <w:rFonts w:hint="eastAsia" w:ascii="Times New Roman" w:hAnsi="Times New Roman" w:eastAsia="宋体" w:cs="Times New Roman"/>
                <w:i w:val="0"/>
                <w:iCs w:val="0"/>
                <w:color w:val="auto"/>
                <w:kern w:val="0"/>
                <w:sz w:val="18"/>
                <w:szCs w:val="18"/>
                <w:u w:val="none" w:color="auto"/>
                <w:lang w:val="en-US" w:eastAsia="zh-CN" w:bidi="ar"/>
              </w:rPr>
              <w:t>本项目取</w:t>
            </w:r>
            <w:r>
              <w:rPr>
                <w:rFonts w:hint="default" w:ascii="Times New Roman" w:hAnsi="Times New Roman" w:eastAsia="宋体" w:cs="Times New Roman"/>
                <w:i w:val="0"/>
                <w:iCs w:val="0"/>
                <w:color w:val="auto"/>
                <w:kern w:val="0"/>
                <w:sz w:val="18"/>
                <w:szCs w:val="18"/>
                <w:u w:val="none" w:color="auto"/>
                <w:lang w:val="en-US" w:eastAsia="zh-CN" w:bidi="ar"/>
              </w:rPr>
              <w:t>隔声量为</w:t>
            </w:r>
            <w:r>
              <w:rPr>
                <w:rFonts w:hint="eastAsia" w:ascii="Times New Roman" w:hAnsi="Times New Roman" w:eastAsia="宋体" w:cs="Times New Roman"/>
                <w:i w:val="0"/>
                <w:iCs w:val="0"/>
                <w:color w:val="auto"/>
                <w:kern w:val="0"/>
                <w:sz w:val="18"/>
                <w:szCs w:val="18"/>
                <w:u w:val="none" w:color="auto"/>
                <w:lang w:val="en-US" w:eastAsia="zh-CN" w:bidi="ar"/>
              </w:rPr>
              <w:t>20</w:t>
            </w:r>
            <w:r>
              <w:rPr>
                <w:rFonts w:hint="default" w:ascii="Times New Roman" w:hAnsi="Times New Roman" w:eastAsia="宋体" w:cs="Times New Roman"/>
                <w:i w:val="0"/>
                <w:iCs w:val="0"/>
                <w:color w:val="auto"/>
                <w:kern w:val="0"/>
                <w:sz w:val="18"/>
                <w:szCs w:val="18"/>
                <w:u w:val="none" w:color="auto"/>
                <w:lang w:val="en-US" w:eastAsia="zh-CN" w:bidi="ar"/>
              </w:rPr>
              <w:t>dB。</w:t>
            </w:r>
          </w:p>
        </w:tc>
      </w:tr>
      <w:bookmarkEnd w:id="69"/>
    </w:tbl>
    <w:p>
      <w:pPr>
        <w:pStyle w:val="25"/>
        <w:spacing w:line="360" w:lineRule="auto"/>
        <w:jc w:val="center"/>
        <w:outlineLvl w:val="9"/>
        <w:rPr>
          <w:rFonts w:ascii="Times New Roman" w:hAnsi="Times New Roman"/>
          <w:snapToGrid w:val="0"/>
          <w:color w:val="auto"/>
          <w:sz w:val="30"/>
          <w:szCs w:val="30"/>
          <w:highlight w:val="none"/>
          <w:u w:val="none"/>
        </w:rPr>
        <w:sectPr>
          <w:pgSz w:w="16838" w:h="11906" w:orient="landscape"/>
          <w:pgMar w:top="1080" w:right="1440" w:bottom="1080" w:left="1440" w:header="851" w:footer="992" w:gutter="0"/>
          <w:pgNumType w:fmt="decimal"/>
          <w:cols w:space="425"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4" w:hRule="atLeast"/>
        </w:trPr>
        <w:tc>
          <w:tcPr>
            <w:tcW w:w="591" w:type="dxa"/>
          </w:tcPr>
          <w:p>
            <w:pPr>
              <w:pStyle w:val="25"/>
              <w:spacing w:line="360" w:lineRule="auto"/>
              <w:jc w:val="center"/>
              <w:outlineLvl w:val="9"/>
              <w:rPr>
                <w:rFonts w:ascii="Times New Roman" w:hAnsi="Times New Roman"/>
                <w:snapToGrid w:val="0"/>
                <w:color w:val="auto"/>
                <w:sz w:val="30"/>
                <w:szCs w:val="30"/>
                <w:highlight w:val="none"/>
                <w:u w:val="none"/>
                <w:vertAlign w:val="baseline"/>
              </w:rPr>
            </w:pPr>
          </w:p>
        </w:tc>
        <w:tc>
          <w:tcPr>
            <w:tcW w:w="9371" w:type="dxa"/>
          </w:tcPr>
          <w:p>
            <w:pPr>
              <w:spacing w:line="360" w:lineRule="auto"/>
              <w:ind w:firstLine="482" w:firstLineChars="200"/>
              <w:rPr>
                <w:rFonts w:hint="eastAsia"/>
                <w:b/>
                <w:bCs/>
                <w:color w:val="auto"/>
                <w:spacing w:val="0"/>
                <w:kern w:val="0"/>
                <w:sz w:val="24"/>
                <w:szCs w:val="24"/>
                <w:u w:val="none" w:color="auto"/>
                <w:lang w:eastAsia="zh-CN"/>
              </w:rPr>
            </w:pPr>
            <w:r>
              <w:rPr>
                <w:rFonts w:hint="eastAsia"/>
                <w:b/>
                <w:bCs/>
                <w:color w:val="auto"/>
                <w:spacing w:val="0"/>
                <w:kern w:val="0"/>
                <w:sz w:val="24"/>
                <w:szCs w:val="24"/>
                <w:u w:val="none" w:color="auto"/>
                <w:lang w:eastAsia="zh-CN"/>
              </w:rPr>
              <w:t>（</w:t>
            </w:r>
            <w:r>
              <w:rPr>
                <w:rFonts w:hint="eastAsia"/>
                <w:b/>
                <w:bCs/>
                <w:color w:val="auto"/>
                <w:spacing w:val="0"/>
                <w:kern w:val="0"/>
                <w:sz w:val="24"/>
                <w:szCs w:val="24"/>
                <w:u w:val="none" w:color="auto"/>
                <w:lang w:val="en-US" w:eastAsia="zh-CN"/>
              </w:rPr>
              <w:t>3</w:t>
            </w:r>
            <w:r>
              <w:rPr>
                <w:rFonts w:hint="eastAsia"/>
                <w:b/>
                <w:bCs/>
                <w:color w:val="auto"/>
                <w:spacing w:val="0"/>
                <w:kern w:val="0"/>
                <w:sz w:val="24"/>
                <w:szCs w:val="24"/>
                <w:u w:val="none" w:color="auto"/>
                <w:lang w:eastAsia="zh-CN"/>
              </w:rPr>
              <w:t>）厂界达标性分析</w:t>
            </w:r>
          </w:p>
          <w:p>
            <w:pPr>
              <w:pStyle w:val="25"/>
              <w:spacing w:before="0" w:beforeAutospacing="0" w:after="0" w:afterAutospacing="0" w:line="360" w:lineRule="auto"/>
              <w:ind w:firstLine="482"/>
              <w:jc w:val="both"/>
              <w:rPr>
                <w:rFonts w:hint="default" w:ascii="Times New Roman" w:hAnsi="Times New Roman" w:eastAsia="宋体" w:cs="Times New Roman"/>
                <w:color w:val="auto"/>
                <w:spacing w:val="0"/>
                <w:kern w:val="0"/>
                <w:sz w:val="24"/>
                <w:szCs w:val="24"/>
                <w:u w:val="none" w:color="auto"/>
                <w:lang w:val="en-US" w:eastAsia="zh-CN"/>
              </w:rPr>
            </w:pPr>
            <w:r>
              <w:rPr>
                <w:rFonts w:hint="default" w:ascii="Times New Roman" w:hAnsi="Times New Roman" w:eastAsia="宋体" w:cs="Times New Roman"/>
                <w:color w:val="auto"/>
                <w:spacing w:val="0"/>
                <w:kern w:val="0"/>
                <w:sz w:val="24"/>
                <w:szCs w:val="24"/>
                <w:u w:val="none" w:color="auto"/>
                <w:lang w:val="en-US" w:eastAsia="zh-CN"/>
              </w:rPr>
              <w:t>本项目周边50m范围内</w:t>
            </w:r>
            <w:r>
              <w:rPr>
                <w:rFonts w:hint="eastAsia" w:ascii="Times New Roman" w:hAnsi="Times New Roman" w:eastAsia="宋体" w:cs="Times New Roman"/>
                <w:color w:val="auto"/>
                <w:spacing w:val="0"/>
                <w:kern w:val="0"/>
                <w:sz w:val="24"/>
                <w:szCs w:val="24"/>
                <w:u w:val="none" w:color="auto"/>
                <w:lang w:val="en-US" w:eastAsia="zh-CN"/>
              </w:rPr>
              <w:t>有</w:t>
            </w:r>
            <w:r>
              <w:rPr>
                <w:rFonts w:hint="eastAsia" w:ascii="Times New Roman" w:hAnsi="Times New Roman" w:cs="Times New Roman"/>
                <w:color w:val="auto"/>
                <w:spacing w:val="0"/>
                <w:kern w:val="0"/>
                <w:sz w:val="24"/>
                <w:szCs w:val="24"/>
                <w:u w:val="none" w:color="auto"/>
                <w:lang w:val="en-US" w:eastAsia="zh-CN"/>
              </w:rPr>
              <w:t>1</w:t>
            </w:r>
            <w:r>
              <w:rPr>
                <w:rFonts w:hint="eastAsia" w:ascii="Times New Roman" w:hAnsi="Times New Roman" w:eastAsia="宋体" w:cs="Times New Roman"/>
                <w:color w:val="auto"/>
                <w:spacing w:val="0"/>
                <w:kern w:val="0"/>
                <w:sz w:val="24"/>
                <w:szCs w:val="24"/>
                <w:u w:val="none" w:color="auto"/>
                <w:lang w:val="en-US" w:eastAsia="zh-CN"/>
              </w:rPr>
              <w:t>处</w:t>
            </w:r>
            <w:r>
              <w:rPr>
                <w:rFonts w:hint="eastAsia" w:ascii="Times New Roman" w:hAnsi="Times New Roman" w:cs="Times New Roman"/>
                <w:color w:val="auto"/>
                <w:spacing w:val="0"/>
                <w:kern w:val="0"/>
                <w:sz w:val="24"/>
                <w:szCs w:val="24"/>
                <w:u w:val="none" w:color="auto"/>
                <w:lang w:val="en-US" w:eastAsia="zh-CN"/>
              </w:rPr>
              <w:t>在建创新创业服务中心</w:t>
            </w:r>
            <w:r>
              <w:rPr>
                <w:rFonts w:hint="default" w:ascii="Times New Roman" w:hAnsi="Times New Roman" w:eastAsia="宋体" w:cs="Times New Roman"/>
                <w:color w:val="auto"/>
                <w:spacing w:val="0"/>
                <w:kern w:val="0"/>
                <w:sz w:val="24"/>
                <w:szCs w:val="24"/>
                <w:u w:val="none" w:color="auto"/>
                <w:lang w:val="en-US" w:eastAsia="zh-CN"/>
              </w:rPr>
              <w:t>，根据《环境影响评价技术导则声环境》（HJ2.4-2021），厂界噪声</w:t>
            </w:r>
            <w:r>
              <w:rPr>
                <w:rFonts w:hint="eastAsia" w:ascii="Times New Roman" w:hAnsi="Times New Roman" w:cs="Times New Roman"/>
                <w:color w:val="auto"/>
                <w:spacing w:val="0"/>
                <w:kern w:val="0"/>
                <w:sz w:val="24"/>
                <w:szCs w:val="24"/>
                <w:u w:val="none" w:color="auto"/>
                <w:lang w:val="en-US" w:eastAsia="zh-CN"/>
              </w:rPr>
              <w:t>和</w:t>
            </w:r>
            <w:r>
              <w:rPr>
                <w:rFonts w:hint="eastAsia" w:ascii="Times New Roman" w:hAnsi="Times New Roman" w:eastAsia="宋体" w:cs="Times New Roman"/>
                <w:color w:val="auto"/>
                <w:spacing w:val="0"/>
                <w:kern w:val="0"/>
                <w:sz w:val="24"/>
                <w:szCs w:val="24"/>
                <w:u w:val="none" w:color="auto"/>
                <w:lang w:val="en-US" w:eastAsia="zh-CN"/>
              </w:rPr>
              <w:t>敏感点叠加背景值后，厂界噪声和敏感点噪声预测结果见表4.</w:t>
            </w:r>
            <w:r>
              <w:rPr>
                <w:rFonts w:hint="eastAsia" w:ascii="Times New Roman" w:hAnsi="Times New Roman" w:cs="Times New Roman"/>
                <w:color w:val="auto"/>
                <w:spacing w:val="0"/>
                <w:kern w:val="0"/>
                <w:sz w:val="24"/>
                <w:szCs w:val="24"/>
                <w:u w:val="none" w:color="auto"/>
                <w:lang w:val="en-US" w:eastAsia="zh-CN"/>
              </w:rPr>
              <w:t>4-4</w:t>
            </w:r>
            <w:r>
              <w:rPr>
                <w:rFonts w:hint="default" w:ascii="Times New Roman" w:hAnsi="Times New Roman" w:eastAsia="宋体" w:cs="Times New Roman"/>
                <w:color w:val="auto"/>
                <w:spacing w:val="0"/>
                <w:kern w:val="0"/>
                <w:sz w:val="24"/>
                <w:szCs w:val="24"/>
                <w:u w:val="none" w:color="auto"/>
                <w:lang w:val="en-US" w:eastAsia="zh-CN"/>
              </w:rPr>
              <w:t>。</w:t>
            </w:r>
          </w:p>
          <w:p>
            <w:pPr>
              <w:pStyle w:val="25"/>
              <w:spacing w:before="0" w:beforeAutospacing="0" w:after="0" w:afterAutospacing="0"/>
              <w:ind w:firstLine="482"/>
              <w:jc w:val="center"/>
              <w:rPr>
                <w:rFonts w:ascii="Times New Roman" w:hAnsi="Times New Roman"/>
                <w:b/>
                <w:color w:val="auto"/>
                <w:kern w:val="2"/>
                <w:sz w:val="24"/>
                <w:szCs w:val="24"/>
                <w:highlight w:val="none"/>
                <w:u w:val="none" w:color="auto"/>
                <w:lang w:val="en-US" w:eastAsia="zh-CN"/>
              </w:rPr>
            </w:pPr>
            <w:r>
              <w:rPr>
                <w:rFonts w:ascii="Times New Roman" w:hAnsi="Times New Roman"/>
                <w:b/>
                <w:color w:val="auto"/>
                <w:kern w:val="2"/>
                <w:sz w:val="24"/>
                <w:szCs w:val="24"/>
                <w:highlight w:val="none"/>
                <w:u w:val="none" w:color="auto"/>
                <w:lang w:val="en-US" w:eastAsia="zh-CN" w:bidi="ar"/>
              </w:rPr>
              <w:t>表</w:t>
            </w:r>
            <w:r>
              <w:rPr>
                <w:rFonts w:hint="eastAsia" w:ascii="Times New Roman" w:hAnsi="Times New Roman"/>
                <w:b/>
                <w:color w:val="auto"/>
                <w:kern w:val="2"/>
                <w:sz w:val="24"/>
                <w:szCs w:val="24"/>
                <w:highlight w:val="none"/>
                <w:u w:val="none" w:color="auto"/>
                <w:lang w:val="en-US" w:eastAsia="zh-CN" w:bidi="ar"/>
              </w:rPr>
              <w:t>4.4-4</w:t>
            </w:r>
            <w:r>
              <w:rPr>
                <w:rFonts w:ascii="Times New Roman" w:hAnsi="Times New Roman"/>
                <w:b/>
                <w:color w:val="auto"/>
                <w:kern w:val="2"/>
                <w:sz w:val="24"/>
                <w:szCs w:val="24"/>
                <w:highlight w:val="none"/>
                <w:u w:val="none" w:color="auto"/>
                <w:lang w:val="en-US" w:eastAsia="zh-CN" w:bidi="ar"/>
              </w:rPr>
              <w:t>厂界噪声预测结果一览表</w:t>
            </w:r>
            <w:r>
              <w:rPr>
                <w:rFonts w:hint="eastAsia" w:ascii="Times New Roman" w:hAnsi="Times New Roman"/>
                <w:b/>
                <w:color w:val="auto"/>
                <w:kern w:val="2"/>
                <w:sz w:val="24"/>
                <w:szCs w:val="24"/>
                <w:highlight w:val="none"/>
                <w:u w:val="none" w:color="auto"/>
                <w:lang w:val="en-US" w:eastAsia="zh-CN" w:bidi="ar"/>
              </w:rPr>
              <w:t>（</w:t>
            </w:r>
            <w:r>
              <w:rPr>
                <w:rFonts w:ascii="Times New Roman" w:hAnsi="Times New Roman"/>
                <w:b/>
                <w:color w:val="auto"/>
                <w:kern w:val="2"/>
                <w:sz w:val="24"/>
                <w:szCs w:val="24"/>
                <w:highlight w:val="none"/>
                <w:u w:val="none" w:color="auto"/>
                <w:lang w:val="en-US" w:eastAsia="zh-CN" w:bidi="ar"/>
              </w:rPr>
              <w:t>单位：dB(A)</w:t>
            </w:r>
            <w:r>
              <w:rPr>
                <w:rFonts w:hint="eastAsia" w:ascii="Times New Roman" w:hAnsi="Times New Roman"/>
                <w:b/>
                <w:color w:val="auto"/>
                <w:kern w:val="2"/>
                <w:sz w:val="24"/>
                <w:szCs w:val="24"/>
                <w:highlight w:val="none"/>
                <w:u w:val="none" w:color="auto"/>
                <w:lang w:val="en-US" w:eastAsia="zh-CN" w:bidi="ar"/>
              </w:rPr>
              <w:t>）</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954"/>
              <w:gridCol w:w="787"/>
              <w:gridCol w:w="803"/>
              <w:gridCol w:w="757"/>
              <w:gridCol w:w="863"/>
              <w:gridCol w:w="878"/>
              <w:gridCol w:w="919"/>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075" w:type="dxa"/>
                  <w:vMerge w:val="restart"/>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b/>
                      <w:strike w:val="0"/>
                      <w:dstrike w:val="0"/>
                      <w:color w:val="auto"/>
                      <w:sz w:val="21"/>
                      <w:szCs w:val="21"/>
                      <w:highlight w:val="none"/>
                      <w:u w:val="none" w:color="auto"/>
                      <w:lang w:val="en-US" w:eastAsia="zh-CN" w:bidi="ar"/>
                    </w:rPr>
                  </w:pPr>
                  <w:r>
                    <w:rPr>
                      <w:rFonts w:ascii="Times New Roman" w:hAnsi="Times New Roman"/>
                      <w:b/>
                      <w:strike w:val="0"/>
                      <w:dstrike w:val="0"/>
                      <w:color w:val="auto"/>
                      <w:sz w:val="21"/>
                      <w:szCs w:val="21"/>
                      <w:highlight w:val="none"/>
                      <w:u w:val="none" w:color="auto"/>
                      <w:lang w:val="en-US" w:eastAsia="zh-CN" w:bidi="ar"/>
                    </w:rPr>
                    <w:t>预测点位</w:t>
                  </w:r>
                </w:p>
              </w:tc>
              <w:tc>
                <w:tcPr>
                  <w:tcW w:w="945" w:type="dxa"/>
                  <w:vMerge w:val="restar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b/>
                      <w:strike w:val="0"/>
                      <w:dstrike w:val="0"/>
                      <w:color w:val="auto"/>
                      <w:sz w:val="21"/>
                      <w:szCs w:val="21"/>
                      <w:highlight w:val="none"/>
                      <w:u w:val="none" w:color="auto"/>
                      <w:lang w:val="en-US" w:eastAsia="zh-CN" w:bidi="ar"/>
                    </w:rPr>
                    <w:t>贡献值</w:t>
                  </w:r>
                </w:p>
              </w:tc>
              <w:tc>
                <w:tcPr>
                  <w:tcW w:w="1575" w:type="dxa"/>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b/>
                      <w:strike w:val="0"/>
                      <w:dstrike w:val="0"/>
                      <w:color w:val="auto"/>
                      <w:sz w:val="21"/>
                      <w:szCs w:val="21"/>
                      <w:highlight w:val="none"/>
                      <w:u w:val="none" w:color="auto"/>
                      <w:lang w:val="en-US" w:eastAsia="zh-CN" w:bidi="ar"/>
                    </w:rPr>
                    <w:t>背景值</w:t>
                  </w:r>
                </w:p>
              </w:tc>
              <w:tc>
                <w:tcPr>
                  <w:tcW w:w="1605" w:type="dxa"/>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b/>
                      <w:strike w:val="0"/>
                      <w:dstrike w:val="0"/>
                      <w:color w:val="auto"/>
                      <w:sz w:val="21"/>
                      <w:szCs w:val="21"/>
                      <w:highlight w:val="none"/>
                      <w:u w:val="none" w:color="auto"/>
                      <w:lang w:val="en-US" w:eastAsia="zh-CN" w:bidi="ar"/>
                    </w:rPr>
                    <w:t>叠加值</w:t>
                  </w:r>
                </w:p>
              </w:tc>
              <w:tc>
                <w:tcPr>
                  <w:tcW w:w="1780" w:type="dxa"/>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b/>
                      <w:strike w:val="0"/>
                      <w:dstrike w:val="0"/>
                      <w:color w:val="auto"/>
                      <w:sz w:val="21"/>
                      <w:szCs w:val="21"/>
                      <w:highlight w:val="none"/>
                      <w:u w:val="none" w:color="auto"/>
                      <w:lang w:val="en-US" w:eastAsia="zh-CN" w:bidi="ar"/>
                    </w:rPr>
                  </w:pPr>
                  <w:r>
                    <w:rPr>
                      <w:rFonts w:hint="eastAsia" w:ascii="Times New Roman" w:hAnsi="Times New Roman" w:cs="Times New Roman"/>
                      <w:b/>
                      <w:strike w:val="0"/>
                      <w:dstrike w:val="0"/>
                      <w:color w:val="auto"/>
                      <w:sz w:val="21"/>
                      <w:szCs w:val="21"/>
                      <w:highlight w:val="none"/>
                      <w:u w:val="none" w:color="auto"/>
                      <w:lang w:val="en-US" w:eastAsia="zh-CN" w:bidi="ar"/>
                    </w:rPr>
                    <w:t>标准值</w:t>
                  </w:r>
                </w:p>
              </w:tc>
              <w:tc>
                <w:tcPr>
                  <w:tcW w:w="1078" w:type="dxa"/>
                  <w:vMerge w:val="restar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b/>
                      <w:strike w:val="0"/>
                      <w:dstrike w:val="0"/>
                      <w:color w:val="auto"/>
                      <w:sz w:val="21"/>
                      <w:szCs w:val="21"/>
                      <w:highlight w:val="none"/>
                      <w:u w:val="none" w:color="auto"/>
                      <w:lang w:val="en-US" w:eastAsia="zh-CN" w:bidi="ar"/>
                    </w:rPr>
                  </w:pPr>
                  <w:r>
                    <w:rPr>
                      <w:rFonts w:hint="eastAsia" w:ascii="Times New Roman" w:hAnsi="Times New Roman" w:eastAsia="宋体" w:cs="Times New Roman"/>
                      <w:b/>
                      <w:strike w:val="0"/>
                      <w:dstrike w:val="0"/>
                      <w:color w:val="auto"/>
                      <w:sz w:val="21"/>
                      <w:szCs w:val="21"/>
                      <w:highlight w:val="none"/>
                      <w:u w:val="none" w:color="auto"/>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075"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color w:val="auto"/>
                    </w:rPr>
                  </w:pPr>
                </w:p>
              </w:tc>
              <w:tc>
                <w:tcPr>
                  <w:tcW w:w="945"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p>
              </w:tc>
              <w:tc>
                <w:tcPr>
                  <w:tcW w:w="780"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b/>
                      <w:strike w:val="0"/>
                      <w:dstrike w:val="0"/>
                      <w:color w:val="auto"/>
                      <w:sz w:val="21"/>
                      <w:szCs w:val="21"/>
                      <w:highlight w:val="none"/>
                      <w:u w:val="none" w:color="auto"/>
                      <w:lang w:val="en-US" w:eastAsia="zh-CN" w:bidi="ar"/>
                    </w:rPr>
                    <w:t>昼间</w:t>
                  </w:r>
                </w:p>
              </w:tc>
              <w:tc>
                <w:tcPr>
                  <w:tcW w:w="79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cs="Times New Roman"/>
                      <w:b/>
                      <w:strike w:val="0"/>
                      <w:dstrike w:val="0"/>
                      <w:color w:val="auto"/>
                      <w:sz w:val="21"/>
                      <w:szCs w:val="21"/>
                      <w:highlight w:val="none"/>
                      <w:u w:val="none" w:color="auto"/>
                      <w:lang w:val="en-US" w:eastAsia="zh-CN" w:bidi="ar"/>
                    </w:rPr>
                    <w:t>夜间</w:t>
                  </w:r>
                </w:p>
              </w:tc>
              <w:tc>
                <w:tcPr>
                  <w:tcW w:w="750"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b/>
                      <w:strike w:val="0"/>
                      <w:dstrike w:val="0"/>
                      <w:color w:val="auto"/>
                      <w:sz w:val="21"/>
                      <w:szCs w:val="21"/>
                      <w:highlight w:val="none"/>
                      <w:u w:val="none" w:color="auto"/>
                      <w:lang w:val="en-US" w:eastAsia="zh-CN" w:bidi="ar"/>
                    </w:rPr>
                    <w:t>昼间</w:t>
                  </w:r>
                </w:p>
              </w:tc>
              <w:tc>
                <w:tcPr>
                  <w:tcW w:w="85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cs="Times New Roman"/>
                      <w:b/>
                      <w:strike w:val="0"/>
                      <w:dstrike w:val="0"/>
                      <w:color w:val="auto"/>
                      <w:sz w:val="21"/>
                      <w:szCs w:val="21"/>
                      <w:highlight w:val="none"/>
                      <w:u w:val="none" w:color="auto"/>
                      <w:lang w:val="en-US" w:eastAsia="zh-CN" w:bidi="ar"/>
                    </w:rPr>
                    <w:t>夜间</w:t>
                  </w:r>
                </w:p>
              </w:tc>
              <w:tc>
                <w:tcPr>
                  <w:tcW w:w="870"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b/>
                      <w:strike w:val="0"/>
                      <w:dstrike w:val="0"/>
                      <w:color w:val="auto"/>
                      <w:sz w:val="21"/>
                      <w:szCs w:val="21"/>
                      <w:highlight w:val="none"/>
                      <w:u w:val="none" w:color="auto"/>
                      <w:lang w:val="en-US" w:eastAsia="zh-CN" w:bidi="ar"/>
                    </w:rPr>
                    <w:t>昼间</w:t>
                  </w:r>
                </w:p>
              </w:tc>
              <w:tc>
                <w:tcPr>
                  <w:tcW w:w="910"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r>
                    <w:rPr>
                      <w:rFonts w:hint="eastAsia" w:ascii="Times New Roman" w:hAnsi="Times New Roman" w:cs="Times New Roman"/>
                      <w:b/>
                      <w:strike w:val="0"/>
                      <w:dstrike w:val="0"/>
                      <w:color w:val="auto"/>
                      <w:sz w:val="21"/>
                      <w:szCs w:val="21"/>
                      <w:highlight w:val="none"/>
                      <w:u w:val="none" w:color="auto"/>
                      <w:lang w:val="en-US" w:eastAsia="zh-CN" w:bidi="ar"/>
                    </w:rPr>
                    <w:t>夜间</w:t>
                  </w:r>
                </w:p>
              </w:tc>
              <w:tc>
                <w:tcPr>
                  <w:tcW w:w="1078"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b/>
                      <w:strike w:val="0"/>
                      <w:dstrike w:val="0"/>
                      <w:color w:val="auto"/>
                      <w:sz w:val="21"/>
                      <w:szCs w:val="21"/>
                      <w:highlight w:val="none"/>
                      <w:u w:val="none" w:color="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75"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strike w:val="0"/>
                      <w:dstrike w:val="0"/>
                      <w:color w:val="auto"/>
                      <w:sz w:val="21"/>
                      <w:szCs w:val="21"/>
                      <w:highlight w:val="none"/>
                      <w:u w:val="none" w:color="auto"/>
                      <w:lang w:val="en-US" w:eastAsia="zh-CN"/>
                    </w:rPr>
                  </w:pPr>
                  <w:bookmarkStart w:id="70" w:name="OLE_LINK1" w:colFirst="2" w:colLast="2"/>
                  <w:r>
                    <w:rPr>
                      <w:rFonts w:ascii="Times New Roman" w:hAnsi="Times New Roman"/>
                      <w:strike w:val="0"/>
                      <w:dstrike w:val="0"/>
                      <w:color w:val="auto"/>
                      <w:sz w:val="21"/>
                      <w:szCs w:val="21"/>
                      <w:highlight w:val="none"/>
                      <w:u w:val="none" w:color="auto"/>
                      <w:lang w:val="en-US" w:eastAsia="zh-CN" w:bidi="ar"/>
                    </w:rPr>
                    <w:t>N1东厂界</w:t>
                  </w:r>
                </w:p>
              </w:tc>
              <w:tc>
                <w:tcPr>
                  <w:tcW w:w="945" w:type="dxa"/>
                  <w:noWrap w:val="0"/>
                  <w:vAlign w:val="center"/>
                </w:tcPr>
                <w:p>
                  <w:pPr>
                    <w:jc w:val="center"/>
                    <w:rPr>
                      <w:rFonts w:hint="default" w:cs="Times New Roman"/>
                      <w:strike w:val="0"/>
                      <w:dstrike w:val="0"/>
                      <w:color w:val="auto"/>
                      <w:sz w:val="21"/>
                      <w:szCs w:val="21"/>
                      <w:highlight w:val="none"/>
                      <w:u w:val="none" w:color="auto"/>
                      <w:lang w:val="en-US" w:eastAsia="zh-CN"/>
                    </w:rPr>
                  </w:pPr>
                  <w:r>
                    <w:rPr>
                      <w:rFonts w:hint="eastAsia" w:cs="Times New Roman"/>
                      <w:strike w:val="0"/>
                      <w:dstrike w:val="0"/>
                      <w:color w:val="auto"/>
                      <w:sz w:val="21"/>
                      <w:szCs w:val="21"/>
                      <w:highlight w:val="none"/>
                      <w:u w:val="none" w:color="auto"/>
                      <w:lang w:val="en-US" w:eastAsia="zh-CN"/>
                    </w:rPr>
                    <w:t>32</w:t>
                  </w:r>
                </w:p>
              </w:tc>
              <w:tc>
                <w:tcPr>
                  <w:tcW w:w="780"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strike w:val="0"/>
                      <w:dstrike w:val="0"/>
                      <w:color w:val="auto"/>
                      <w:sz w:val="21"/>
                      <w:szCs w:val="21"/>
                      <w:highlight w:val="none"/>
                      <w:u w:val="none" w:color="auto"/>
                      <w:lang w:val="en-US" w:eastAsia="zh-CN"/>
                    </w:rPr>
                  </w:pPr>
                  <w:r>
                    <w:rPr>
                      <w:rFonts w:hint="eastAsia" w:ascii="Times New Roman Regular" w:hAnsi="Times New Roman Regular" w:eastAsia="宋体" w:cs="Times New Roman"/>
                      <w:b w:val="0"/>
                      <w:bCs w:val="0"/>
                      <w:color w:val="auto"/>
                      <w:spacing w:val="0"/>
                      <w:sz w:val="21"/>
                      <w:szCs w:val="21"/>
                      <w:lang w:val="en-US" w:eastAsia="zh-CN"/>
                    </w:rPr>
                    <w:t>51.0</w:t>
                  </w:r>
                </w:p>
              </w:tc>
              <w:tc>
                <w:tcPr>
                  <w:tcW w:w="79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45.6</w:t>
                  </w:r>
                </w:p>
              </w:tc>
              <w:tc>
                <w:tcPr>
                  <w:tcW w:w="750"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51</w:t>
                  </w:r>
                </w:p>
              </w:tc>
              <w:tc>
                <w:tcPr>
                  <w:tcW w:w="855"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46</w:t>
                  </w:r>
                </w:p>
              </w:tc>
              <w:tc>
                <w:tcPr>
                  <w:tcW w:w="870" w:type="dxa"/>
                  <w:noWrap w:val="0"/>
                  <w:vAlign w:val="center"/>
                </w:tcPr>
                <w:p>
                  <w:pPr>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eastAsia" w:cs="Times New Roman"/>
                      <w:strike w:val="0"/>
                      <w:dstrike w:val="0"/>
                      <w:color w:val="auto"/>
                      <w:sz w:val="21"/>
                      <w:szCs w:val="21"/>
                      <w:highlight w:val="none"/>
                      <w:u w:val="none" w:color="auto"/>
                      <w:lang w:val="en-US" w:eastAsia="zh-CN"/>
                    </w:rPr>
                    <w:t>70</w:t>
                  </w:r>
                </w:p>
              </w:tc>
              <w:tc>
                <w:tcPr>
                  <w:tcW w:w="910"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55</w:t>
                  </w:r>
                </w:p>
              </w:tc>
              <w:tc>
                <w:tcPr>
                  <w:tcW w:w="1078" w:type="dxa"/>
                  <w:noWrap w:val="0"/>
                  <w:vAlign w:val="center"/>
                </w:tcPr>
                <w:p>
                  <w:pPr>
                    <w:pStyle w:val="114"/>
                    <w:ind w:firstLine="0" w:firstLineChars="0"/>
                    <w:rPr>
                      <w:rFonts w:hint="eastAsia" w:ascii="Times New Roman" w:hAnsi="Times New Roman" w:eastAsia="宋体" w:cs="Times New Roman"/>
                      <w:strike w:val="0"/>
                      <w:dstrike w:val="0"/>
                      <w:color w:val="auto"/>
                      <w:sz w:val="21"/>
                      <w:szCs w:val="21"/>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strike w:val="0"/>
                      <w:dstrike w:val="0"/>
                      <w:color w:val="auto"/>
                      <w:sz w:val="21"/>
                      <w:szCs w:val="21"/>
                      <w:highlight w:val="none"/>
                      <w:u w:val="none" w:color="auto"/>
                      <w:lang w:val="en-US" w:eastAsia="zh-CN"/>
                    </w:rPr>
                  </w:pPr>
                  <w:r>
                    <w:rPr>
                      <w:rFonts w:ascii="Times New Roman" w:hAnsi="Times New Roman"/>
                      <w:strike w:val="0"/>
                      <w:dstrike w:val="0"/>
                      <w:color w:val="auto"/>
                      <w:sz w:val="21"/>
                      <w:szCs w:val="21"/>
                      <w:highlight w:val="none"/>
                      <w:u w:val="none" w:color="auto"/>
                      <w:lang w:val="en-US" w:eastAsia="zh-CN" w:bidi="ar"/>
                    </w:rPr>
                    <w:t>N2南厂界</w:t>
                  </w:r>
                </w:p>
              </w:tc>
              <w:tc>
                <w:tcPr>
                  <w:tcW w:w="945"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30</w:t>
                  </w:r>
                </w:p>
              </w:tc>
              <w:tc>
                <w:tcPr>
                  <w:tcW w:w="780"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strike w:val="0"/>
                      <w:dstrike w:val="0"/>
                      <w:color w:val="auto"/>
                      <w:sz w:val="21"/>
                      <w:szCs w:val="21"/>
                      <w:highlight w:val="none"/>
                      <w:u w:val="none" w:color="auto"/>
                      <w:lang w:val="en-US" w:eastAsia="zh-CN"/>
                    </w:rPr>
                  </w:pPr>
                  <w:r>
                    <w:rPr>
                      <w:rFonts w:hint="eastAsia" w:ascii="Times New Roman Regular" w:hAnsi="Times New Roman Regular" w:eastAsia="宋体" w:cs="Times New Roman"/>
                      <w:b w:val="0"/>
                      <w:bCs w:val="0"/>
                      <w:color w:val="auto"/>
                      <w:spacing w:val="0"/>
                      <w:sz w:val="21"/>
                      <w:szCs w:val="21"/>
                      <w:lang w:val="en-US" w:eastAsia="zh-CN"/>
                    </w:rPr>
                    <w:t>57.0</w:t>
                  </w:r>
                </w:p>
              </w:tc>
              <w:tc>
                <w:tcPr>
                  <w:tcW w:w="79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48.4</w:t>
                  </w:r>
                </w:p>
              </w:tc>
              <w:tc>
                <w:tcPr>
                  <w:tcW w:w="750"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57</w:t>
                  </w:r>
                </w:p>
              </w:tc>
              <w:tc>
                <w:tcPr>
                  <w:tcW w:w="855"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48</w:t>
                  </w:r>
                </w:p>
              </w:tc>
              <w:tc>
                <w:tcPr>
                  <w:tcW w:w="870" w:type="dxa"/>
                  <w:noWrap w:val="0"/>
                  <w:vAlign w:val="center"/>
                </w:tcPr>
                <w:p>
                  <w:pPr>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eastAsia" w:cs="Times New Roman"/>
                      <w:strike w:val="0"/>
                      <w:dstrike w:val="0"/>
                      <w:color w:val="auto"/>
                      <w:sz w:val="21"/>
                      <w:szCs w:val="21"/>
                      <w:highlight w:val="none"/>
                      <w:u w:val="none" w:color="auto"/>
                      <w:lang w:val="en-US" w:eastAsia="zh-CN"/>
                    </w:rPr>
                    <w:t>70</w:t>
                  </w:r>
                </w:p>
              </w:tc>
              <w:tc>
                <w:tcPr>
                  <w:tcW w:w="910"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55</w:t>
                  </w:r>
                </w:p>
              </w:tc>
              <w:tc>
                <w:tcPr>
                  <w:tcW w:w="1078" w:type="dxa"/>
                  <w:noWrap w:val="0"/>
                  <w:vAlign w:val="center"/>
                </w:tcPr>
                <w:p>
                  <w:pPr>
                    <w:ind w:firstLine="0" w:firstLineChars="0"/>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strike w:val="0"/>
                      <w:dstrike w:val="0"/>
                      <w:color w:val="auto"/>
                      <w:sz w:val="21"/>
                      <w:szCs w:val="21"/>
                      <w:highlight w:val="none"/>
                      <w:u w:val="none" w:color="auto"/>
                      <w:lang w:val="en-US" w:eastAsia="zh-CN"/>
                    </w:rPr>
                  </w:pPr>
                  <w:r>
                    <w:rPr>
                      <w:rFonts w:ascii="Times New Roman" w:hAnsi="Times New Roman"/>
                      <w:strike w:val="0"/>
                      <w:dstrike w:val="0"/>
                      <w:color w:val="auto"/>
                      <w:sz w:val="21"/>
                      <w:szCs w:val="21"/>
                      <w:highlight w:val="none"/>
                      <w:u w:val="none" w:color="auto"/>
                      <w:lang w:val="en-US" w:eastAsia="zh-CN" w:bidi="ar"/>
                    </w:rPr>
                    <w:t>N3西厂界</w:t>
                  </w:r>
                </w:p>
              </w:tc>
              <w:tc>
                <w:tcPr>
                  <w:tcW w:w="945"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27</w:t>
                  </w:r>
                </w:p>
              </w:tc>
              <w:tc>
                <w:tcPr>
                  <w:tcW w:w="780"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strike w:val="0"/>
                      <w:dstrike w:val="0"/>
                      <w:color w:val="auto"/>
                      <w:sz w:val="21"/>
                      <w:szCs w:val="21"/>
                      <w:highlight w:val="none"/>
                      <w:u w:val="none" w:color="auto"/>
                      <w:lang w:val="en-US" w:eastAsia="zh-CN"/>
                    </w:rPr>
                  </w:pPr>
                  <w:r>
                    <w:rPr>
                      <w:rFonts w:hint="eastAsia" w:ascii="Times New Roman Regular" w:hAnsi="Times New Roman Regular" w:eastAsia="宋体" w:cs="Times New Roman"/>
                      <w:b w:val="0"/>
                      <w:bCs w:val="0"/>
                      <w:color w:val="auto"/>
                      <w:spacing w:val="0"/>
                      <w:sz w:val="21"/>
                      <w:szCs w:val="21"/>
                      <w:lang w:val="en-US" w:eastAsia="zh-CN"/>
                    </w:rPr>
                    <w:t>53.8</w:t>
                  </w:r>
                </w:p>
              </w:tc>
              <w:tc>
                <w:tcPr>
                  <w:tcW w:w="79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45.5</w:t>
                  </w:r>
                </w:p>
              </w:tc>
              <w:tc>
                <w:tcPr>
                  <w:tcW w:w="750"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54</w:t>
                  </w:r>
                </w:p>
              </w:tc>
              <w:tc>
                <w:tcPr>
                  <w:tcW w:w="855"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46</w:t>
                  </w:r>
                </w:p>
              </w:tc>
              <w:tc>
                <w:tcPr>
                  <w:tcW w:w="870" w:type="dxa"/>
                  <w:noWrap w:val="0"/>
                  <w:vAlign w:val="center"/>
                </w:tcPr>
                <w:p>
                  <w:pPr>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eastAsia" w:cs="Times New Roman"/>
                      <w:strike w:val="0"/>
                      <w:dstrike w:val="0"/>
                      <w:color w:val="auto"/>
                      <w:sz w:val="21"/>
                      <w:szCs w:val="21"/>
                      <w:highlight w:val="none"/>
                      <w:u w:val="none" w:color="auto"/>
                      <w:lang w:val="en-US" w:eastAsia="zh-CN"/>
                    </w:rPr>
                    <w:t>65</w:t>
                  </w:r>
                </w:p>
              </w:tc>
              <w:tc>
                <w:tcPr>
                  <w:tcW w:w="910"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55</w:t>
                  </w:r>
                </w:p>
              </w:tc>
              <w:tc>
                <w:tcPr>
                  <w:tcW w:w="1078" w:type="dxa"/>
                  <w:noWrap w:val="0"/>
                  <w:vAlign w:val="center"/>
                </w:tcPr>
                <w:p>
                  <w:pPr>
                    <w:ind w:firstLine="0" w:firstLineChars="0"/>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noWrap w:val="0"/>
                  <w:vAlign w:val="center"/>
                </w:tcPr>
                <w:p>
                  <w:pPr>
                    <w:widowControl/>
                    <w:jc w:val="center"/>
                    <w:rPr>
                      <w:rFonts w:ascii="Times New Roman" w:hAnsi="Times New Roman"/>
                      <w:strike w:val="0"/>
                      <w:dstrike w:val="0"/>
                      <w:color w:val="auto"/>
                      <w:sz w:val="21"/>
                      <w:szCs w:val="21"/>
                      <w:highlight w:val="none"/>
                      <w:u w:val="none" w:color="auto"/>
                      <w:lang w:val="en-US" w:eastAsia="zh-CN"/>
                    </w:rPr>
                  </w:pPr>
                  <w:r>
                    <w:rPr>
                      <w:strike w:val="0"/>
                      <w:dstrike w:val="0"/>
                      <w:color w:val="auto"/>
                      <w:kern w:val="0"/>
                      <w:szCs w:val="21"/>
                      <w:highlight w:val="none"/>
                      <w:u w:val="none" w:color="auto"/>
                      <w:lang w:bidi="ar"/>
                    </w:rPr>
                    <w:t>N4北厂界</w:t>
                  </w:r>
                </w:p>
              </w:tc>
              <w:tc>
                <w:tcPr>
                  <w:tcW w:w="945"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49</w:t>
                  </w:r>
                </w:p>
              </w:tc>
              <w:tc>
                <w:tcPr>
                  <w:tcW w:w="780"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strike w:val="0"/>
                      <w:dstrike w:val="0"/>
                      <w:color w:val="auto"/>
                      <w:sz w:val="21"/>
                      <w:szCs w:val="21"/>
                      <w:highlight w:val="none"/>
                      <w:u w:val="none" w:color="auto"/>
                      <w:lang w:val="en-US" w:eastAsia="zh-CN"/>
                    </w:rPr>
                  </w:pPr>
                  <w:r>
                    <w:rPr>
                      <w:rFonts w:hint="eastAsia" w:ascii="Times New Roman Regular" w:hAnsi="Times New Roman Regular" w:eastAsia="宋体" w:cs="Times New Roman"/>
                      <w:b w:val="0"/>
                      <w:bCs w:val="0"/>
                      <w:color w:val="auto"/>
                      <w:spacing w:val="0"/>
                      <w:sz w:val="21"/>
                      <w:szCs w:val="21"/>
                      <w:lang w:val="en-US" w:eastAsia="zh-CN"/>
                    </w:rPr>
                    <w:t>54.4</w:t>
                  </w:r>
                </w:p>
              </w:tc>
              <w:tc>
                <w:tcPr>
                  <w:tcW w:w="79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47.0</w:t>
                  </w:r>
                </w:p>
              </w:tc>
              <w:tc>
                <w:tcPr>
                  <w:tcW w:w="750"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56</w:t>
                  </w:r>
                </w:p>
              </w:tc>
              <w:tc>
                <w:tcPr>
                  <w:tcW w:w="855" w:type="dxa"/>
                  <w:noWrap w:val="0"/>
                  <w:vAlign w:val="bottom"/>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51</w:t>
                  </w:r>
                </w:p>
              </w:tc>
              <w:tc>
                <w:tcPr>
                  <w:tcW w:w="870" w:type="dxa"/>
                  <w:noWrap w:val="0"/>
                  <w:vAlign w:val="center"/>
                </w:tcPr>
                <w:p>
                  <w:pPr>
                    <w:jc w:val="center"/>
                    <w:rPr>
                      <w:rFonts w:hint="default" w:ascii="Times New Roman" w:hAnsi="Times New Roman" w:eastAsia="宋体" w:cs="Times New Roman"/>
                      <w:strike w:val="0"/>
                      <w:dstrike w:val="0"/>
                      <w:color w:val="auto"/>
                      <w:sz w:val="21"/>
                      <w:szCs w:val="21"/>
                      <w:highlight w:val="none"/>
                      <w:u w:val="none" w:color="auto"/>
                      <w:lang w:val="en-US" w:eastAsia="zh-CN"/>
                    </w:rPr>
                  </w:pPr>
                  <w:r>
                    <w:rPr>
                      <w:rFonts w:hint="eastAsia" w:cs="Times New Roman"/>
                      <w:strike w:val="0"/>
                      <w:dstrike w:val="0"/>
                      <w:color w:val="auto"/>
                      <w:sz w:val="21"/>
                      <w:szCs w:val="21"/>
                      <w:highlight w:val="none"/>
                      <w:u w:val="none" w:color="auto"/>
                      <w:lang w:val="en-US" w:eastAsia="zh-CN"/>
                    </w:rPr>
                    <w:t>65</w:t>
                  </w:r>
                </w:p>
              </w:tc>
              <w:tc>
                <w:tcPr>
                  <w:tcW w:w="910"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55</w:t>
                  </w:r>
                </w:p>
              </w:tc>
              <w:tc>
                <w:tcPr>
                  <w:tcW w:w="1078" w:type="dxa"/>
                  <w:noWrap w:val="0"/>
                  <w:vAlign w:val="center"/>
                </w:tcPr>
                <w:p>
                  <w:pPr>
                    <w:ind w:firstLine="0" w:firstLineChars="0"/>
                    <w:jc w:val="center"/>
                    <w:rPr>
                      <w:rFonts w:hint="eastAsia" w:ascii="Times New Roman" w:hAnsi="Times New Roman" w:eastAsia="宋体" w:cs="Times New Roman"/>
                      <w:strike w:val="0"/>
                      <w:dstrike w:val="0"/>
                      <w:color w:val="auto"/>
                      <w:sz w:val="21"/>
                      <w:szCs w:val="21"/>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5" w:type="dxa"/>
                  <w:noWrap w:val="0"/>
                  <w:vAlign w:val="center"/>
                </w:tcPr>
                <w:p>
                  <w:pPr>
                    <w:pStyle w:val="1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strike w:val="0"/>
                      <w:dstrike w:val="0"/>
                      <w:color w:val="auto"/>
                      <w:kern w:val="0"/>
                      <w:szCs w:val="21"/>
                      <w:highlight w:val="none"/>
                      <w:u w:val="none" w:color="auto"/>
                      <w:lang w:bidi="ar"/>
                    </w:rPr>
                  </w:pPr>
                  <w:r>
                    <w:rPr>
                      <w:rFonts w:hint="eastAsia" w:ascii="Times New Roman" w:hAnsi="Times New Roman" w:cs="Times New Roman"/>
                      <w:color w:val="auto"/>
                      <w:sz w:val="21"/>
                      <w:szCs w:val="21"/>
                      <w:highlight w:val="none"/>
                      <w:lang w:val="en-US" w:eastAsia="zh-CN"/>
                    </w:rPr>
                    <w:t>N5创新创业服务中心</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在建</w:t>
                  </w:r>
                  <w:r>
                    <w:rPr>
                      <w:rFonts w:hint="eastAsia" w:cs="Times New Roman"/>
                      <w:color w:val="auto"/>
                      <w:sz w:val="21"/>
                      <w:szCs w:val="21"/>
                      <w:highlight w:val="none"/>
                      <w:lang w:val="en-US" w:eastAsia="zh-CN"/>
                    </w:rPr>
                    <w:t>）</w:t>
                  </w:r>
                </w:p>
              </w:tc>
              <w:tc>
                <w:tcPr>
                  <w:tcW w:w="945" w:type="dxa"/>
                  <w:noWrap w:val="0"/>
                  <w:vAlign w:val="center"/>
                </w:tcPr>
                <w:p>
                  <w:pPr>
                    <w:jc w:val="center"/>
                    <w:rPr>
                      <w:rFonts w:hint="default" w:ascii="Times New Roman" w:hAnsi="Times New Roman"/>
                      <w:strike w:val="0"/>
                      <w:dstrike w:val="0"/>
                      <w:color w:val="auto"/>
                      <w:sz w:val="21"/>
                      <w:szCs w:val="21"/>
                      <w:highlight w:val="none"/>
                      <w:u w:val="none" w:color="auto"/>
                      <w:lang w:val="en-US" w:eastAsia="zh-CN"/>
                    </w:rPr>
                  </w:pPr>
                  <w:r>
                    <w:rPr>
                      <w:rFonts w:hint="eastAsia"/>
                      <w:strike w:val="0"/>
                      <w:dstrike w:val="0"/>
                      <w:color w:val="auto"/>
                      <w:sz w:val="21"/>
                      <w:szCs w:val="21"/>
                      <w:highlight w:val="none"/>
                      <w:u w:val="none" w:color="auto"/>
                      <w:lang w:val="en-US" w:eastAsia="zh-CN"/>
                    </w:rPr>
                    <w:t>27</w:t>
                  </w:r>
                </w:p>
              </w:tc>
              <w:tc>
                <w:tcPr>
                  <w:tcW w:w="780" w:type="dxa"/>
                  <w:noWrap w:val="0"/>
                  <w:vAlign w:val="center"/>
                </w:tcPr>
                <w:p>
                  <w:pPr>
                    <w:pStyle w:val="114"/>
                    <w:ind w:firstLine="0" w:firstLineChars="0"/>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53</w:t>
                  </w:r>
                </w:p>
              </w:tc>
              <w:tc>
                <w:tcPr>
                  <w:tcW w:w="79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highlight w:val="none"/>
                      <w:u w:val="none" w:color="auto"/>
                      <w:lang w:val="en-US" w:eastAsia="zh-CN"/>
                    </w:rPr>
                  </w:pPr>
                  <w:r>
                    <w:rPr>
                      <w:rFonts w:hint="eastAsia" w:ascii="Times New Roman Regular" w:hAnsi="Times New Roman Regular" w:eastAsia="宋体" w:cs="Times New Roman"/>
                      <w:b w:val="0"/>
                      <w:bCs w:val="0"/>
                      <w:color w:val="auto"/>
                      <w:spacing w:val="0"/>
                      <w:sz w:val="21"/>
                      <w:szCs w:val="21"/>
                      <w:lang w:val="en-US" w:eastAsia="zh-CN"/>
                    </w:rPr>
                    <w:t>45.6</w:t>
                  </w:r>
                </w:p>
              </w:tc>
              <w:tc>
                <w:tcPr>
                  <w:tcW w:w="750"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53</w:t>
                  </w:r>
                </w:p>
              </w:tc>
              <w:tc>
                <w:tcPr>
                  <w:tcW w:w="85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Regular" w:hAnsi="Times New Roman Regular" w:eastAsia="宋体" w:cs="Times New Roman"/>
                      <w:b w:val="0"/>
                      <w:bCs w:val="0"/>
                      <w:color w:val="auto"/>
                      <w:spacing w:val="0"/>
                      <w:sz w:val="21"/>
                      <w:szCs w:val="21"/>
                      <w:lang w:val="en-US" w:eastAsia="zh-CN"/>
                    </w:rPr>
                  </w:pPr>
                  <w:r>
                    <w:rPr>
                      <w:rFonts w:hint="eastAsia" w:ascii="Times New Roman Regular" w:hAnsi="Times New Roman Regular" w:eastAsia="宋体" w:cs="Times New Roman"/>
                      <w:b w:val="0"/>
                      <w:bCs w:val="0"/>
                      <w:color w:val="auto"/>
                      <w:spacing w:val="0"/>
                      <w:sz w:val="21"/>
                      <w:szCs w:val="21"/>
                      <w:lang w:val="en-US" w:eastAsia="zh-CN"/>
                    </w:rPr>
                    <w:t>46</w:t>
                  </w:r>
                </w:p>
              </w:tc>
              <w:tc>
                <w:tcPr>
                  <w:tcW w:w="870" w:type="dxa"/>
                  <w:noWrap w:val="0"/>
                  <w:vAlign w:val="center"/>
                </w:tcPr>
                <w:p>
                  <w:pPr>
                    <w:jc w:val="center"/>
                    <w:rPr>
                      <w:rFonts w:hint="eastAsia" w:ascii="Times New Roman" w:hAnsi="Times New Roman" w:eastAsia="宋体" w:cs="Times New Roman"/>
                      <w:strike w:val="0"/>
                      <w:dstrike w:val="0"/>
                      <w:color w:val="auto"/>
                      <w:sz w:val="21"/>
                      <w:szCs w:val="21"/>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60</w:t>
                  </w:r>
                </w:p>
              </w:tc>
              <w:tc>
                <w:tcPr>
                  <w:tcW w:w="910" w:type="dxa"/>
                  <w:noWrap w:val="0"/>
                  <w:vAlign w:val="center"/>
                </w:tcPr>
                <w:p>
                  <w:pPr>
                    <w:jc w:val="center"/>
                    <w:rPr>
                      <w:rFonts w:hint="eastAsia" w:ascii="Times New Roman" w:hAnsi="Times New Roman" w:eastAsia="宋体" w:cs="Times New Roman"/>
                      <w:strike w:val="0"/>
                      <w:dstrike w:val="0"/>
                      <w:color w:val="auto"/>
                      <w:sz w:val="21"/>
                      <w:szCs w:val="21"/>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50</w:t>
                  </w:r>
                </w:p>
              </w:tc>
              <w:tc>
                <w:tcPr>
                  <w:tcW w:w="1078" w:type="dxa"/>
                  <w:noWrap w:val="0"/>
                  <w:vAlign w:val="center"/>
                </w:tcPr>
                <w:p>
                  <w:pPr>
                    <w:ind w:firstLine="0" w:firstLineChars="0"/>
                    <w:jc w:val="center"/>
                    <w:rPr>
                      <w:rFonts w:hint="eastAsia"/>
                      <w:color w:val="auto"/>
                      <w:highlight w:val="none"/>
                      <w:u w:val="none" w:color="auto"/>
                      <w:lang w:val="en-US" w:eastAsia="zh-CN"/>
                    </w:rPr>
                  </w:pPr>
                  <w:r>
                    <w:rPr>
                      <w:rFonts w:hint="eastAsia" w:ascii="Times New Roman" w:hAnsi="Times New Roman" w:eastAsia="宋体" w:cs="Times New Roman"/>
                      <w:strike w:val="0"/>
                      <w:dstrike w:val="0"/>
                      <w:color w:val="auto"/>
                      <w:sz w:val="21"/>
                      <w:szCs w:val="21"/>
                      <w:highlight w:val="none"/>
                      <w:u w:val="none" w:color="auto"/>
                      <w:lang w:val="en-US" w:eastAsia="zh-CN"/>
                    </w:rPr>
                    <w:t>达标</w:t>
                  </w:r>
                </w:p>
              </w:tc>
            </w:tr>
            <w:bookmarkEnd w:id="70"/>
          </w:tbl>
          <w:p>
            <w:pPr>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
              </w:rPr>
            </w:pPr>
            <w:r>
              <w:rPr>
                <w:rFonts w:hint="default" w:ascii="Times New Roman" w:hAnsi="Times New Roman" w:eastAsia="宋体" w:cs="Times New Roman"/>
                <w:color w:val="auto"/>
                <w:sz w:val="24"/>
                <w:szCs w:val="24"/>
                <w:highlight w:val="none"/>
                <w:u w:val="none" w:color="auto"/>
                <w:lang w:val="en-US" w:eastAsia="zh-CN" w:bidi="ar"/>
              </w:rPr>
              <w:t>预测结果表明，本项目设备在采取厂房隔声、减振后，</w:t>
            </w:r>
            <w:r>
              <w:rPr>
                <w:rFonts w:hint="eastAsia" w:cs="Times New Roman"/>
                <w:color w:val="auto"/>
                <w:sz w:val="24"/>
                <w:szCs w:val="24"/>
                <w:highlight w:val="none"/>
                <w:u w:val="none" w:color="auto"/>
                <w:lang w:val="en-US" w:eastAsia="zh-CN" w:bidi="ar"/>
              </w:rPr>
              <w:t>东侧、南侧</w:t>
            </w:r>
            <w:r>
              <w:rPr>
                <w:rFonts w:hint="default" w:ascii="Times New Roman" w:hAnsi="Times New Roman" w:eastAsia="宋体" w:cs="Times New Roman"/>
                <w:color w:val="auto"/>
                <w:sz w:val="24"/>
                <w:szCs w:val="24"/>
                <w:highlight w:val="none"/>
                <w:u w:val="none" w:color="auto"/>
                <w:lang w:val="en-US" w:eastAsia="zh-CN" w:bidi="ar"/>
              </w:rPr>
              <w:t>厂界</w:t>
            </w:r>
            <w:r>
              <w:rPr>
                <w:rFonts w:hint="eastAsia" w:ascii="Times New Roman" w:hAnsi="Times New Roman" w:eastAsia="宋体" w:cs="Times New Roman"/>
                <w:color w:val="auto"/>
                <w:sz w:val="24"/>
                <w:szCs w:val="24"/>
                <w:highlight w:val="none"/>
                <w:u w:val="none" w:color="auto"/>
                <w:lang w:val="en-US" w:eastAsia="zh-CN" w:bidi="ar"/>
              </w:rPr>
              <w:t>昼</w:t>
            </w:r>
            <w:r>
              <w:rPr>
                <w:rFonts w:hint="default" w:ascii="Times New Roman" w:hAnsi="Times New Roman" w:eastAsia="宋体" w:cs="Times New Roman"/>
                <w:color w:val="auto"/>
                <w:sz w:val="24"/>
                <w:szCs w:val="24"/>
                <w:highlight w:val="none"/>
                <w:u w:val="none" w:color="auto"/>
                <w:lang w:val="en-US" w:eastAsia="zh-CN" w:bidi="ar"/>
              </w:rPr>
              <w:t>夜间噪声可满足《工业企业厂界环境噪声排放标准》（GB12348-2008）中的</w:t>
            </w:r>
            <w:r>
              <w:rPr>
                <w:rFonts w:hint="eastAsia" w:cs="Times New Roman"/>
                <w:color w:val="auto"/>
                <w:sz w:val="24"/>
                <w:szCs w:val="24"/>
                <w:highlight w:val="none"/>
                <w:u w:val="none" w:color="auto"/>
                <w:lang w:val="en-US" w:eastAsia="zh-CN" w:bidi="ar"/>
              </w:rPr>
              <w:t>4</w:t>
            </w:r>
            <w:r>
              <w:rPr>
                <w:rFonts w:hint="default" w:ascii="Times New Roman" w:hAnsi="Times New Roman" w:eastAsia="宋体" w:cs="Times New Roman"/>
                <w:color w:val="auto"/>
                <w:sz w:val="24"/>
                <w:szCs w:val="24"/>
                <w:highlight w:val="none"/>
                <w:u w:val="none" w:color="auto"/>
                <w:lang w:val="en-US" w:eastAsia="zh-CN" w:bidi="ar"/>
              </w:rPr>
              <w:t>类标准</w:t>
            </w:r>
            <w:r>
              <w:rPr>
                <w:rFonts w:hint="eastAsia" w:cs="Times New Roman"/>
                <w:color w:val="auto"/>
                <w:sz w:val="24"/>
                <w:szCs w:val="24"/>
                <w:highlight w:val="none"/>
                <w:u w:val="none" w:color="auto"/>
                <w:lang w:val="en-US" w:eastAsia="zh-CN" w:bidi="ar"/>
              </w:rPr>
              <w:t>，西侧、北侧</w:t>
            </w:r>
            <w:r>
              <w:rPr>
                <w:rFonts w:hint="default" w:ascii="Times New Roman" w:hAnsi="Times New Roman" w:eastAsia="宋体" w:cs="Times New Roman"/>
                <w:color w:val="auto"/>
                <w:sz w:val="24"/>
                <w:szCs w:val="24"/>
                <w:highlight w:val="none"/>
                <w:u w:val="none" w:color="auto"/>
                <w:lang w:val="en-US" w:eastAsia="zh-CN" w:bidi="ar"/>
              </w:rPr>
              <w:t>厂界</w:t>
            </w:r>
            <w:r>
              <w:rPr>
                <w:rFonts w:hint="eastAsia" w:ascii="Times New Roman" w:hAnsi="Times New Roman" w:eastAsia="宋体" w:cs="Times New Roman"/>
                <w:color w:val="auto"/>
                <w:sz w:val="24"/>
                <w:szCs w:val="24"/>
                <w:highlight w:val="none"/>
                <w:u w:val="none" w:color="auto"/>
                <w:lang w:val="en-US" w:eastAsia="zh-CN" w:bidi="ar"/>
              </w:rPr>
              <w:t>昼</w:t>
            </w:r>
            <w:r>
              <w:rPr>
                <w:rFonts w:hint="default" w:ascii="Times New Roman" w:hAnsi="Times New Roman" w:eastAsia="宋体" w:cs="Times New Roman"/>
                <w:color w:val="auto"/>
                <w:sz w:val="24"/>
                <w:szCs w:val="24"/>
                <w:highlight w:val="none"/>
                <w:u w:val="none" w:color="auto"/>
                <w:lang w:val="en-US" w:eastAsia="zh-CN" w:bidi="ar"/>
              </w:rPr>
              <w:t>夜间噪声可满足《工业企业厂界环境噪声排放标准》（GB12348-2008）中的</w:t>
            </w:r>
            <w:r>
              <w:rPr>
                <w:rFonts w:hint="eastAsia" w:cs="Times New Roman"/>
                <w:color w:val="auto"/>
                <w:sz w:val="24"/>
                <w:szCs w:val="24"/>
                <w:highlight w:val="none"/>
                <w:u w:val="none" w:color="auto"/>
                <w:lang w:val="en-US" w:eastAsia="zh-CN" w:bidi="ar"/>
              </w:rPr>
              <w:t>3</w:t>
            </w:r>
            <w:r>
              <w:rPr>
                <w:rFonts w:hint="default" w:ascii="Times New Roman" w:hAnsi="Times New Roman" w:eastAsia="宋体" w:cs="Times New Roman"/>
                <w:color w:val="auto"/>
                <w:sz w:val="24"/>
                <w:szCs w:val="24"/>
                <w:highlight w:val="none"/>
                <w:u w:val="none" w:color="auto"/>
                <w:lang w:val="en-US" w:eastAsia="zh-CN" w:bidi="ar"/>
              </w:rPr>
              <w:t>类标准。创新创业服务中心</w:t>
            </w:r>
            <w:r>
              <w:rPr>
                <w:rFonts w:hint="eastAsia" w:ascii="Times New Roman" w:hAnsi="Times New Roman" w:eastAsia="宋体" w:cs="Times New Roman"/>
                <w:color w:val="auto"/>
                <w:sz w:val="24"/>
                <w:szCs w:val="24"/>
                <w:highlight w:val="none"/>
                <w:u w:val="none" w:color="auto"/>
                <w:lang w:val="en-US" w:eastAsia="zh-CN" w:bidi="ar"/>
              </w:rPr>
              <w:t>噪声</w:t>
            </w:r>
            <w:r>
              <w:rPr>
                <w:rFonts w:hint="default" w:ascii="Times New Roman" w:hAnsi="Times New Roman" w:eastAsia="宋体" w:cs="Times New Roman"/>
                <w:color w:val="auto"/>
                <w:sz w:val="24"/>
                <w:szCs w:val="24"/>
                <w:highlight w:val="none"/>
                <w:u w:val="none" w:color="auto"/>
                <w:lang w:val="en-US" w:eastAsia="zh-CN" w:bidi="ar"/>
              </w:rPr>
              <w:t>叠加背景预测值可满足《声环境质量标准》（GB3096-2008）2类标准要求。</w:t>
            </w:r>
          </w:p>
          <w:p>
            <w:pPr>
              <w:spacing w:line="360" w:lineRule="auto"/>
              <w:ind w:firstLine="482" w:firstLineChars="200"/>
              <w:rPr>
                <w:rFonts w:hint="eastAsia" w:eastAsia="宋体"/>
                <w:b/>
                <w:bCs/>
                <w:color w:val="auto"/>
                <w:sz w:val="24"/>
                <w:szCs w:val="24"/>
                <w:highlight w:val="none"/>
                <w:u w:val="single" w:color="auto"/>
                <w:lang w:eastAsia="zh-CN" w:bidi="ar"/>
              </w:rPr>
            </w:pPr>
            <w:r>
              <w:rPr>
                <w:rFonts w:hint="eastAsia"/>
                <w:b/>
                <w:bCs/>
                <w:color w:val="auto"/>
                <w:sz w:val="24"/>
                <w:szCs w:val="24"/>
                <w:highlight w:val="none"/>
                <w:u w:val="single" w:color="auto"/>
                <w:lang w:eastAsia="zh-CN" w:bidi="ar"/>
              </w:rPr>
              <w:t>（</w:t>
            </w:r>
            <w:r>
              <w:rPr>
                <w:rFonts w:hint="eastAsia"/>
                <w:b/>
                <w:bCs/>
                <w:color w:val="auto"/>
                <w:sz w:val="24"/>
                <w:szCs w:val="24"/>
                <w:highlight w:val="none"/>
                <w:u w:val="single" w:color="auto"/>
                <w:lang w:val="en-US" w:eastAsia="zh-CN" w:bidi="ar"/>
              </w:rPr>
              <w:t>4</w:t>
            </w:r>
            <w:r>
              <w:rPr>
                <w:rFonts w:hint="eastAsia"/>
                <w:b/>
                <w:bCs/>
                <w:color w:val="auto"/>
                <w:sz w:val="24"/>
                <w:szCs w:val="24"/>
                <w:highlight w:val="none"/>
                <w:u w:val="single" w:color="auto"/>
                <w:lang w:eastAsia="zh-CN" w:bidi="ar"/>
              </w:rPr>
              <w:t>）监测要求</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Cs w:val="21"/>
                <w:highlight w:val="none"/>
                <w:u w:val="single" w:color="auto"/>
                <w:lang w:val="en-US" w:eastAsia="zh-CN" w:bidi="ar"/>
              </w:rPr>
            </w:pPr>
            <w:r>
              <w:rPr>
                <w:rFonts w:hint="eastAsia" w:ascii="Times New Roman" w:hAnsi="Times New Roman" w:eastAsia="宋体" w:cs="Times New Roman"/>
                <w:color w:val="auto"/>
                <w:kern w:val="0"/>
                <w:sz w:val="24"/>
                <w:szCs w:val="24"/>
                <w:highlight w:val="none"/>
                <w:u w:val="single" w:color="auto"/>
                <w:lang w:bidi="ar"/>
              </w:rPr>
              <w:t>根据《排污许可证申请与核发技术规范</w:t>
            </w:r>
            <w:r>
              <w:rPr>
                <w:rFonts w:hint="eastAsia" w:ascii="Times New Roman" w:hAnsi="Times New Roman" w:eastAsia="宋体" w:cs="Times New Roman"/>
                <w:color w:val="auto"/>
                <w:kern w:val="0"/>
                <w:sz w:val="24"/>
                <w:szCs w:val="24"/>
                <w:highlight w:val="none"/>
                <w:u w:val="single" w:color="auto"/>
                <w:lang w:eastAsia="zh-CN" w:bidi="ar"/>
              </w:rPr>
              <w:t>总则</w:t>
            </w:r>
            <w:r>
              <w:rPr>
                <w:rFonts w:hint="eastAsia" w:ascii="Times New Roman" w:hAnsi="Times New Roman" w:eastAsia="宋体" w:cs="Times New Roman"/>
                <w:color w:val="auto"/>
                <w:kern w:val="0"/>
                <w:sz w:val="24"/>
                <w:szCs w:val="24"/>
                <w:highlight w:val="none"/>
                <w:u w:val="single" w:color="auto"/>
                <w:lang w:bidi="ar"/>
              </w:rPr>
              <w:t>》（HJ</w:t>
            </w:r>
            <w:r>
              <w:rPr>
                <w:rFonts w:hint="eastAsia" w:ascii="Times New Roman" w:hAnsi="Times New Roman" w:eastAsia="宋体" w:cs="Times New Roman"/>
                <w:color w:val="auto"/>
                <w:kern w:val="0"/>
                <w:sz w:val="24"/>
                <w:szCs w:val="24"/>
                <w:highlight w:val="none"/>
                <w:u w:val="single" w:color="auto"/>
                <w:lang w:val="en-US" w:eastAsia="zh-CN" w:bidi="ar"/>
              </w:rPr>
              <w:t>942</w:t>
            </w:r>
            <w:r>
              <w:rPr>
                <w:rFonts w:hint="eastAsia" w:ascii="Times New Roman" w:hAnsi="Times New Roman" w:eastAsia="宋体" w:cs="Times New Roman"/>
                <w:color w:val="auto"/>
                <w:kern w:val="0"/>
                <w:sz w:val="24"/>
                <w:szCs w:val="24"/>
                <w:highlight w:val="none"/>
                <w:u w:val="single" w:color="auto"/>
                <w:lang w:bidi="ar"/>
              </w:rPr>
              <w:t>-20</w:t>
            </w:r>
            <w:r>
              <w:rPr>
                <w:rFonts w:hint="eastAsia" w:ascii="Times New Roman" w:hAnsi="Times New Roman" w:eastAsia="宋体" w:cs="Times New Roman"/>
                <w:color w:val="auto"/>
                <w:kern w:val="0"/>
                <w:sz w:val="24"/>
                <w:szCs w:val="24"/>
                <w:highlight w:val="none"/>
                <w:u w:val="single" w:color="auto"/>
                <w:lang w:val="en-US" w:eastAsia="zh-CN" w:bidi="ar"/>
              </w:rPr>
              <w:t>18</w:t>
            </w:r>
            <w:r>
              <w:rPr>
                <w:rFonts w:hint="eastAsia" w:ascii="Times New Roman" w:hAnsi="Times New Roman" w:eastAsia="宋体" w:cs="Times New Roman"/>
                <w:color w:val="auto"/>
                <w:kern w:val="0"/>
                <w:sz w:val="24"/>
                <w:szCs w:val="24"/>
                <w:highlight w:val="none"/>
                <w:u w:val="single" w:color="auto"/>
                <w:lang w:bidi="ar"/>
              </w:rPr>
              <w:t>）和《排污单位自行监测技术指南总则》（HJ819-2017）的相关要求，</w:t>
            </w:r>
            <w:r>
              <w:rPr>
                <w:rFonts w:hint="eastAsia" w:ascii="Times New Roman" w:hAnsi="Times New Roman" w:eastAsia="宋体" w:cs="Times New Roman"/>
                <w:color w:val="auto"/>
                <w:kern w:val="0"/>
                <w:sz w:val="24"/>
                <w:szCs w:val="24"/>
                <w:highlight w:val="none"/>
                <w:u w:val="single" w:color="auto"/>
                <w:lang w:eastAsia="zh-CN" w:bidi="ar"/>
              </w:rPr>
              <w:t>本项目噪声监测计划见下表。</w:t>
            </w:r>
          </w:p>
          <w:p>
            <w:pPr>
              <w:pStyle w:val="25"/>
              <w:spacing w:before="0" w:beforeAutospacing="0" w:after="0" w:afterAutospacing="0"/>
              <w:jc w:val="center"/>
              <w:rPr>
                <w:rFonts w:hint="eastAsia" w:ascii="Times New Roman" w:hAnsi="Times New Roman" w:eastAsia="宋体" w:cs="Times New Roman"/>
                <w:b/>
                <w:color w:val="auto"/>
                <w:kern w:val="2"/>
                <w:sz w:val="24"/>
                <w:szCs w:val="24"/>
                <w:highlight w:val="none"/>
                <w:u w:val="single" w:color="auto"/>
                <w:lang w:val="en-US" w:eastAsia="zh-CN" w:bidi="ar"/>
              </w:rPr>
            </w:pPr>
            <w:r>
              <w:rPr>
                <w:rFonts w:hint="eastAsia" w:ascii="Times New Roman" w:hAnsi="Times New Roman" w:eastAsia="宋体" w:cs="Times New Roman"/>
                <w:b/>
                <w:color w:val="auto"/>
                <w:kern w:val="2"/>
                <w:sz w:val="24"/>
                <w:szCs w:val="24"/>
                <w:highlight w:val="none"/>
                <w:u w:val="single" w:color="auto"/>
                <w:lang w:val="en-US" w:eastAsia="zh-CN" w:bidi="ar"/>
              </w:rPr>
              <w:t>表4.</w:t>
            </w:r>
            <w:r>
              <w:rPr>
                <w:rFonts w:hint="eastAsia" w:ascii="Times New Roman" w:hAnsi="Times New Roman" w:cs="Times New Roman"/>
                <w:b/>
                <w:color w:val="auto"/>
                <w:kern w:val="2"/>
                <w:sz w:val="24"/>
                <w:szCs w:val="24"/>
                <w:highlight w:val="none"/>
                <w:u w:val="single" w:color="auto"/>
                <w:lang w:val="en-US" w:eastAsia="zh-CN" w:bidi="ar"/>
              </w:rPr>
              <w:t>4</w:t>
            </w:r>
            <w:r>
              <w:rPr>
                <w:rFonts w:hint="eastAsia" w:ascii="Times New Roman" w:hAnsi="Times New Roman" w:eastAsia="宋体" w:cs="Times New Roman"/>
                <w:b/>
                <w:color w:val="auto"/>
                <w:kern w:val="2"/>
                <w:sz w:val="24"/>
                <w:szCs w:val="24"/>
                <w:highlight w:val="none"/>
                <w:u w:val="single" w:color="auto"/>
                <w:lang w:val="en-US" w:eastAsia="zh-CN" w:bidi="ar"/>
              </w:rPr>
              <w:t>-</w:t>
            </w:r>
            <w:r>
              <w:rPr>
                <w:rFonts w:hint="eastAsia" w:ascii="Times New Roman" w:hAnsi="Times New Roman" w:cs="Times New Roman"/>
                <w:b/>
                <w:color w:val="auto"/>
                <w:kern w:val="2"/>
                <w:sz w:val="24"/>
                <w:szCs w:val="24"/>
                <w:highlight w:val="none"/>
                <w:u w:val="single" w:color="auto"/>
                <w:lang w:val="en-US" w:eastAsia="zh-CN" w:bidi="ar"/>
              </w:rPr>
              <w:t>5</w:t>
            </w:r>
            <w:r>
              <w:rPr>
                <w:rFonts w:hint="eastAsia" w:ascii="Times New Roman" w:hAnsi="Times New Roman" w:eastAsia="宋体" w:cs="Times New Roman"/>
                <w:b/>
                <w:color w:val="auto"/>
                <w:kern w:val="2"/>
                <w:sz w:val="24"/>
                <w:szCs w:val="24"/>
                <w:highlight w:val="none"/>
                <w:u w:val="single" w:color="auto"/>
                <w:lang w:val="en-US" w:eastAsia="zh-CN" w:bidi="ar"/>
              </w:rPr>
              <w:t>噪声监测计划一览表</w:t>
            </w:r>
          </w:p>
          <w:tbl>
            <w:tblPr>
              <w:tblStyle w:val="9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0"/>
              <w:gridCol w:w="1365"/>
              <w:gridCol w:w="14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00" w:type="dxa"/>
                  <w:noWrap w:val="0"/>
                  <w:vAlign w:val="center"/>
                </w:tcPr>
                <w:p>
                  <w:pPr>
                    <w:pStyle w:val="114"/>
                    <w:ind w:firstLine="0" w:firstLineChars="0"/>
                    <w:jc w:val="center"/>
                    <w:rPr>
                      <w:rFonts w:hint="eastAsia" w:ascii="Times New Roman" w:hAnsi="Times New Roman" w:eastAsia="宋体" w:cs="Times New Roman"/>
                      <w:b/>
                      <w:bCs/>
                      <w:color w:val="auto"/>
                      <w:kern w:val="0"/>
                      <w:sz w:val="21"/>
                      <w:szCs w:val="21"/>
                      <w:u w:val="single" w:color="auto"/>
                      <w:lang w:eastAsia="zh-CN"/>
                    </w:rPr>
                  </w:pPr>
                  <w:r>
                    <w:rPr>
                      <w:rFonts w:hint="eastAsia" w:ascii="Times New Roman" w:hAnsi="Times New Roman" w:eastAsia="宋体" w:cs="Times New Roman"/>
                      <w:b/>
                      <w:bCs/>
                      <w:color w:val="auto"/>
                      <w:kern w:val="0"/>
                      <w:sz w:val="21"/>
                      <w:szCs w:val="21"/>
                      <w:u w:val="single" w:color="auto"/>
                      <w:lang w:eastAsia="zh-CN"/>
                    </w:rPr>
                    <w:t>监测点位</w:t>
                  </w:r>
                </w:p>
              </w:tc>
              <w:tc>
                <w:tcPr>
                  <w:tcW w:w="1365" w:type="dxa"/>
                  <w:noWrap w:val="0"/>
                  <w:vAlign w:val="center"/>
                </w:tcPr>
                <w:p>
                  <w:pPr>
                    <w:pStyle w:val="114"/>
                    <w:ind w:firstLine="0" w:firstLineChars="0"/>
                    <w:jc w:val="center"/>
                    <w:rPr>
                      <w:rFonts w:hint="eastAsia" w:ascii="Times New Roman" w:hAnsi="Times New Roman" w:eastAsia="宋体" w:cs="Times New Roman"/>
                      <w:b/>
                      <w:bCs/>
                      <w:color w:val="auto"/>
                      <w:kern w:val="0"/>
                      <w:sz w:val="21"/>
                      <w:szCs w:val="21"/>
                      <w:u w:val="single" w:color="auto"/>
                      <w:lang w:eastAsia="zh-CN"/>
                    </w:rPr>
                  </w:pPr>
                  <w:r>
                    <w:rPr>
                      <w:rFonts w:hint="eastAsia" w:ascii="Times New Roman" w:hAnsi="Times New Roman" w:eastAsia="宋体" w:cs="Times New Roman"/>
                      <w:b/>
                      <w:bCs/>
                      <w:color w:val="auto"/>
                      <w:kern w:val="0"/>
                      <w:sz w:val="21"/>
                      <w:szCs w:val="21"/>
                      <w:u w:val="single" w:color="auto"/>
                      <w:lang w:eastAsia="zh-CN"/>
                    </w:rPr>
                    <w:t>监测项目</w:t>
                  </w:r>
                </w:p>
              </w:tc>
              <w:tc>
                <w:tcPr>
                  <w:tcW w:w="1440" w:type="dxa"/>
                  <w:noWrap w:val="0"/>
                  <w:vAlign w:val="center"/>
                </w:tcPr>
                <w:p>
                  <w:pPr>
                    <w:pStyle w:val="114"/>
                    <w:ind w:firstLine="0" w:firstLineChars="0"/>
                    <w:jc w:val="center"/>
                    <w:rPr>
                      <w:rFonts w:hint="eastAsia" w:ascii="Times New Roman" w:hAnsi="Times New Roman" w:eastAsia="宋体" w:cs="Times New Roman"/>
                      <w:b/>
                      <w:bCs/>
                      <w:color w:val="auto"/>
                      <w:kern w:val="0"/>
                      <w:sz w:val="21"/>
                      <w:szCs w:val="21"/>
                      <w:u w:val="single" w:color="auto"/>
                      <w:lang w:eastAsia="zh-CN"/>
                    </w:rPr>
                  </w:pPr>
                  <w:r>
                    <w:rPr>
                      <w:rFonts w:hint="eastAsia" w:ascii="Times New Roman" w:hAnsi="Times New Roman" w:eastAsia="宋体" w:cs="Times New Roman"/>
                      <w:b/>
                      <w:bCs/>
                      <w:color w:val="auto"/>
                      <w:kern w:val="0"/>
                      <w:sz w:val="21"/>
                      <w:szCs w:val="21"/>
                      <w:u w:val="single" w:color="auto"/>
                      <w:lang w:eastAsia="zh-CN"/>
                    </w:rPr>
                    <w:t>监测频次</w:t>
                  </w:r>
                </w:p>
              </w:tc>
              <w:tc>
                <w:tcPr>
                  <w:tcW w:w="4640" w:type="dxa"/>
                  <w:noWrap w:val="0"/>
                  <w:vAlign w:val="center"/>
                </w:tcPr>
                <w:p>
                  <w:pPr>
                    <w:pStyle w:val="114"/>
                    <w:ind w:firstLine="0" w:firstLineChars="0"/>
                    <w:jc w:val="center"/>
                    <w:rPr>
                      <w:rFonts w:hint="eastAsia" w:ascii="Times New Roman" w:hAnsi="Times New Roman" w:eastAsia="宋体" w:cs="Times New Roman"/>
                      <w:b/>
                      <w:bCs/>
                      <w:color w:val="auto"/>
                      <w:kern w:val="0"/>
                      <w:sz w:val="21"/>
                      <w:szCs w:val="21"/>
                      <w:u w:val="single" w:color="auto"/>
                      <w:lang w:eastAsia="zh-CN"/>
                    </w:rPr>
                  </w:pPr>
                  <w:r>
                    <w:rPr>
                      <w:rFonts w:hint="eastAsia" w:ascii="Times New Roman" w:hAnsi="Times New Roman" w:eastAsia="宋体" w:cs="Times New Roman"/>
                      <w:b/>
                      <w:bCs/>
                      <w:color w:val="auto"/>
                      <w:kern w:val="0"/>
                      <w:sz w:val="21"/>
                      <w:szCs w:val="21"/>
                      <w:u w:val="single" w:color="auto"/>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00" w:type="dxa"/>
                  <w:noWrap w:val="0"/>
                  <w:vAlign w:val="center"/>
                </w:tcPr>
                <w:p>
                  <w:pPr>
                    <w:pStyle w:val="114"/>
                    <w:ind w:firstLine="0" w:firstLineChars="0"/>
                    <w:jc w:val="center"/>
                    <w:rPr>
                      <w:rFonts w:hint="eastAsia" w:ascii="Times New Roman" w:hAnsi="Times New Roman" w:eastAsia="宋体" w:cs="Times New Roman"/>
                      <w:color w:val="auto"/>
                      <w:kern w:val="0"/>
                      <w:sz w:val="21"/>
                      <w:szCs w:val="21"/>
                      <w:u w:val="single" w:color="auto"/>
                      <w:lang w:eastAsia="zh-CN"/>
                    </w:rPr>
                  </w:pPr>
                  <w:r>
                    <w:rPr>
                      <w:rFonts w:hint="eastAsia" w:ascii="Times New Roman" w:hAnsi="Times New Roman" w:eastAsia="宋体" w:cs="Times New Roman"/>
                      <w:color w:val="auto"/>
                      <w:kern w:val="0"/>
                      <w:sz w:val="21"/>
                      <w:szCs w:val="21"/>
                      <w:u w:val="single" w:color="auto"/>
                      <w:lang w:val="en-US" w:eastAsia="zh-CN"/>
                    </w:rPr>
                    <w:t>厂界四周</w:t>
                  </w:r>
                </w:p>
              </w:tc>
              <w:tc>
                <w:tcPr>
                  <w:tcW w:w="1365" w:type="dxa"/>
                  <w:noWrap w:val="0"/>
                  <w:vAlign w:val="center"/>
                </w:tcPr>
                <w:p>
                  <w:pPr>
                    <w:pStyle w:val="114"/>
                    <w:ind w:firstLine="0" w:firstLineChars="0"/>
                    <w:jc w:val="center"/>
                    <w:rPr>
                      <w:rFonts w:hint="eastAsia" w:ascii="Times New Roman" w:hAnsi="Times New Roman" w:eastAsia="宋体" w:cs="Times New Roman"/>
                      <w:color w:val="auto"/>
                      <w:kern w:val="0"/>
                      <w:sz w:val="21"/>
                      <w:szCs w:val="21"/>
                      <w:u w:val="single" w:color="auto"/>
                      <w:lang w:eastAsia="zh-CN"/>
                    </w:rPr>
                  </w:pPr>
                  <w:r>
                    <w:rPr>
                      <w:rFonts w:hint="eastAsia" w:ascii="Times New Roman" w:hAnsi="Times New Roman" w:eastAsia="宋体" w:cs="Times New Roman"/>
                      <w:color w:val="auto"/>
                      <w:kern w:val="0"/>
                      <w:sz w:val="21"/>
                      <w:szCs w:val="21"/>
                      <w:u w:val="single" w:color="auto"/>
                      <w:lang w:eastAsia="zh-CN"/>
                    </w:rPr>
                    <w:t>昼间LAeq</w:t>
                  </w:r>
                </w:p>
              </w:tc>
              <w:tc>
                <w:tcPr>
                  <w:tcW w:w="1440" w:type="dxa"/>
                  <w:noWrap w:val="0"/>
                  <w:vAlign w:val="center"/>
                </w:tcPr>
                <w:p>
                  <w:pPr>
                    <w:pStyle w:val="114"/>
                    <w:ind w:firstLine="0" w:firstLineChars="0"/>
                    <w:jc w:val="center"/>
                    <w:rPr>
                      <w:rFonts w:hint="eastAsia" w:ascii="Times New Roman" w:hAnsi="Times New Roman" w:eastAsia="宋体" w:cs="Times New Roman"/>
                      <w:color w:val="auto"/>
                      <w:kern w:val="0"/>
                      <w:sz w:val="21"/>
                      <w:szCs w:val="21"/>
                      <w:u w:val="single" w:color="auto"/>
                      <w:lang w:eastAsia="zh-CN"/>
                    </w:rPr>
                  </w:pPr>
                  <w:r>
                    <w:rPr>
                      <w:rFonts w:hint="eastAsia" w:ascii="Times New Roman" w:hAnsi="Times New Roman" w:eastAsia="宋体" w:cs="Times New Roman"/>
                      <w:color w:val="auto"/>
                      <w:kern w:val="0"/>
                      <w:sz w:val="21"/>
                      <w:szCs w:val="21"/>
                      <w:u w:val="single" w:color="auto"/>
                      <w:lang w:eastAsia="zh-CN"/>
                    </w:rPr>
                    <w:t>1次/季度</w:t>
                  </w:r>
                </w:p>
              </w:tc>
              <w:tc>
                <w:tcPr>
                  <w:tcW w:w="4640" w:type="dxa"/>
                  <w:noWrap w:val="0"/>
                  <w:vAlign w:val="center"/>
                </w:tcPr>
                <w:p>
                  <w:pPr>
                    <w:pStyle w:val="114"/>
                    <w:ind w:firstLine="0" w:firstLineChars="0"/>
                    <w:jc w:val="center"/>
                    <w:rPr>
                      <w:rFonts w:hint="eastAsia"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东侧、南侧执行</w:t>
                  </w:r>
                  <w:r>
                    <w:rPr>
                      <w:rFonts w:hint="default" w:ascii="Times New Roman" w:hAnsi="Times New Roman" w:eastAsia="宋体" w:cs="Times New Roman"/>
                      <w:i w:val="0"/>
                      <w:iCs w:val="0"/>
                      <w:color w:val="auto"/>
                      <w:kern w:val="0"/>
                      <w:sz w:val="21"/>
                      <w:szCs w:val="21"/>
                      <w:u w:val="single" w:color="auto"/>
                      <w:lang w:val="en-US" w:eastAsia="zh-CN" w:bidi="ar"/>
                    </w:rPr>
                    <w:t>《工业企业厂界环境噪声排放标准》（GB12348-2008）中的</w:t>
                  </w:r>
                  <w:r>
                    <w:rPr>
                      <w:rFonts w:hint="eastAsia" w:cs="Times New Roman"/>
                      <w:i w:val="0"/>
                      <w:iCs w:val="0"/>
                      <w:color w:val="auto"/>
                      <w:kern w:val="0"/>
                      <w:sz w:val="21"/>
                      <w:szCs w:val="21"/>
                      <w:u w:val="single" w:color="auto"/>
                      <w:lang w:val="en-US" w:eastAsia="zh-CN" w:bidi="ar"/>
                    </w:rPr>
                    <w:t>4</w:t>
                  </w:r>
                  <w:r>
                    <w:rPr>
                      <w:rFonts w:hint="default" w:ascii="Times New Roman" w:hAnsi="Times New Roman" w:eastAsia="宋体" w:cs="Times New Roman"/>
                      <w:i w:val="0"/>
                      <w:iCs w:val="0"/>
                      <w:color w:val="auto"/>
                      <w:kern w:val="0"/>
                      <w:sz w:val="21"/>
                      <w:szCs w:val="21"/>
                      <w:u w:val="single" w:color="auto"/>
                      <w:lang w:val="en-US" w:eastAsia="zh-CN" w:bidi="ar"/>
                    </w:rPr>
                    <w:t>类标准</w:t>
                  </w:r>
                  <w:r>
                    <w:rPr>
                      <w:rFonts w:hint="eastAsia" w:cs="Times New Roman"/>
                      <w:i w:val="0"/>
                      <w:iCs w:val="0"/>
                      <w:color w:val="auto"/>
                      <w:kern w:val="0"/>
                      <w:sz w:val="21"/>
                      <w:szCs w:val="21"/>
                      <w:u w:val="single" w:color="auto"/>
                      <w:lang w:val="en-US" w:eastAsia="zh-CN" w:bidi="ar"/>
                    </w:rPr>
                    <w:t>；</w:t>
                  </w:r>
                </w:p>
                <w:p>
                  <w:pPr>
                    <w:pStyle w:val="114"/>
                    <w:ind w:firstLine="0" w:firstLineChars="0"/>
                    <w:jc w:val="center"/>
                    <w:rPr>
                      <w:rFonts w:hint="eastAsia" w:ascii="Times New Roman" w:hAnsi="Times New Roman" w:eastAsia="宋体" w:cs="Times New Roman"/>
                      <w:color w:val="auto"/>
                      <w:kern w:val="0"/>
                      <w:sz w:val="21"/>
                      <w:szCs w:val="21"/>
                      <w:u w:val="single" w:color="auto"/>
                      <w:lang w:eastAsia="zh-CN"/>
                    </w:rPr>
                  </w:pPr>
                  <w:r>
                    <w:rPr>
                      <w:rFonts w:hint="eastAsia" w:cs="Times New Roman"/>
                      <w:i w:val="0"/>
                      <w:iCs w:val="0"/>
                      <w:color w:val="auto"/>
                      <w:kern w:val="0"/>
                      <w:sz w:val="21"/>
                      <w:szCs w:val="21"/>
                      <w:u w:val="single" w:color="auto"/>
                      <w:lang w:val="en-US" w:eastAsia="zh-CN" w:bidi="ar"/>
                    </w:rPr>
                    <w:t>北侧、西侧执行</w:t>
                  </w:r>
                  <w:r>
                    <w:rPr>
                      <w:rFonts w:hint="default" w:ascii="Times New Roman" w:hAnsi="Times New Roman" w:eastAsia="宋体" w:cs="Times New Roman"/>
                      <w:i w:val="0"/>
                      <w:iCs w:val="0"/>
                      <w:color w:val="auto"/>
                      <w:kern w:val="0"/>
                      <w:sz w:val="21"/>
                      <w:szCs w:val="21"/>
                      <w:u w:val="single" w:color="auto"/>
                      <w:lang w:val="en-US" w:eastAsia="zh-CN" w:bidi="ar"/>
                    </w:rPr>
                    <w:t>《工业企业厂界环境噪声排放标准》（GB12348-2008）中的</w:t>
                  </w:r>
                  <w:r>
                    <w:rPr>
                      <w:rFonts w:hint="eastAsia" w:cs="Times New Roman"/>
                      <w:i w:val="0"/>
                      <w:iCs w:val="0"/>
                      <w:color w:val="auto"/>
                      <w:kern w:val="0"/>
                      <w:sz w:val="21"/>
                      <w:szCs w:val="21"/>
                      <w:u w:val="single" w:color="auto"/>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类标准</w:t>
                  </w:r>
                </w:p>
              </w:tc>
            </w:tr>
          </w:tbl>
          <w:p>
            <w:pPr>
              <w:spacing w:line="360" w:lineRule="auto"/>
              <w:ind w:firstLine="482" w:firstLineChars="200"/>
              <w:rPr>
                <w:b/>
                <w:bCs/>
                <w:color w:val="auto"/>
                <w:sz w:val="24"/>
                <w:szCs w:val="24"/>
                <w:highlight w:val="none"/>
                <w:u w:val="none" w:color="auto"/>
                <w:lang w:bidi="ar"/>
              </w:rPr>
            </w:pPr>
            <w:r>
              <w:rPr>
                <w:rFonts w:hint="eastAsia"/>
                <w:b/>
                <w:bCs/>
                <w:color w:val="auto"/>
                <w:sz w:val="24"/>
                <w:szCs w:val="24"/>
                <w:highlight w:val="none"/>
                <w:u w:val="none" w:color="auto"/>
                <w:lang w:bidi="ar"/>
              </w:rPr>
              <w:t>4.</w:t>
            </w:r>
            <w:r>
              <w:rPr>
                <w:rFonts w:hint="eastAsia"/>
                <w:b/>
                <w:bCs/>
                <w:color w:val="auto"/>
                <w:sz w:val="24"/>
                <w:szCs w:val="24"/>
                <w:highlight w:val="none"/>
                <w:u w:val="none" w:color="auto"/>
                <w:lang w:val="en-US" w:eastAsia="zh-CN" w:bidi="ar"/>
              </w:rPr>
              <w:t>5</w:t>
            </w:r>
            <w:r>
              <w:rPr>
                <w:b/>
                <w:bCs/>
                <w:color w:val="auto"/>
                <w:sz w:val="24"/>
                <w:szCs w:val="24"/>
                <w:highlight w:val="none"/>
                <w:u w:val="none" w:color="auto"/>
                <w:lang w:bidi="ar"/>
              </w:rPr>
              <w:t>固体废物</w:t>
            </w:r>
            <w:r>
              <w:rPr>
                <w:rFonts w:hint="eastAsia"/>
                <w:b/>
                <w:bCs/>
                <w:color w:val="auto"/>
                <w:sz w:val="24"/>
                <w:szCs w:val="24"/>
                <w:highlight w:val="none"/>
                <w:u w:val="none" w:color="auto"/>
                <w:lang w:bidi="ar"/>
              </w:rPr>
              <w:t>污染分析</w:t>
            </w:r>
          </w:p>
          <w:p>
            <w:pPr>
              <w:spacing w:line="360" w:lineRule="auto"/>
              <w:ind w:firstLine="482" w:firstLineChars="200"/>
              <w:rPr>
                <w:b/>
                <w:bCs/>
                <w:color w:val="auto"/>
                <w:sz w:val="24"/>
                <w:szCs w:val="24"/>
                <w:highlight w:val="none"/>
                <w:u w:val="none" w:color="auto"/>
                <w:lang w:bidi="ar"/>
              </w:rPr>
            </w:pPr>
            <w:r>
              <w:rPr>
                <w:b/>
                <w:bCs/>
                <w:color w:val="auto"/>
                <w:sz w:val="24"/>
                <w:szCs w:val="24"/>
                <w:highlight w:val="none"/>
                <w:u w:val="none" w:color="auto"/>
                <w:lang w:bidi="ar"/>
              </w:rPr>
              <w:t>4</w:t>
            </w:r>
            <w:r>
              <w:rPr>
                <w:rFonts w:hint="eastAsia"/>
                <w:b/>
                <w:bCs/>
                <w:color w:val="auto"/>
                <w:sz w:val="24"/>
                <w:szCs w:val="24"/>
                <w:highlight w:val="none"/>
                <w:u w:val="none" w:color="auto"/>
                <w:lang w:val="en-US" w:eastAsia="zh-CN" w:bidi="ar"/>
              </w:rPr>
              <w:t>.5.1</w:t>
            </w:r>
            <w:r>
              <w:rPr>
                <w:b/>
                <w:bCs/>
                <w:color w:val="auto"/>
                <w:sz w:val="24"/>
                <w:szCs w:val="24"/>
                <w:highlight w:val="none"/>
                <w:u w:val="none" w:color="auto"/>
                <w:lang w:bidi="ar"/>
              </w:rPr>
              <w:t>固体废物产生源及产生量</w:t>
            </w:r>
          </w:p>
          <w:p>
            <w:pPr>
              <w:spacing w:line="360" w:lineRule="auto"/>
              <w:ind w:firstLine="480" w:firstLineChars="200"/>
              <w:jc w:val="both"/>
              <w:rPr>
                <w:color w:val="auto"/>
                <w:sz w:val="24"/>
                <w:szCs w:val="24"/>
                <w:highlight w:val="none"/>
                <w:u w:val="none" w:color="auto"/>
                <w:lang w:bidi="ar"/>
              </w:rPr>
            </w:pPr>
            <w:r>
              <w:rPr>
                <w:rFonts w:hint="eastAsia"/>
                <w:color w:val="auto"/>
                <w:sz w:val="24"/>
                <w:szCs w:val="24"/>
                <w:highlight w:val="none"/>
                <w:u w:val="none" w:color="auto"/>
                <w:lang w:eastAsia="zh-CN" w:bidi="ar"/>
              </w:rPr>
              <w:t>不新增人员无新增生活垃圾，</w:t>
            </w:r>
            <w:r>
              <w:rPr>
                <w:rFonts w:hint="eastAsia"/>
                <w:color w:val="auto"/>
                <w:sz w:val="24"/>
                <w:szCs w:val="24"/>
                <w:highlight w:val="none"/>
                <w:u w:val="none" w:color="auto"/>
                <w:lang w:bidi="ar"/>
              </w:rPr>
              <w:t>项目运营过程中产生的固体废物主要为</w:t>
            </w:r>
            <w:r>
              <w:rPr>
                <w:rFonts w:hint="eastAsia"/>
                <w:color w:val="auto"/>
                <w:sz w:val="24"/>
                <w:szCs w:val="24"/>
                <w:highlight w:val="none"/>
                <w:u w:val="none" w:color="auto"/>
                <w:lang w:eastAsia="zh-CN" w:bidi="ar"/>
              </w:rPr>
              <w:t>除尘灰、</w:t>
            </w:r>
            <w:r>
              <w:rPr>
                <w:rFonts w:hint="eastAsia"/>
                <w:color w:val="auto"/>
                <w:sz w:val="24"/>
                <w:szCs w:val="24"/>
                <w:highlight w:val="none"/>
                <w:u w:val="none" w:color="auto"/>
                <w:lang w:val="en-US" w:eastAsia="zh-CN" w:bidi="ar"/>
              </w:rPr>
              <w:t>废金属丝、涂膜渣、废塑料边角料、废分子筛</w:t>
            </w:r>
            <w:r>
              <w:rPr>
                <w:rFonts w:hint="eastAsia"/>
                <w:color w:val="auto"/>
                <w:sz w:val="24"/>
                <w:szCs w:val="24"/>
                <w:highlight w:val="none"/>
                <w:u w:val="none" w:color="auto"/>
                <w:lang w:eastAsia="zh-CN" w:bidi="ar"/>
              </w:rPr>
              <w:t>，危险废物主要为设备维护产生的废含油抹布和废机油、废水处理设施产生的含铁污泥、废催化剂</w:t>
            </w:r>
            <w:r>
              <w:rPr>
                <w:rFonts w:hint="eastAsia"/>
                <w:color w:val="auto"/>
                <w:sz w:val="24"/>
                <w:szCs w:val="24"/>
                <w:highlight w:val="none"/>
                <w:u w:val="none" w:color="auto"/>
                <w:lang w:bidi="ar"/>
              </w:rPr>
              <w:t>。</w:t>
            </w:r>
          </w:p>
          <w:p>
            <w:pPr>
              <w:spacing w:line="360" w:lineRule="auto"/>
              <w:ind w:firstLine="482" w:firstLineChars="200"/>
              <w:rPr>
                <w:rFonts w:hint="eastAsia" w:eastAsia="宋体"/>
                <w:b/>
                <w:bCs/>
                <w:color w:val="auto"/>
                <w:sz w:val="24"/>
                <w:szCs w:val="24"/>
                <w:highlight w:val="none"/>
                <w:u w:val="none" w:color="auto"/>
                <w:lang w:eastAsia="zh-CN" w:bidi="ar"/>
              </w:rPr>
            </w:pPr>
            <w:r>
              <w:rPr>
                <w:rFonts w:hint="eastAsia"/>
                <w:b/>
                <w:bCs/>
                <w:color w:val="auto"/>
                <w:sz w:val="24"/>
                <w:szCs w:val="24"/>
                <w:highlight w:val="none"/>
                <w:u w:val="none" w:color="auto"/>
                <w:lang w:bidi="ar"/>
              </w:rPr>
              <w:t>（</w:t>
            </w:r>
            <w:r>
              <w:rPr>
                <w:rFonts w:hint="eastAsia"/>
                <w:b/>
                <w:bCs/>
                <w:color w:val="auto"/>
                <w:sz w:val="24"/>
                <w:szCs w:val="24"/>
                <w:highlight w:val="none"/>
                <w:u w:val="none" w:color="auto"/>
                <w:lang w:val="en-US" w:eastAsia="zh-CN" w:bidi="ar"/>
              </w:rPr>
              <w:t>1</w:t>
            </w:r>
            <w:r>
              <w:rPr>
                <w:rFonts w:hint="eastAsia"/>
                <w:b/>
                <w:bCs/>
                <w:color w:val="auto"/>
                <w:sz w:val="24"/>
                <w:szCs w:val="24"/>
                <w:highlight w:val="none"/>
                <w:u w:val="none" w:color="auto"/>
                <w:lang w:bidi="ar"/>
              </w:rPr>
              <w:t>）</w:t>
            </w:r>
            <w:r>
              <w:rPr>
                <w:rFonts w:hint="eastAsia"/>
                <w:b/>
                <w:bCs/>
                <w:color w:val="auto"/>
                <w:sz w:val="24"/>
                <w:szCs w:val="24"/>
                <w:highlight w:val="none"/>
                <w:u w:val="none" w:color="auto"/>
                <w:lang w:eastAsia="zh-CN" w:bidi="ar"/>
              </w:rPr>
              <w:t>一般固废</w:t>
            </w:r>
          </w:p>
          <w:p>
            <w:pPr>
              <w:spacing w:line="360" w:lineRule="auto"/>
              <w:ind w:firstLine="480" w:firstLineChars="200"/>
              <w:jc w:val="left"/>
              <w:rPr>
                <w:rFonts w:hint="eastAsia" w:ascii="Times New Roman" w:hAnsi="Times New Roman" w:eastAsia="宋体" w:cs="Times New Roman"/>
                <w:color w:val="auto"/>
                <w:sz w:val="24"/>
                <w:szCs w:val="24"/>
                <w:highlight w:val="none"/>
                <w:u w:val="none" w:color="auto"/>
                <w:lang w:eastAsia="zh-CN" w:bidi="zh-CN"/>
              </w:rPr>
            </w:pPr>
            <w:r>
              <w:rPr>
                <w:rFonts w:hint="eastAsia"/>
                <w:color w:val="auto"/>
                <w:sz w:val="24"/>
                <w:szCs w:val="24"/>
                <w:highlight w:val="none"/>
                <w:u w:val="none" w:color="auto"/>
                <w:lang w:val="en-US" w:eastAsia="zh-CN" w:bidi="ar"/>
              </w:rPr>
              <w:t>废金属丝</w:t>
            </w:r>
            <w:r>
              <w:rPr>
                <w:rFonts w:hint="eastAsia" w:ascii="Times New Roman" w:hAnsi="Times New Roman" w:eastAsia="宋体" w:cs="Times New Roman"/>
                <w:color w:val="auto"/>
                <w:sz w:val="24"/>
                <w:szCs w:val="24"/>
                <w:highlight w:val="none"/>
                <w:u w:val="none" w:color="auto"/>
                <w:lang w:bidi="zh-CN"/>
              </w:rPr>
              <w:t>：</w:t>
            </w:r>
            <w:r>
              <w:rPr>
                <w:rFonts w:hAnsi="宋体"/>
                <w:color w:val="auto"/>
                <w:sz w:val="24"/>
                <w:szCs w:val="24"/>
              </w:rPr>
              <w:t>切丝</w:t>
            </w:r>
            <w:r>
              <w:rPr>
                <w:rFonts w:hint="eastAsia" w:hAnsi="宋体"/>
                <w:color w:val="auto"/>
                <w:sz w:val="24"/>
                <w:szCs w:val="24"/>
                <w:lang w:eastAsia="zh-CN"/>
              </w:rPr>
              <w:t>、分条</w:t>
            </w:r>
            <w:r>
              <w:rPr>
                <w:rFonts w:hAnsi="宋体"/>
                <w:color w:val="auto"/>
                <w:sz w:val="24"/>
                <w:szCs w:val="24"/>
              </w:rPr>
              <w:t>工序会产生废金属丝，主要成分为金属铝、铁，</w:t>
            </w:r>
            <w:r>
              <w:rPr>
                <w:rFonts w:hint="eastAsia" w:hAnsi="宋体"/>
                <w:color w:val="auto"/>
                <w:sz w:val="24"/>
              </w:rPr>
              <w:t>根据建设单位提供资料，</w:t>
            </w:r>
            <w:r>
              <w:rPr>
                <w:rFonts w:hint="eastAsia" w:hAnsi="宋体"/>
                <w:color w:val="auto"/>
                <w:sz w:val="24"/>
                <w:u w:val="single"/>
              </w:rPr>
              <w:t>本项目</w:t>
            </w:r>
            <w:r>
              <w:rPr>
                <w:rFonts w:hint="eastAsia" w:hAnsi="宋体"/>
                <w:color w:val="auto"/>
                <w:sz w:val="24"/>
                <w:u w:val="single"/>
                <w:lang w:eastAsia="zh-CN"/>
              </w:rPr>
              <w:t>产</w:t>
            </w:r>
            <w:r>
              <w:rPr>
                <w:rFonts w:hint="eastAsia" w:hAnsi="宋体"/>
                <w:color w:val="auto"/>
                <w:sz w:val="24"/>
                <w:u w:val="single"/>
              </w:rPr>
              <w:t>量为</w:t>
            </w:r>
            <w:r>
              <w:rPr>
                <w:rFonts w:hint="eastAsia" w:hAnsi="宋体"/>
                <w:color w:val="auto"/>
                <w:sz w:val="24"/>
                <w:u w:val="single"/>
                <w:lang w:val="en-US" w:eastAsia="zh-CN"/>
              </w:rPr>
              <w:t>36000</w:t>
            </w:r>
            <w:r>
              <w:rPr>
                <w:rFonts w:hint="eastAsia" w:hAnsi="宋体"/>
                <w:color w:val="auto"/>
                <w:sz w:val="24"/>
                <w:u w:val="single"/>
              </w:rPr>
              <w:t>t/a，其中</w:t>
            </w:r>
            <w:r>
              <w:rPr>
                <w:rFonts w:hint="eastAsia" w:hAnsi="宋体"/>
                <w:color w:val="auto"/>
                <w:sz w:val="24"/>
                <w:u w:val="single"/>
                <w:lang w:eastAsia="zh-CN"/>
              </w:rPr>
              <w:t>切丝、分条、拉拔</w:t>
            </w:r>
            <w:r>
              <w:rPr>
                <w:rFonts w:hint="eastAsia" w:hAnsi="宋体"/>
                <w:color w:val="auto"/>
                <w:sz w:val="24"/>
                <w:u w:val="single"/>
              </w:rPr>
              <w:t>过程产生的金属废料，约占</w:t>
            </w:r>
            <w:r>
              <w:rPr>
                <w:rFonts w:hint="eastAsia" w:hAnsi="宋体"/>
                <w:color w:val="auto"/>
                <w:sz w:val="24"/>
                <w:u w:val="single"/>
                <w:lang w:eastAsia="zh-CN"/>
              </w:rPr>
              <w:t>产量</w:t>
            </w:r>
            <w:r>
              <w:rPr>
                <w:rFonts w:hint="eastAsia" w:hAnsi="宋体"/>
                <w:color w:val="auto"/>
                <w:sz w:val="24"/>
                <w:u w:val="single"/>
              </w:rPr>
              <w:t>总量</w:t>
            </w:r>
            <w:r>
              <w:rPr>
                <w:rFonts w:hint="default" w:ascii="Times New Roman" w:hAnsi="Times New Roman" w:cs="Times New Roman"/>
                <w:color w:val="auto"/>
                <w:sz w:val="24"/>
                <w:u w:val="single"/>
              </w:rPr>
              <w:t>的1</w:t>
            </w:r>
            <w:r>
              <w:rPr>
                <w:rFonts w:hint="default" w:ascii="Times New Roman" w:hAnsi="Times New Roman" w:eastAsia="微软雅黑" w:cs="Times New Roman"/>
                <w:color w:val="auto"/>
                <w:sz w:val="24"/>
                <w:u w:val="single"/>
                <w:lang w:eastAsia="zh-CN"/>
              </w:rPr>
              <w:t>‰</w:t>
            </w:r>
            <w:r>
              <w:rPr>
                <w:rFonts w:hint="eastAsia" w:hAnsi="宋体"/>
                <w:color w:val="auto"/>
                <w:sz w:val="24"/>
                <w:u w:val="single"/>
              </w:rPr>
              <w:t>，</w:t>
            </w:r>
            <w:r>
              <w:rPr>
                <w:rFonts w:hAnsi="宋体"/>
                <w:color w:val="auto"/>
                <w:sz w:val="24"/>
                <w:szCs w:val="24"/>
                <w:u w:val="single"/>
              </w:rPr>
              <w:t>产生量为</w:t>
            </w:r>
            <w:r>
              <w:rPr>
                <w:rFonts w:hint="eastAsia"/>
                <w:color w:val="auto"/>
                <w:sz w:val="24"/>
                <w:szCs w:val="24"/>
                <w:u w:val="single"/>
                <w:lang w:val="en-US" w:eastAsia="zh-CN"/>
              </w:rPr>
              <w:t>3.6</w:t>
            </w:r>
            <w:r>
              <w:rPr>
                <w:color w:val="auto"/>
                <w:sz w:val="24"/>
                <w:szCs w:val="24"/>
                <w:u w:val="single"/>
              </w:rPr>
              <w:t>t/a</w:t>
            </w:r>
            <w:r>
              <w:rPr>
                <w:rFonts w:hint="eastAsia"/>
                <w:color w:val="auto"/>
                <w:sz w:val="24"/>
                <w:szCs w:val="24"/>
                <w:u w:val="single"/>
              </w:rPr>
              <w:t>，</w:t>
            </w:r>
            <w:r>
              <w:rPr>
                <w:rFonts w:hint="eastAsia"/>
                <w:color w:val="auto"/>
                <w:sz w:val="24"/>
                <w:szCs w:val="24"/>
              </w:rPr>
              <w:t>为一般工业固体废物</w:t>
            </w:r>
            <w:r>
              <w:rPr>
                <w:rFonts w:hint="eastAsia"/>
                <w:color w:val="auto"/>
                <w:sz w:val="24"/>
                <w:szCs w:val="24"/>
                <w:lang w:eastAsia="zh-CN"/>
              </w:rPr>
              <w:t>，经收集后外售给物资部门回收处理。</w:t>
            </w:r>
          </w:p>
          <w:p>
            <w:pPr>
              <w:spacing w:line="360" w:lineRule="auto"/>
              <w:ind w:firstLine="480" w:firstLineChars="200"/>
              <w:jc w:val="left"/>
              <w:rPr>
                <w:rFonts w:hint="eastAsia" w:ascii="Times New Roman" w:hAnsi="Times New Roman" w:eastAsia="宋体" w:cs="Times New Roman"/>
                <w:color w:val="auto"/>
                <w:sz w:val="24"/>
                <w:szCs w:val="24"/>
                <w:highlight w:val="none"/>
                <w:u w:val="single" w:color="auto"/>
                <w:lang w:bidi="zh-CN"/>
              </w:rPr>
            </w:pPr>
            <w:r>
              <w:rPr>
                <w:rFonts w:hint="eastAsia" w:ascii="Times New Roman" w:hAnsi="Times New Roman" w:eastAsia="宋体" w:cs="Times New Roman"/>
                <w:color w:val="auto"/>
                <w:sz w:val="24"/>
                <w:szCs w:val="24"/>
                <w:highlight w:val="none"/>
                <w:u w:val="none" w:color="auto"/>
                <w:lang w:bidi="zh-CN"/>
              </w:rPr>
              <w:t>除尘灰：本项目</w:t>
            </w:r>
            <w:r>
              <w:rPr>
                <w:rFonts w:hint="eastAsia" w:cs="Times New Roman"/>
                <w:color w:val="auto"/>
                <w:sz w:val="24"/>
                <w:szCs w:val="24"/>
                <w:highlight w:val="none"/>
                <w:u w:val="none" w:color="auto"/>
                <w:lang w:bidi="zh-CN"/>
              </w:rPr>
              <w:t>配粉、磨头磨尾</w:t>
            </w:r>
            <w:r>
              <w:rPr>
                <w:rFonts w:hint="eastAsia" w:ascii="Times New Roman" w:hAnsi="Times New Roman" w:eastAsia="宋体" w:cs="Times New Roman"/>
                <w:color w:val="auto"/>
                <w:sz w:val="24"/>
                <w:szCs w:val="24"/>
                <w:highlight w:val="none"/>
                <w:u w:val="none" w:color="auto"/>
                <w:lang w:bidi="zh-CN"/>
              </w:rPr>
              <w:t>工序产生的粉尘，经袋式除尘器收集，</w:t>
            </w:r>
            <w:r>
              <w:rPr>
                <w:rFonts w:hint="eastAsia" w:ascii="Times New Roman" w:hAnsi="Times New Roman" w:eastAsia="宋体" w:cs="Times New Roman"/>
                <w:color w:val="auto"/>
                <w:sz w:val="24"/>
                <w:szCs w:val="24"/>
                <w:highlight w:val="none"/>
                <w:u w:val="single" w:color="auto"/>
                <w:lang w:bidi="zh-CN"/>
              </w:rPr>
              <w:t>收集后除尘灰为</w:t>
            </w:r>
            <w:r>
              <w:rPr>
                <w:rFonts w:hint="eastAsia" w:cs="Times New Roman"/>
                <w:color w:val="auto"/>
                <w:sz w:val="24"/>
                <w:szCs w:val="24"/>
                <w:highlight w:val="none"/>
                <w:u w:val="single" w:color="auto"/>
                <w:lang w:val="en-US" w:bidi="zh-CN"/>
              </w:rPr>
              <w:t>10.715</w:t>
            </w:r>
            <w:r>
              <w:rPr>
                <w:rFonts w:hint="eastAsia" w:ascii="Times New Roman" w:hAnsi="Times New Roman" w:eastAsia="宋体" w:cs="Times New Roman"/>
                <w:color w:val="auto"/>
                <w:sz w:val="24"/>
                <w:szCs w:val="24"/>
                <w:highlight w:val="none"/>
                <w:u w:val="single" w:color="auto"/>
                <w:lang w:bidi="zh-CN"/>
              </w:rPr>
              <w:t>t/a，均回用于生产。</w:t>
            </w:r>
          </w:p>
          <w:p>
            <w:pPr>
              <w:spacing w:line="360" w:lineRule="auto"/>
              <w:ind w:firstLine="480" w:firstLineChars="200"/>
              <w:jc w:val="left"/>
              <w:rPr>
                <w:rFonts w:hint="default" w:ascii="Times New Roman" w:hAnsi="Times New Roman" w:eastAsia="宋体" w:cs="Times New Roman"/>
                <w:color w:val="auto"/>
                <w:sz w:val="24"/>
                <w:szCs w:val="24"/>
                <w:highlight w:val="none"/>
                <w:u w:val="none" w:color="auto"/>
                <w:lang w:val="en-US" w:bidi="zh-CN"/>
              </w:rPr>
            </w:pPr>
            <w:r>
              <w:rPr>
                <w:rFonts w:hint="eastAsia" w:cs="Times New Roman"/>
                <w:color w:val="auto"/>
                <w:sz w:val="24"/>
                <w:szCs w:val="24"/>
                <w:highlight w:val="none"/>
                <w:u w:val="none" w:color="auto"/>
                <w:lang w:bidi="zh-CN"/>
              </w:rPr>
              <w:t>涂膜渣：</w:t>
            </w:r>
            <w:r>
              <w:rPr>
                <w:rFonts w:hint="eastAsia" w:ascii="Times New Roman" w:hAnsi="Times New Roman" w:eastAsia="宋体" w:cs="Times New Roman"/>
                <w:color w:val="auto"/>
                <w:sz w:val="24"/>
                <w:szCs w:val="24"/>
                <w:highlight w:val="none"/>
                <w:u w:val="none" w:color="auto"/>
                <w:lang w:bidi="zh-CN"/>
              </w:rPr>
              <w:t>项目生产不锈钢焊丝时需进行涂膜，会产生少量涂膜渣，主要成分为硬脂酸钠，</w:t>
            </w:r>
            <w:r>
              <w:rPr>
                <w:rFonts w:hint="eastAsia" w:cs="Times New Roman"/>
                <w:color w:val="auto"/>
                <w:sz w:val="24"/>
                <w:szCs w:val="24"/>
                <w:highlight w:val="none"/>
                <w:u w:val="none" w:color="auto"/>
                <w:lang w:bidi="zh-CN"/>
              </w:rPr>
              <w:t>不属于危险化学品，</w:t>
            </w:r>
            <w:r>
              <w:rPr>
                <w:rFonts w:hint="eastAsia" w:ascii="Times New Roman" w:hAnsi="Times New Roman" w:eastAsia="宋体" w:cs="Times New Roman"/>
                <w:color w:val="auto"/>
                <w:sz w:val="24"/>
                <w:szCs w:val="24"/>
                <w:highlight w:val="none"/>
                <w:u w:val="none" w:color="auto"/>
                <w:lang w:bidi="zh-CN"/>
              </w:rPr>
              <w:t>一年清理一次，一次产生量为0.</w:t>
            </w:r>
            <w:r>
              <w:rPr>
                <w:rFonts w:hint="eastAsia" w:cs="Times New Roman"/>
                <w:color w:val="auto"/>
                <w:sz w:val="24"/>
                <w:szCs w:val="24"/>
                <w:highlight w:val="none"/>
                <w:u w:val="none" w:color="auto"/>
                <w:lang w:val="en-US" w:bidi="zh-CN"/>
              </w:rPr>
              <w:t>0</w:t>
            </w:r>
            <w:r>
              <w:rPr>
                <w:rFonts w:hint="eastAsia" w:ascii="Times New Roman" w:hAnsi="Times New Roman" w:eastAsia="宋体" w:cs="Times New Roman"/>
                <w:color w:val="auto"/>
                <w:sz w:val="24"/>
                <w:szCs w:val="24"/>
                <w:highlight w:val="none"/>
                <w:u w:val="none" w:color="auto"/>
                <w:lang w:bidi="zh-CN"/>
              </w:rPr>
              <w:t>1t</w:t>
            </w:r>
            <w:r>
              <w:rPr>
                <w:rFonts w:hint="eastAsia" w:cs="Times New Roman"/>
                <w:color w:val="auto"/>
                <w:sz w:val="24"/>
                <w:szCs w:val="24"/>
                <w:highlight w:val="none"/>
                <w:u w:val="none" w:color="auto"/>
                <w:lang w:val="en-US" w:bidi="zh-CN"/>
              </w:rPr>
              <w:t>/a</w:t>
            </w:r>
            <w:r>
              <w:rPr>
                <w:rFonts w:hint="eastAsia" w:ascii="Times New Roman" w:hAnsi="Times New Roman" w:eastAsia="宋体" w:cs="Times New Roman"/>
                <w:color w:val="auto"/>
                <w:sz w:val="24"/>
                <w:szCs w:val="24"/>
                <w:highlight w:val="none"/>
                <w:u w:val="none" w:color="auto"/>
                <w:lang w:bidi="zh-CN"/>
              </w:rPr>
              <w:t>，为一般工业固体废物。</w:t>
            </w:r>
          </w:p>
          <w:p>
            <w:pPr>
              <w:spacing w:line="360" w:lineRule="auto"/>
              <w:ind w:firstLine="480" w:firstLineChars="200"/>
              <w:jc w:val="left"/>
              <w:rPr>
                <w:rFonts w:hint="eastAsia" w:eastAsia="宋体"/>
                <w:b w:val="0"/>
                <w:bCs w:val="0"/>
                <w:color w:val="auto"/>
                <w:sz w:val="24"/>
                <w:szCs w:val="24"/>
                <w:highlight w:val="none"/>
                <w:u w:val="none" w:color="auto"/>
                <w:lang w:eastAsia="zh-CN" w:bidi="zh-CN"/>
              </w:rPr>
            </w:pPr>
            <w:r>
              <w:rPr>
                <w:rFonts w:hint="eastAsia"/>
                <w:b w:val="0"/>
                <w:bCs w:val="0"/>
                <w:color w:val="auto"/>
                <w:sz w:val="24"/>
                <w:szCs w:val="24"/>
                <w:highlight w:val="none"/>
                <w:u w:val="none" w:color="auto"/>
                <w:lang w:eastAsia="zh-CN" w:bidi="zh-CN"/>
              </w:rPr>
              <w:t>废塑料边角料：注塑过程产生废边角料，产生量约</w:t>
            </w:r>
            <w:r>
              <w:rPr>
                <w:rFonts w:hint="eastAsia"/>
                <w:b w:val="0"/>
                <w:bCs w:val="0"/>
                <w:color w:val="auto"/>
                <w:sz w:val="24"/>
                <w:szCs w:val="24"/>
                <w:highlight w:val="none"/>
                <w:u w:val="none" w:color="auto"/>
                <w:lang w:val="en-US" w:eastAsia="zh-CN" w:bidi="zh-CN"/>
              </w:rPr>
              <w:t>0.01t/a，</w:t>
            </w:r>
            <w:r>
              <w:rPr>
                <w:rFonts w:hint="eastAsia"/>
                <w:b w:val="0"/>
                <w:bCs w:val="0"/>
                <w:color w:val="auto"/>
                <w:sz w:val="24"/>
                <w:szCs w:val="24"/>
                <w:highlight w:val="none"/>
                <w:u w:val="none" w:color="auto"/>
                <w:lang w:eastAsia="zh-CN" w:bidi="zh-CN"/>
              </w:rPr>
              <w:t>经收集后回用至注塑工序</w:t>
            </w:r>
          </w:p>
          <w:p>
            <w:pPr>
              <w:spacing w:line="360" w:lineRule="auto"/>
              <w:ind w:firstLine="480" w:firstLineChars="200"/>
              <w:rPr>
                <w:rFonts w:hint="eastAsia"/>
                <w:b w:val="0"/>
                <w:bCs w:val="0"/>
                <w:color w:val="auto"/>
                <w:sz w:val="24"/>
                <w:szCs w:val="24"/>
                <w:highlight w:val="none"/>
                <w:u w:val="none" w:color="auto"/>
                <w:lang w:bidi="ar"/>
              </w:rPr>
            </w:pPr>
            <w:r>
              <w:rPr>
                <w:rFonts w:hint="eastAsia"/>
                <w:b w:val="0"/>
                <w:bCs w:val="0"/>
                <w:color w:val="auto"/>
                <w:sz w:val="24"/>
                <w:szCs w:val="24"/>
                <w:highlight w:val="none"/>
                <w:u w:val="none" w:color="auto"/>
                <w:lang w:bidi="ar"/>
              </w:rPr>
              <w:t>废分子筛</w:t>
            </w:r>
            <w:r>
              <w:rPr>
                <w:rFonts w:hint="eastAsia"/>
                <w:b w:val="0"/>
                <w:bCs w:val="0"/>
                <w:color w:val="auto"/>
                <w:sz w:val="24"/>
                <w:szCs w:val="24"/>
                <w:highlight w:val="none"/>
                <w:u w:val="none" w:color="auto"/>
                <w:lang w:eastAsia="zh-CN" w:bidi="ar"/>
              </w:rPr>
              <w:t>：</w:t>
            </w:r>
            <w:r>
              <w:rPr>
                <w:rFonts w:hint="eastAsia"/>
                <w:b w:val="0"/>
                <w:bCs w:val="0"/>
                <w:color w:val="auto"/>
                <w:sz w:val="24"/>
                <w:szCs w:val="24"/>
                <w:highlight w:val="none"/>
                <w:u w:val="none" w:color="auto"/>
                <w:lang w:bidi="ar"/>
              </w:rPr>
              <w:t>液氨分解得到的混合气体需要经过分子筛进行纯化，该过程会产生废分子筛，按照建设单位提供的资料，分子筛</w:t>
            </w:r>
            <w:r>
              <w:rPr>
                <w:rFonts w:hint="eastAsia"/>
                <w:b w:val="0"/>
                <w:bCs w:val="0"/>
                <w:color w:val="auto"/>
                <w:sz w:val="24"/>
                <w:szCs w:val="24"/>
                <w:highlight w:val="none"/>
                <w:u w:val="none" w:color="auto"/>
                <w:lang w:eastAsia="zh-CN" w:bidi="ar"/>
              </w:rPr>
              <w:t>每</w:t>
            </w:r>
            <w:r>
              <w:rPr>
                <w:rFonts w:hint="eastAsia"/>
                <w:b w:val="0"/>
                <w:bCs w:val="0"/>
                <w:color w:val="auto"/>
                <w:sz w:val="24"/>
                <w:szCs w:val="24"/>
                <w:highlight w:val="none"/>
                <w:u w:val="none" w:color="auto"/>
                <w:lang w:val="en-US" w:eastAsia="zh-CN" w:bidi="ar"/>
              </w:rPr>
              <w:t>2年更换一次，</w:t>
            </w:r>
            <w:r>
              <w:rPr>
                <w:rFonts w:hint="eastAsia"/>
                <w:b w:val="0"/>
                <w:bCs w:val="0"/>
                <w:color w:val="auto"/>
                <w:sz w:val="24"/>
                <w:szCs w:val="24"/>
                <w:highlight w:val="none"/>
                <w:u w:val="none" w:color="auto"/>
                <w:lang w:bidi="ar"/>
              </w:rPr>
              <w:t>废分子筛年产生量约0.1t</w:t>
            </w:r>
            <w:r>
              <w:rPr>
                <w:rFonts w:hint="eastAsia"/>
                <w:b w:val="0"/>
                <w:bCs w:val="0"/>
                <w:color w:val="auto"/>
                <w:sz w:val="24"/>
                <w:szCs w:val="24"/>
                <w:highlight w:val="none"/>
                <w:u w:val="none" w:color="auto"/>
                <w:lang w:val="en-US" w:eastAsia="zh-CN" w:bidi="ar"/>
              </w:rPr>
              <w:t>/</w:t>
            </w:r>
            <w:r>
              <w:rPr>
                <w:rFonts w:hint="eastAsia"/>
                <w:b w:val="0"/>
                <w:bCs w:val="0"/>
                <w:color w:val="auto"/>
                <w:sz w:val="24"/>
                <w:szCs w:val="24"/>
                <w:highlight w:val="none"/>
                <w:u w:val="none" w:color="auto"/>
                <w:lang w:bidi="ar"/>
              </w:rPr>
              <w:t>a，收集后</w:t>
            </w:r>
            <w:r>
              <w:rPr>
                <w:rFonts w:hint="eastAsia"/>
                <w:b w:val="0"/>
                <w:bCs w:val="0"/>
                <w:color w:val="auto"/>
                <w:sz w:val="24"/>
                <w:szCs w:val="24"/>
                <w:highlight w:val="none"/>
                <w:u w:val="none" w:color="auto"/>
                <w:lang w:eastAsia="zh-CN" w:bidi="ar"/>
              </w:rPr>
              <w:t>由厂家回收利用</w:t>
            </w:r>
            <w:r>
              <w:rPr>
                <w:rFonts w:hint="eastAsia"/>
                <w:b w:val="0"/>
                <w:bCs w:val="0"/>
                <w:color w:val="auto"/>
                <w:sz w:val="24"/>
                <w:szCs w:val="24"/>
                <w:highlight w:val="none"/>
                <w:u w:val="none" w:color="auto"/>
                <w:lang w:bidi="ar"/>
              </w:rPr>
              <w:t>。</w:t>
            </w:r>
          </w:p>
          <w:p>
            <w:pPr>
              <w:spacing w:line="360" w:lineRule="auto"/>
              <w:ind w:firstLine="482" w:firstLineChars="200"/>
              <w:rPr>
                <w:rFonts w:hint="eastAsia" w:eastAsia="宋体"/>
                <w:b/>
                <w:bCs/>
                <w:color w:val="auto"/>
                <w:sz w:val="24"/>
                <w:szCs w:val="24"/>
                <w:highlight w:val="none"/>
                <w:u w:val="none" w:color="auto"/>
                <w:lang w:eastAsia="zh-CN" w:bidi="ar"/>
              </w:rPr>
            </w:pPr>
            <w:r>
              <w:rPr>
                <w:rFonts w:hint="eastAsia"/>
                <w:b/>
                <w:bCs/>
                <w:color w:val="auto"/>
                <w:sz w:val="24"/>
                <w:szCs w:val="24"/>
                <w:highlight w:val="none"/>
                <w:u w:val="none" w:color="auto"/>
                <w:lang w:bidi="ar"/>
              </w:rPr>
              <w:t>（</w:t>
            </w:r>
            <w:r>
              <w:rPr>
                <w:rFonts w:hint="eastAsia"/>
                <w:b/>
                <w:bCs/>
                <w:color w:val="auto"/>
                <w:sz w:val="24"/>
                <w:szCs w:val="24"/>
                <w:highlight w:val="none"/>
                <w:u w:val="none" w:color="auto"/>
                <w:lang w:val="en-US" w:eastAsia="zh-CN" w:bidi="ar"/>
              </w:rPr>
              <w:t>2</w:t>
            </w:r>
            <w:r>
              <w:rPr>
                <w:rFonts w:hint="eastAsia"/>
                <w:b/>
                <w:bCs/>
                <w:color w:val="auto"/>
                <w:sz w:val="24"/>
                <w:szCs w:val="24"/>
                <w:highlight w:val="none"/>
                <w:u w:val="none" w:color="auto"/>
                <w:lang w:bidi="ar"/>
              </w:rPr>
              <w:t>）</w:t>
            </w:r>
            <w:r>
              <w:rPr>
                <w:rFonts w:hint="eastAsia"/>
                <w:b/>
                <w:bCs/>
                <w:color w:val="auto"/>
                <w:sz w:val="24"/>
                <w:szCs w:val="24"/>
                <w:highlight w:val="none"/>
                <w:u w:val="none" w:color="auto"/>
                <w:lang w:eastAsia="zh-CN" w:bidi="ar"/>
              </w:rPr>
              <w:t>危险废物</w:t>
            </w:r>
          </w:p>
          <w:p>
            <w:pPr>
              <w:spacing w:line="360" w:lineRule="auto"/>
              <w:ind w:firstLine="480" w:firstLineChars="200"/>
              <w:jc w:val="left"/>
              <w:rPr>
                <w:rFonts w:hint="eastAsia" w:ascii="Times New Roman" w:hAnsi="Times New Roman" w:eastAsia="宋体" w:cs="Times New Roman"/>
                <w:color w:val="auto"/>
                <w:sz w:val="24"/>
                <w:szCs w:val="24"/>
                <w:highlight w:val="none"/>
                <w:u w:val="none" w:color="auto"/>
                <w:lang w:eastAsia="zh-CN" w:bidi="zh-CN"/>
              </w:rPr>
            </w:pPr>
            <w:r>
              <w:rPr>
                <w:rFonts w:hint="eastAsia" w:ascii="Times New Roman" w:hAnsi="Times New Roman" w:eastAsia="宋体" w:cs="Times New Roman"/>
                <w:color w:val="auto"/>
                <w:sz w:val="24"/>
                <w:szCs w:val="24"/>
                <w:highlight w:val="none"/>
                <w:u w:val="none" w:color="auto"/>
                <w:lang w:eastAsia="zh-CN" w:bidi="zh-CN"/>
              </w:rPr>
              <w:t>①废抹布</w:t>
            </w:r>
          </w:p>
          <w:p>
            <w:pPr>
              <w:spacing w:line="360" w:lineRule="auto"/>
              <w:ind w:firstLine="480" w:firstLineChars="200"/>
              <w:jc w:val="left"/>
              <w:rPr>
                <w:rFonts w:hint="eastAsia" w:ascii="Times New Roman" w:hAnsi="Times New Roman" w:eastAsia="宋体" w:cs="Times New Roman"/>
                <w:color w:val="auto"/>
                <w:sz w:val="24"/>
                <w:szCs w:val="24"/>
                <w:highlight w:val="none"/>
                <w:u w:val="none" w:color="auto"/>
                <w:lang w:bidi="zh-CN"/>
              </w:rPr>
            </w:pPr>
            <w:r>
              <w:rPr>
                <w:rFonts w:hint="eastAsia" w:ascii="Times New Roman" w:hAnsi="Times New Roman" w:eastAsia="宋体" w:cs="Times New Roman"/>
                <w:color w:val="auto"/>
                <w:sz w:val="24"/>
                <w:szCs w:val="24"/>
                <w:highlight w:val="none"/>
                <w:u w:val="none" w:color="auto"/>
                <w:lang w:eastAsia="zh-CN" w:bidi="zh-CN"/>
              </w:rPr>
              <w:t>机械设备维护和维护过程中产生少量的含油抹布，产生量约0.02t/a，废抹布属于危险废物，危险类别为HW49（其他废物），废物代码900-041-49，该部分危险废物交由资质单位处理。根据《中华人民共和国固体废物污染环境防治法》第五十八条，禁止将危险废物混入非危险废物中贮存。</w:t>
            </w:r>
          </w:p>
          <w:p>
            <w:pPr>
              <w:spacing w:line="360" w:lineRule="auto"/>
              <w:ind w:firstLine="480" w:firstLineChars="200"/>
              <w:jc w:val="both"/>
              <w:rPr>
                <w:rFonts w:hint="eastAsia" w:ascii="Times New Roman" w:hAnsi="Times New Roman" w:eastAsia="宋体" w:cs="Times New Roman"/>
                <w:b w:val="0"/>
                <w:bCs w:val="0"/>
                <w:color w:val="auto"/>
                <w:sz w:val="24"/>
                <w:szCs w:val="24"/>
                <w:highlight w:val="none"/>
                <w:u w:val="none" w:color="auto"/>
                <w:lang w:bidi="zh-CN"/>
              </w:rPr>
            </w:pPr>
            <w:r>
              <w:rPr>
                <w:rFonts w:hint="eastAsia" w:ascii="宋体" w:hAnsi="宋体" w:eastAsia="宋体" w:cs="宋体"/>
                <w:b w:val="0"/>
                <w:bCs w:val="0"/>
                <w:color w:val="auto"/>
                <w:sz w:val="24"/>
                <w:szCs w:val="24"/>
                <w:highlight w:val="none"/>
                <w:u w:val="none" w:color="auto"/>
                <w:lang w:bidi="zh-CN"/>
              </w:rPr>
              <w:t>②</w:t>
            </w:r>
            <w:r>
              <w:rPr>
                <w:rFonts w:hint="eastAsia" w:ascii="Times New Roman" w:hAnsi="Times New Roman" w:eastAsia="宋体" w:cs="Times New Roman"/>
                <w:b w:val="0"/>
                <w:bCs w:val="0"/>
                <w:color w:val="auto"/>
                <w:sz w:val="24"/>
                <w:szCs w:val="24"/>
                <w:highlight w:val="none"/>
                <w:u w:val="none" w:color="auto"/>
                <w:lang w:bidi="zh-CN"/>
              </w:rPr>
              <w:t>废机油</w:t>
            </w:r>
          </w:p>
          <w:p>
            <w:pPr>
              <w:spacing w:line="360" w:lineRule="auto"/>
              <w:ind w:firstLine="480" w:firstLineChars="200"/>
              <w:jc w:val="both"/>
              <w:rPr>
                <w:rFonts w:hint="eastAsia" w:ascii="Times New Roman" w:hAnsi="Times New Roman" w:eastAsia="宋体" w:cs="Times New Roman"/>
                <w:b w:val="0"/>
                <w:bCs w:val="0"/>
                <w:color w:val="auto"/>
                <w:sz w:val="24"/>
                <w:szCs w:val="24"/>
                <w:highlight w:val="none"/>
                <w:u w:val="none" w:color="auto"/>
                <w:lang w:eastAsia="zh-CN" w:bidi="zh-CN"/>
              </w:rPr>
            </w:pPr>
            <w:r>
              <w:rPr>
                <w:rFonts w:hint="eastAsia" w:ascii="Times New Roman" w:hAnsi="Times New Roman" w:eastAsia="宋体" w:cs="Times New Roman"/>
                <w:color w:val="auto"/>
                <w:sz w:val="24"/>
                <w:szCs w:val="24"/>
                <w:highlight w:val="none"/>
                <w:u w:val="none" w:color="auto"/>
                <w:lang w:eastAsia="zh-CN" w:bidi="zh-CN"/>
              </w:rPr>
              <w:t>项目在机械设备维修和维护过程中产生少量的废机油，产生量约为0.</w:t>
            </w:r>
            <w:r>
              <w:rPr>
                <w:rFonts w:hint="eastAsia" w:ascii="Times New Roman" w:hAnsi="Times New Roman" w:eastAsia="宋体" w:cs="Times New Roman"/>
                <w:color w:val="auto"/>
                <w:sz w:val="24"/>
                <w:szCs w:val="24"/>
                <w:highlight w:val="none"/>
                <w:u w:val="none" w:color="auto"/>
                <w:lang w:val="en-US" w:eastAsia="zh-CN" w:bidi="zh-CN"/>
              </w:rPr>
              <w:t>1</w:t>
            </w:r>
            <w:r>
              <w:rPr>
                <w:rFonts w:hint="eastAsia" w:ascii="Times New Roman" w:hAnsi="Times New Roman" w:eastAsia="宋体" w:cs="Times New Roman"/>
                <w:color w:val="auto"/>
                <w:sz w:val="24"/>
                <w:szCs w:val="24"/>
                <w:highlight w:val="none"/>
                <w:u w:val="none" w:color="auto"/>
                <w:lang w:eastAsia="zh-CN" w:bidi="zh-CN"/>
              </w:rPr>
              <w:t>t/a，根据《国家危险废物名录》（2021版），废机油属于危险废物，危险类别为HW08类（废矿物油</w:t>
            </w:r>
            <w:r>
              <w:rPr>
                <w:rFonts w:hint="eastAsia" w:ascii="Times New Roman" w:hAnsi="Times New Roman" w:eastAsia="宋体" w:cs="Times New Roman"/>
                <w:b w:val="0"/>
                <w:bCs w:val="0"/>
                <w:color w:val="auto"/>
                <w:sz w:val="24"/>
                <w:szCs w:val="24"/>
                <w:highlight w:val="none"/>
                <w:u w:val="none" w:color="auto"/>
                <w:lang w:eastAsia="zh-CN" w:bidi="zh-CN"/>
              </w:rPr>
              <w:t>与含矿物油废物），废物代码为900-217-08，收集后交由有危废资质的单位处理。</w:t>
            </w:r>
          </w:p>
          <w:p>
            <w:pPr>
              <w:spacing w:line="360" w:lineRule="auto"/>
              <w:ind w:firstLine="480" w:firstLineChars="200"/>
              <w:jc w:val="both"/>
              <w:rPr>
                <w:rFonts w:hint="eastAsia" w:ascii="Times New Roman" w:hAnsi="Times New Roman" w:eastAsia="宋体" w:cs="Times New Roman"/>
                <w:b w:val="0"/>
                <w:bCs w:val="0"/>
                <w:color w:val="auto"/>
                <w:sz w:val="24"/>
                <w:szCs w:val="24"/>
                <w:highlight w:val="none"/>
                <w:u w:val="none" w:color="auto"/>
                <w:lang w:eastAsia="zh-CN" w:bidi="zh-CN"/>
              </w:rPr>
            </w:pPr>
            <w:r>
              <w:rPr>
                <w:rFonts w:hint="eastAsia" w:ascii="宋体" w:hAnsi="宋体" w:eastAsia="宋体" w:cs="宋体"/>
                <w:b w:val="0"/>
                <w:bCs w:val="0"/>
                <w:color w:val="auto"/>
                <w:sz w:val="24"/>
                <w:szCs w:val="24"/>
                <w:highlight w:val="none"/>
                <w:u w:val="none" w:color="auto"/>
                <w:lang w:eastAsia="zh-CN" w:bidi="zh-CN"/>
              </w:rPr>
              <w:t>③</w:t>
            </w:r>
            <w:r>
              <w:rPr>
                <w:rFonts w:hint="eastAsia" w:ascii="Times New Roman" w:hAnsi="Times New Roman" w:eastAsia="宋体" w:cs="Times New Roman"/>
                <w:b w:val="0"/>
                <w:bCs w:val="0"/>
                <w:color w:val="auto"/>
                <w:sz w:val="24"/>
                <w:szCs w:val="24"/>
                <w:highlight w:val="none"/>
                <w:u w:val="none" w:color="auto"/>
                <w:lang w:eastAsia="zh-CN" w:bidi="zh-CN"/>
              </w:rPr>
              <w:t>污泥</w:t>
            </w:r>
          </w:p>
          <w:p>
            <w:pPr>
              <w:spacing w:line="360" w:lineRule="auto"/>
              <w:ind w:firstLine="480" w:firstLineChars="200"/>
              <w:jc w:val="both"/>
              <w:rPr>
                <w:rFonts w:hint="eastAsia" w:ascii="Times New Roman" w:hAnsi="Times New Roman" w:eastAsia="宋体" w:cs="Times New Roman"/>
                <w:b w:val="0"/>
                <w:bCs w:val="0"/>
                <w:color w:val="auto"/>
                <w:sz w:val="24"/>
                <w:szCs w:val="24"/>
                <w:highlight w:val="none"/>
                <w:u w:val="none" w:color="auto"/>
                <w:lang w:eastAsia="zh-CN" w:bidi="zh-CN"/>
              </w:rPr>
            </w:pPr>
            <w:r>
              <w:rPr>
                <w:rFonts w:hint="eastAsia" w:ascii="Times New Roman" w:hAnsi="Times New Roman" w:eastAsia="宋体" w:cs="Times New Roman"/>
                <w:b w:val="0"/>
                <w:bCs w:val="0"/>
                <w:color w:val="auto"/>
                <w:sz w:val="24"/>
                <w:szCs w:val="24"/>
                <w:highlight w:val="none"/>
                <w:u w:val="none" w:color="auto"/>
                <w:lang w:eastAsia="zh-CN" w:bidi="zh-CN"/>
              </w:rPr>
              <w:t>生产废水处理站产生脱水污泥，主要成分为铁沉淀物，</w:t>
            </w:r>
            <w:r>
              <w:rPr>
                <w:rFonts w:hint="eastAsia" w:ascii="Times New Roman" w:hAnsi="Times New Roman" w:eastAsia="宋体" w:cs="Times New Roman"/>
                <w:b w:val="0"/>
                <w:bCs w:val="0"/>
                <w:color w:val="auto"/>
                <w:sz w:val="24"/>
                <w:szCs w:val="24"/>
                <w:highlight w:val="none"/>
                <w:u w:val="none" w:color="auto"/>
                <w:lang w:val="en-US" w:eastAsia="zh-CN" w:bidi="zh-CN"/>
              </w:rPr>
              <w:t>污泥产生量约为污水处理系统处理水量的1%，</w:t>
            </w:r>
            <w:r>
              <w:rPr>
                <w:rFonts w:hint="eastAsia" w:ascii="Times New Roman" w:hAnsi="Times New Roman" w:eastAsia="宋体" w:cs="Times New Roman"/>
                <w:b w:val="0"/>
                <w:bCs w:val="0"/>
                <w:color w:val="auto"/>
                <w:sz w:val="24"/>
                <w:szCs w:val="24"/>
                <w:highlight w:val="none"/>
                <w:u w:val="none" w:color="auto"/>
                <w:lang w:eastAsia="zh-CN" w:bidi="zh-CN"/>
              </w:rPr>
              <w:t>产生量为</w:t>
            </w:r>
            <w:r>
              <w:rPr>
                <w:rFonts w:hint="eastAsia" w:cs="Times New Roman"/>
                <w:b w:val="0"/>
                <w:bCs w:val="0"/>
                <w:color w:val="auto"/>
                <w:sz w:val="24"/>
                <w:szCs w:val="24"/>
                <w:highlight w:val="none"/>
                <w:u w:val="none" w:color="auto"/>
                <w:lang w:val="en-US" w:eastAsia="zh-CN" w:bidi="zh-CN"/>
              </w:rPr>
              <w:t>43.6</w:t>
            </w:r>
            <w:r>
              <w:rPr>
                <w:rFonts w:hint="eastAsia" w:ascii="Times New Roman" w:hAnsi="Times New Roman" w:eastAsia="宋体" w:cs="Times New Roman"/>
                <w:b w:val="0"/>
                <w:bCs w:val="0"/>
                <w:color w:val="auto"/>
                <w:sz w:val="24"/>
                <w:szCs w:val="24"/>
                <w:highlight w:val="none"/>
                <w:u w:val="none" w:color="auto"/>
                <w:lang w:eastAsia="zh-CN" w:bidi="zh-CN"/>
              </w:rPr>
              <w:t>t/a，属于危险废物，废物类别为HW17，废物代码为336-064-17。</w:t>
            </w:r>
          </w:p>
          <w:p>
            <w:pPr>
              <w:spacing w:line="360" w:lineRule="auto"/>
              <w:ind w:firstLine="480" w:firstLineChars="200"/>
              <w:jc w:val="both"/>
              <w:rPr>
                <w:rFonts w:hint="eastAsia"/>
                <w:color w:val="auto"/>
                <w:sz w:val="24"/>
                <w:szCs w:val="24"/>
                <w:highlight w:val="none"/>
                <w:u w:val="none" w:color="auto"/>
                <w:lang w:val="en-US" w:eastAsia="zh-CN" w:bidi="zh-CN"/>
              </w:rPr>
            </w:pPr>
            <w:r>
              <w:rPr>
                <w:rFonts w:hint="eastAsia" w:ascii="宋体" w:hAnsi="宋体" w:eastAsia="宋体" w:cs="宋体"/>
                <w:color w:val="auto"/>
                <w:sz w:val="24"/>
                <w:szCs w:val="24"/>
                <w:highlight w:val="none"/>
                <w:u w:val="none" w:color="auto"/>
                <w:lang w:val="en-US" w:eastAsia="zh-CN" w:bidi="zh-CN"/>
              </w:rPr>
              <w:t>④废活性炭</w:t>
            </w:r>
          </w:p>
          <w:p>
            <w:pPr>
              <w:spacing w:line="360" w:lineRule="auto"/>
              <w:ind w:firstLine="480" w:firstLineChars="200"/>
              <w:jc w:val="both"/>
              <w:rPr>
                <w:rFonts w:hint="eastAsia" w:ascii="Times New Roman" w:hAnsi="Times New Roman" w:eastAsia="宋体" w:cs="Times New Roman"/>
                <w:b w:val="0"/>
                <w:bCs w:val="0"/>
                <w:color w:val="auto"/>
                <w:sz w:val="24"/>
                <w:szCs w:val="24"/>
                <w:highlight w:val="none"/>
                <w:u w:val="none" w:color="auto"/>
                <w:lang w:eastAsia="zh-CN" w:bidi="zh-CN"/>
              </w:rPr>
            </w:pPr>
            <w:r>
              <w:rPr>
                <w:rFonts w:hint="eastAsia"/>
                <w:color w:val="auto"/>
                <w:sz w:val="24"/>
                <w:szCs w:val="24"/>
                <w:highlight w:val="none"/>
                <w:u w:val="none" w:color="auto"/>
                <w:lang w:val="en-US" w:eastAsia="zh-CN" w:bidi="zh-CN"/>
              </w:rPr>
              <w:t>项目废气处理设施会产生一定量废活性炭，</w:t>
            </w:r>
            <w:r>
              <w:rPr>
                <w:rFonts w:hint="eastAsia" w:ascii="Times New Roman" w:hAnsi="Times New Roman" w:cs="Times New Roman"/>
                <w:color w:val="auto"/>
                <w:sz w:val="24"/>
                <w:szCs w:val="24"/>
                <w:highlight w:val="none"/>
                <w:u w:val="none" w:color="auto"/>
                <w:lang w:bidi="zh-CN"/>
              </w:rPr>
              <w:t>根据同类工程调查，100kg活性炭吸附有机废气的能力大概为30kg，</w:t>
            </w:r>
            <w:r>
              <w:rPr>
                <w:rFonts w:hint="eastAsia" w:ascii="Times New Roman" w:hAnsi="Times New Roman" w:cs="Times New Roman"/>
                <w:color w:val="auto"/>
                <w:sz w:val="24"/>
                <w:szCs w:val="24"/>
                <w:highlight w:val="none"/>
                <w:u w:val="none" w:color="auto"/>
                <w:lang w:eastAsia="zh-CN" w:bidi="zh-CN"/>
              </w:rPr>
              <w:t>本项目非甲烷总烃处理量约为</w:t>
            </w:r>
            <w:r>
              <w:rPr>
                <w:rFonts w:hint="eastAsia" w:cs="Times New Roman"/>
                <w:color w:val="auto"/>
                <w:sz w:val="24"/>
                <w:szCs w:val="24"/>
                <w:highlight w:val="none"/>
                <w:u w:val="none" w:color="auto"/>
                <w:lang w:val="en-US" w:eastAsia="zh-CN" w:bidi="zh-CN"/>
              </w:rPr>
              <w:t>2.52</w:t>
            </w:r>
            <w:r>
              <w:rPr>
                <w:rFonts w:hint="eastAsia" w:ascii="Times New Roman" w:hAnsi="Times New Roman" w:cs="Times New Roman"/>
                <w:color w:val="auto"/>
                <w:sz w:val="24"/>
                <w:szCs w:val="24"/>
                <w:highlight w:val="none"/>
                <w:u w:val="none" w:color="auto"/>
                <w:lang w:bidi="zh-CN"/>
              </w:rPr>
              <w:t>t/a</w:t>
            </w:r>
            <w:r>
              <w:rPr>
                <w:rFonts w:hint="eastAsia" w:ascii="Times New Roman" w:hAnsi="Times New Roman" w:cs="Times New Roman"/>
                <w:color w:val="auto"/>
                <w:sz w:val="24"/>
                <w:szCs w:val="24"/>
                <w:highlight w:val="none"/>
                <w:u w:val="none" w:color="auto"/>
                <w:lang w:eastAsia="zh-CN" w:bidi="zh-CN"/>
              </w:rPr>
              <w:t>，</w:t>
            </w:r>
            <w:r>
              <w:rPr>
                <w:rFonts w:hint="eastAsia" w:ascii="Times New Roman" w:cs="Times New Roman"/>
                <w:color w:val="auto"/>
                <w:sz w:val="24"/>
                <w:szCs w:val="24"/>
                <w:highlight w:val="none"/>
                <w:u w:val="none" w:color="auto"/>
                <w:lang w:val="en-US" w:eastAsia="zh-CN" w:bidi="zh-CN"/>
              </w:rPr>
              <w:t>则</w:t>
            </w:r>
            <w:r>
              <w:rPr>
                <w:rFonts w:hint="eastAsia" w:ascii="Times New Roman" w:hAnsi="Times New Roman" w:cs="Times New Roman"/>
                <w:color w:val="auto"/>
                <w:sz w:val="24"/>
                <w:szCs w:val="24"/>
                <w:highlight w:val="none"/>
                <w:u w:val="none" w:color="auto"/>
                <w:lang w:eastAsia="zh-CN" w:bidi="zh-CN"/>
              </w:rPr>
              <w:t>活性炭</w:t>
            </w:r>
            <w:r>
              <w:rPr>
                <w:rFonts w:hint="eastAsia" w:ascii="Times New Roman" w:hAnsi="Times New Roman" w:cs="Times New Roman"/>
                <w:color w:val="auto"/>
                <w:sz w:val="24"/>
                <w:szCs w:val="24"/>
                <w:highlight w:val="none"/>
                <w:u w:val="none" w:color="auto"/>
                <w:lang w:bidi="zh-CN"/>
              </w:rPr>
              <w:t>年</w:t>
            </w:r>
            <w:r>
              <w:rPr>
                <w:rFonts w:hint="eastAsia" w:cs="Times New Roman"/>
                <w:color w:val="auto"/>
                <w:sz w:val="24"/>
                <w:szCs w:val="24"/>
                <w:highlight w:val="none"/>
                <w:u w:val="none" w:color="auto"/>
                <w:lang w:bidi="zh-CN"/>
              </w:rPr>
              <w:t>产</w:t>
            </w:r>
            <w:r>
              <w:rPr>
                <w:rFonts w:hint="eastAsia" w:ascii="Times New Roman" w:hAnsi="Times New Roman" w:cs="Times New Roman"/>
                <w:color w:val="auto"/>
                <w:sz w:val="24"/>
                <w:szCs w:val="24"/>
                <w:highlight w:val="none"/>
                <w:u w:val="none" w:color="auto"/>
                <w:lang w:bidi="zh-CN"/>
              </w:rPr>
              <w:t>量</w:t>
            </w:r>
            <w:r>
              <w:rPr>
                <w:rFonts w:hint="eastAsia" w:ascii="Times New Roman" w:hAnsi="Times New Roman" w:cs="Times New Roman"/>
                <w:color w:val="auto"/>
                <w:sz w:val="24"/>
                <w:szCs w:val="24"/>
                <w:highlight w:val="none"/>
                <w:u w:val="none" w:color="auto"/>
                <w:lang w:eastAsia="zh-CN" w:bidi="zh-CN"/>
              </w:rPr>
              <w:t>约</w:t>
            </w:r>
            <w:r>
              <w:rPr>
                <w:rFonts w:hint="eastAsia" w:ascii="Times New Roman" w:hAnsi="Times New Roman" w:cs="Times New Roman"/>
                <w:color w:val="auto"/>
                <w:sz w:val="24"/>
                <w:szCs w:val="24"/>
                <w:highlight w:val="none"/>
                <w:u w:val="none" w:color="auto"/>
                <w:lang w:bidi="zh-CN"/>
              </w:rPr>
              <w:t>为</w:t>
            </w:r>
            <w:r>
              <w:rPr>
                <w:rFonts w:hint="eastAsia" w:cs="Times New Roman"/>
                <w:color w:val="auto"/>
                <w:sz w:val="24"/>
                <w:szCs w:val="24"/>
                <w:highlight w:val="none"/>
                <w:u w:val="none" w:color="auto"/>
                <w:lang w:val="en-US" w:eastAsia="zh-CN" w:bidi="zh-CN"/>
              </w:rPr>
              <w:t>8.4</w:t>
            </w:r>
            <w:r>
              <w:rPr>
                <w:rFonts w:hint="eastAsia" w:ascii="Times New Roman" w:hAnsi="Times New Roman" w:cs="Times New Roman"/>
                <w:color w:val="auto"/>
                <w:sz w:val="24"/>
                <w:szCs w:val="24"/>
                <w:highlight w:val="none"/>
                <w:u w:val="none" w:color="auto"/>
                <w:lang w:bidi="zh-CN"/>
              </w:rPr>
              <w:t>t/a，</w:t>
            </w:r>
            <w:r>
              <w:rPr>
                <w:rFonts w:hint="eastAsia" w:ascii="Times New Roman" w:hAnsi="Times New Roman" w:eastAsia="宋体" w:cs="Times New Roman"/>
                <w:color w:val="auto"/>
                <w:sz w:val="24"/>
                <w:szCs w:val="24"/>
                <w:highlight w:val="none"/>
                <w:u w:val="none" w:color="auto"/>
                <w:lang w:val="en-US" w:eastAsia="zh-CN" w:bidi="zh-CN"/>
              </w:rPr>
              <w:t>本项目活性炭箱容积约为</w:t>
            </w:r>
            <w:r>
              <w:rPr>
                <w:rFonts w:hint="eastAsia" w:cs="Times New Roman"/>
                <w:color w:val="auto"/>
                <w:sz w:val="24"/>
                <w:szCs w:val="24"/>
                <w:highlight w:val="none"/>
                <w:u w:val="none" w:color="auto"/>
                <w:lang w:val="en-US" w:eastAsia="zh-CN" w:bidi="zh-CN"/>
              </w:rPr>
              <w:t>3</w:t>
            </w:r>
            <w:r>
              <w:rPr>
                <w:rFonts w:hint="eastAsia" w:ascii="Times New Roman" w:hAnsi="Times New Roman" w:eastAsia="宋体" w:cs="Times New Roman"/>
                <w:color w:val="auto"/>
                <w:sz w:val="24"/>
                <w:szCs w:val="24"/>
                <w:highlight w:val="none"/>
                <w:u w:val="none" w:color="auto"/>
                <w:lang w:val="en-US" w:eastAsia="zh-CN" w:bidi="zh-CN"/>
              </w:rPr>
              <w:t>m</w:t>
            </w:r>
            <w:r>
              <w:rPr>
                <w:rFonts w:hint="eastAsia" w:ascii="Times New Roman" w:hAnsi="Times New Roman" w:eastAsia="宋体" w:cs="Times New Roman"/>
                <w:color w:val="auto"/>
                <w:sz w:val="24"/>
                <w:szCs w:val="24"/>
                <w:highlight w:val="none"/>
                <w:u w:val="none" w:color="auto"/>
                <w:vertAlign w:val="superscript"/>
                <w:lang w:val="en-US" w:eastAsia="zh-CN" w:bidi="zh-CN"/>
              </w:rPr>
              <w:t>3</w:t>
            </w:r>
            <w:r>
              <w:rPr>
                <w:rFonts w:hint="eastAsia" w:ascii="Times New Roman" w:hAnsi="Times New Roman" w:eastAsia="宋体" w:cs="Times New Roman"/>
                <w:color w:val="auto"/>
                <w:sz w:val="24"/>
                <w:szCs w:val="24"/>
                <w:highlight w:val="none"/>
                <w:u w:val="none" w:color="auto"/>
                <w:lang w:val="en-US" w:eastAsia="zh-CN" w:bidi="zh-CN"/>
              </w:rPr>
              <w:t>，可盛装约</w:t>
            </w:r>
            <w:r>
              <w:rPr>
                <w:rFonts w:hint="eastAsia" w:cs="Times New Roman"/>
                <w:color w:val="auto"/>
                <w:sz w:val="24"/>
                <w:szCs w:val="24"/>
                <w:highlight w:val="none"/>
                <w:u w:val="none" w:color="auto"/>
                <w:lang w:val="en-US" w:eastAsia="zh-CN" w:bidi="zh-CN"/>
              </w:rPr>
              <w:t>2.8</w:t>
            </w:r>
            <w:r>
              <w:rPr>
                <w:rFonts w:hint="eastAsia" w:ascii="Times New Roman" w:hAnsi="Times New Roman" w:cs="Times New Roman"/>
                <w:color w:val="auto"/>
                <w:sz w:val="24"/>
                <w:szCs w:val="24"/>
                <w:highlight w:val="none"/>
                <w:u w:val="none" w:color="auto"/>
                <w:lang w:bidi="zh-CN"/>
              </w:rPr>
              <w:t>t/</w:t>
            </w:r>
            <w:r>
              <w:rPr>
                <w:rFonts w:hint="eastAsia" w:ascii="Times New Roman" w:hAnsi="Times New Roman" w:cs="Times New Roman"/>
                <w:color w:val="auto"/>
                <w:sz w:val="24"/>
                <w:szCs w:val="24"/>
                <w:highlight w:val="none"/>
                <w:u w:val="none" w:color="auto"/>
                <w:lang w:val="en-US" w:eastAsia="zh-CN" w:bidi="zh-CN"/>
              </w:rPr>
              <w:t>次</w:t>
            </w:r>
            <w:r>
              <w:rPr>
                <w:rFonts w:hint="eastAsia" w:ascii="Times New Roman" w:hAnsi="Times New Roman" w:cs="Times New Roman"/>
                <w:color w:val="auto"/>
                <w:sz w:val="24"/>
                <w:szCs w:val="24"/>
                <w:highlight w:val="none"/>
                <w:u w:val="none" w:color="auto"/>
                <w:lang w:eastAsia="zh-CN" w:bidi="zh-CN"/>
              </w:rPr>
              <w:t>，</w:t>
            </w:r>
            <w:r>
              <w:rPr>
                <w:rFonts w:hint="eastAsia" w:ascii="Times New Roman" w:hAnsi="Times New Roman" w:eastAsia="宋体" w:cs="Times New Roman"/>
                <w:color w:val="auto"/>
                <w:sz w:val="24"/>
                <w:szCs w:val="24"/>
                <w:highlight w:val="none"/>
                <w:u w:val="none" w:color="auto"/>
                <w:lang w:val="en-US" w:eastAsia="zh-CN" w:bidi="zh-CN"/>
              </w:rPr>
              <w:t>由厂家</w:t>
            </w:r>
            <w:r>
              <w:rPr>
                <w:rFonts w:hint="eastAsia" w:cs="Times New Roman"/>
                <w:color w:val="auto"/>
                <w:sz w:val="24"/>
                <w:szCs w:val="24"/>
                <w:highlight w:val="none"/>
                <w:u w:val="none" w:color="auto"/>
                <w:lang w:val="en-US" w:eastAsia="zh-CN" w:bidi="zh-CN"/>
              </w:rPr>
              <w:t>4月</w:t>
            </w:r>
            <w:r>
              <w:rPr>
                <w:rFonts w:hint="eastAsia" w:ascii="Times New Roman" w:hAnsi="Times New Roman" w:eastAsia="宋体" w:cs="Times New Roman"/>
                <w:color w:val="auto"/>
                <w:sz w:val="24"/>
                <w:szCs w:val="24"/>
                <w:highlight w:val="none"/>
                <w:u w:val="none" w:color="auto"/>
                <w:lang w:val="en-US" w:eastAsia="zh-CN" w:bidi="zh-CN"/>
              </w:rPr>
              <w:t>更换一次</w:t>
            </w:r>
            <w:r>
              <w:rPr>
                <w:rFonts w:hint="eastAsia" w:cs="Times New Roman"/>
                <w:color w:val="auto"/>
                <w:sz w:val="24"/>
                <w:szCs w:val="24"/>
                <w:highlight w:val="none"/>
                <w:u w:val="none" w:color="auto"/>
                <w:lang w:val="en-US" w:eastAsia="zh-CN" w:bidi="zh-CN"/>
              </w:rPr>
              <w:t>，</w:t>
            </w:r>
            <w:r>
              <w:rPr>
                <w:rFonts w:hint="eastAsia" w:ascii="Times New Roman" w:hAnsi="Times New Roman" w:cs="Times New Roman"/>
                <w:color w:val="auto"/>
                <w:sz w:val="24"/>
                <w:szCs w:val="24"/>
                <w:highlight w:val="none"/>
                <w:u w:val="none" w:color="auto"/>
                <w:lang w:bidi="zh-CN"/>
              </w:rPr>
              <w:t>属于《国家危险废物名录》（2021版）中HW49其他废物，危废代码为900-039-49，要求暂存收集后委托有资质单位进行</w:t>
            </w:r>
            <w:r>
              <w:rPr>
                <w:rFonts w:hint="eastAsia" w:ascii="Times New Roman" w:hAnsi="Times New Roman" w:eastAsia="宋体" w:cs="Times New Roman"/>
                <w:color w:val="auto"/>
                <w:sz w:val="24"/>
                <w:szCs w:val="24"/>
                <w:highlight w:val="none"/>
                <w:u w:val="none" w:color="auto"/>
                <w:lang w:val="en-US" w:eastAsia="zh-CN" w:bidi="zh-CN"/>
              </w:rPr>
              <w:t>处置。</w:t>
            </w:r>
          </w:p>
          <w:p>
            <w:pPr>
              <w:spacing w:line="360" w:lineRule="auto"/>
              <w:ind w:firstLine="480" w:firstLineChars="200"/>
              <w:rPr>
                <w:rFonts w:hint="eastAsia"/>
                <w:b w:val="0"/>
                <w:bCs w:val="0"/>
                <w:color w:val="auto"/>
                <w:sz w:val="24"/>
                <w:szCs w:val="24"/>
                <w:highlight w:val="none"/>
                <w:u w:val="single" w:color="auto"/>
                <w:lang w:bidi="ar"/>
              </w:rPr>
            </w:pPr>
            <w:r>
              <w:rPr>
                <w:rFonts w:hint="eastAsia" w:ascii="宋体" w:hAnsi="宋体" w:eastAsia="宋体" w:cs="宋体"/>
                <w:b w:val="0"/>
                <w:bCs w:val="0"/>
                <w:color w:val="auto"/>
                <w:sz w:val="24"/>
                <w:szCs w:val="24"/>
                <w:highlight w:val="none"/>
                <w:u w:val="single" w:color="auto"/>
                <w:lang w:bidi="ar"/>
              </w:rPr>
              <w:t>⑤</w:t>
            </w:r>
            <w:r>
              <w:rPr>
                <w:rFonts w:hint="eastAsia" w:ascii="宋体" w:hAnsi="宋体" w:cs="宋体"/>
                <w:b w:val="0"/>
                <w:bCs w:val="0"/>
                <w:color w:val="auto"/>
                <w:sz w:val="24"/>
                <w:szCs w:val="24"/>
                <w:highlight w:val="none"/>
                <w:u w:val="single" w:color="auto"/>
                <w:lang w:eastAsia="zh-CN" w:bidi="ar"/>
              </w:rPr>
              <w:t>含镍</w:t>
            </w:r>
            <w:r>
              <w:rPr>
                <w:rFonts w:hint="eastAsia"/>
                <w:b w:val="0"/>
                <w:bCs w:val="0"/>
                <w:color w:val="auto"/>
                <w:sz w:val="24"/>
                <w:szCs w:val="24"/>
                <w:highlight w:val="none"/>
                <w:u w:val="single" w:color="auto"/>
                <w:lang w:bidi="ar"/>
              </w:rPr>
              <w:t>废催化剂</w:t>
            </w:r>
          </w:p>
          <w:p>
            <w:pPr>
              <w:spacing w:line="360" w:lineRule="auto"/>
              <w:ind w:firstLine="480" w:firstLineChars="200"/>
              <w:rPr>
                <w:rFonts w:hint="eastAsia"/>
                <w:b w:val="0"/>
                <w:bCs w:val="0"/>
                <w:color w:val="auto"/>
                <w:sz w:val="24"/>
                <w:szCs w:val="24"/>
                <w:highlight w:val="none"/>
                <w:u w:val="single" w:color="auto"/>
                <w:lang w:bidi="ar"/>
              </w:rPr>
            </w:pPr>
            <w:r>
              <w:rPr>
                <w:rFonts w:hint="eastAsia"/>
                <w:b w:val="0"/>
                <w:bCs w:val="0"/>
                <w:color w:val="auto"/>
                <w:sz w:val="24"/>
                <w:szCs w:val="24"/>
                <w:highlight w:val="none"/>
                <w:u w:val="single" w:color="auto"/>
                <w:lang w:bidi="ar"/>
              </w:rPr>
              <w:t>液氨分解过程中使用</w:t>
            </w:r>
            <w:r>
              <w:rPr>
                <w:rFonts w:hint="eastAsia"/>
                <w:b w:val="0"/>
                <w:bCs w:val="0"/>
                <w:color w:val="auto"/>
                <w:sz w:val="24"/>
                <w:szCs w:val="24"/>
                <w:highlight w:val="none"/>
                <w:u w:val="single" w:color="auto"/>
                <w:lang w:eastAsia="zh-CN" w:bidi="ar"/>
              </w:rPr>
              <w:t>含镍</w:t>
            </w:r>
            <w:r>
              <w:rPr>
                <w:rFonts w:hint="eastAsia"/>
                <w:b w:val="0"/>
                <w:bCs w:val="0"/>
                <w:color w:val="auto"/>
                <w:sz w:val="24"/>
                <w:szCs w:val="24"/>
                <w:highlight w:val="none"/>
                <w:u w:val="single" w:color="auto"/>
                <w:lang w:bidi="ar"/>
              </w:rPr>
              <w:t>催化剂，会产生</w:t>
            </w:r>
            <w:r>
              <w:rPr>
                <w:rFonts w:hint="eastAsia"/>
                <w:b w:val="0"/>
                <w:bCs w:val="0"/>
                <w:color w:val="auto"/>
                <w:sz w:val="24"/>
                <w:szCs w:val="24"/>
                <w:highlight w:val="none"/>
                <w:u w:val="single" w:color="auto"/>
                <w:lang w:eastAsia="zh-CN" w:bidi="ar"/>
              </w:rPr>
              <w:t>废含镍</w:t>
            </w:r>
            <w:r>
              <w:rPr>
                <w:rFonts w:hint="eastAsia"/>
                <w:b w:val="0"/>
                <w:bCs w:val="0"/>
                <w:color w:val="auto"/>
                <w:sz w:val="24"/>
                <w:szCs w:val="24"/>
                <w:highlight w:val="none"/>
                <w:u w:val="single" w:color="auto"/>
                <w:lang w:bidi="ar"/>
              </w:rPr>
              <w:t>催化剂</w:t>
            </w:r>
            <w:r>
              <w:rPr>
                <w:rFonts w:hint="eastAsia"/>
                <w:b w:val="0"/>
                <w:bCs w:val="0"/>
                <w:color w:val="auto"/>
                <w:sz w:val="24"/>
                <w:szCs w:val="24"/>
                <w:highlight w:val="none"/>
                <w:u w:val="single" w:color="auto"/>
                <w:lang w:eastAsia="zh-CN" w:bidi="ar"/>
              </w:rPr>
              <w:t>，分解炉分解过程全程密闭</w:t>
            </w:r>
            <w:r>
              <w:rPr>
                <w:rFonts w:hint="eastAsia"/>
                <w:b w:val="0"/>
                <w:bCs w:val="0"/>
                <w:color w:val="auto"/>
                <w:sz w:val="24"/>
                <w:szCs w:val="24"/>
                <w:highlight w:val="none"/>
                <w:u w:val="single" w:color="auto"/>
                <w:lang w:bidi="ar"/>
              </w:rPr>
              <w:t>，按照建设单位提供的资料，催化剂</w:t>
            </w:r>
            <w:r>
              <w:rPr>
                <w:rFonts w:hint="eastAsia"/>
                <w:b w:val="0"/>
                <w:bCs w:val="0"/>
                <w:color w:val="auto"/>
                <w:sz w:val="24"/>
                <w:szCs w:val="24"/>
                <w:highlight w:val="none"/>
                <w:u w:val="single" w:color="auto"/>
                <w:lang w:eastAsia="zh-CN" w:bidi="ar"/>
              </w:rPr>
              <w:t>每</w:t>
            </w:r>
            <w:r>
              <w:rPr>
                <w:rFonts w:hint="eastAsia"/>
                <w:b w:val="0"/>
                <w:bCs w:val="0"/>
                <w:color w:val="auto"/>
                <w:sz w:val="24"/>
                <w:szCs w:val="24"/>
                <w:highlight w:val="none"/>
                <w:u w:val="single" w:color="auto"/>
                <w:lang w:val="en-US" w:eastAsia="zh-CN" w:bidi="ar"/>
              </w:rPr>
              <w:t>2年更换一次，</w:t>
            </w:r>
            <w:r>
              <w:rPr>
                <w:rFonts w:hint="eastAsia"/>
                <w:b w:val="0"/>
                <w:bCs w:val="0"/>
                <w:color w:val="auto"/>
                <w:sz w:val="24"/>
                <w:szCs w:val="24"/>
                <w:highlight w:val="none"/>
                <w:u w:val="single" w:color="auto"/>
                <w:lang w:bidi="ar"/>
              </w:rPr>
              <w:t>废催化剂年产生量约为0.1</w:t>
            </w:r>
            <w:r>
              <w:rPr>
                <w:rFonts w:hint="eastAsia"/>
                <w:b w:val="0"/>
                <w:bCs w:val="0"/>
                <w:color w:val="auto"/>
                <w:sz w:val="24"/>
                <w:szCs w:val="24"/>
                <w:highlight w:val="none"/>
                <w:u w:val="single" w:color="auto"/>
                <w:lang w:val="en-US" w:eastAsia="zh-CN" w:bidi="ar"/>
              </w:rPr>
              <w:t>t/</w:t>
            </w:r>
            <w:r>
              <w:rPr>
                <w:rFonts w:hint="eastAsia"/>
                <w:b w:val="0"/>
                <w:bCs w:val="0"/>
                <w:color w:val="auto"/>
                <w:sz w:val="24"/>
                <w:szCs w:val="24"/>
                <w:highlight w:val="none"/>
                <w:u w:val="single" w:color="auto"/>
                <w:lang w:bidi="ar"/>
              </w:rPr>
              <w:t>a，</w:t>
            </w:r>
            <w:r>
              <w:rPr>
                <w:rFonts w:hint="eastAsia"/>
                <w:b w:val="0"/>
                <w:bCs w:val="0"/>
                <w:color w:val="auto"/>
                <w:sz w:val="24"/>
                <w:szCs w:val="24"/>
                <w:highlight w:val="none"/>
                <w:u w:val="single" w:color="auto"/>
                <w:lang w:val="en-US" w:eastAsia="zh-CN" w:bidi="ar"/>
              </w:rPr>
              <w:t>含镍催化剂属于危险废物，</w:t>
            </w:r>
            <w:r>
              <w:rPr>
                <w:rFonts w:hint="eastAsia" w:ascii="Times New Roman" w:hAnsi="Times New Roman" w:cs="Times New Roman"/>
                <w:color w:val="auto"/>
                <w:sz w:val="24"/>
                <w:szCs w:val="24"/>
                <w:highlight w:val="none"/>
                <w:u w:val="single" w:color="auto"/>
                <w:lang w:bidi="zh-CN"/>
              </w:rPr>
              <w:t>属于《国家危险废物名录》（2021版）中HW4</w:t>
            </w:r>
            <w:r>
              <w:rPr>
                <w:rFonts w:hint="eastAsia" w:cs="Times New Roman"/>
                <w:color w:val="auto"/>
                <w:sz w:val="24"/>
                <w:szCs w:val="24"/>
                <w:highlight w:val="none"/>
                <w:u w:val="single" w:color="auto"/>
                <w:lang w:val="en-US" w:bidi="zh-CN"/>
              </w:rPr>
              <w:t>6</w:t>
            </w:r>
            <w:r>
              <w:rPr>
                <w:rFonts w:hint="eastAsia" w:cs="Times New Roman"/>
                <w:color w:val="auto"/>
                <w:sz w:val="24"/>
                <w:szCs w:val="24"/>
                <w:highlight w:val="none"/>
                <w:u w:val="single" w:color="auto"/>
                <w:lang w:bidi="zh-CN"/>
              </w:rPr>
              <w:t>含镍废物</w:t>
            </w:r>
            <w:r>
              <w:rPr>
                <w:rFonts w:hint="eastAsia" w:ascii="Times New Roman" w:hAnsi="Times New Roman" w:cs="Times New Roman"/>
                <w:color w:val="auto"/>
                <w:sz w:val="24"/>
                <w:szCs w:val="24"/>
                <w:highlight w:val="none"/>
                <w:u w:val="single" w:color="auto"/>
                <w:lang w:bidi="zh-CN"/>
              </w:rPr>
              <w:t>，危废代码为900-03</w:t>
            </w:r>
            <w:r>
              <w:rPr>
                <w:rFonts w:hint="eastAsia" w:cs="Times New Roman"/>
                <w:color w:val="auto"/>
                <w:sz w:val="24"/>
                <w:szCs w:val="24"/>
                <w:highlight w:val="none"/>
                <w:u w:val="single" w:color="auto"/>
                <w:lang w:val="en-US" w:bidi="zh-CN"/>
              </w:rPr>
              <w:t>7</w:t>
            </w:r>
            <w:r>
              <w:rPr>
                <w:rFonts w:hint="eastAsia" w:ascii="Times New Roman" w:hAnsi="Times New Roman" w:cs="Times New Roman"/>
                <w:color w:val="auto"/>
                <w:sz w:val="24"/>
                <w:szCs w:val="24"/>
                <w:highlight w:val="none"/>
                <w:u w:val="single" w:color="auto"/>
                <w:lang w:bidi="zh-CN"/>
              </w:rPr>
              <w:t>-4</w:t>
            </w:r>
            <w:r>
              <w:rPr>
                <w:rFonts w:hint="eastAsia" w:cs="Times New Roman"/>
                <w:color w:val="auto"/>
                <w:sz w:val="24"/>
                <w:szCs w:val="24"/>
                <w:highlight w:val="none"/>
                <w:u w:val="single" w:color="auto"/>
                <w:lang w:val="en-US" w:bidi="zh-CN"/>
              </w:rPr>
              <w:t>6</w:t>
            </w:r>
            <w:r>
              <w:rPr>
                <w:rFonts w:hint="eastAsia" w:ascii="Times New Roman" w:hAnsi="Times New Roman" w:cs="Times New Roman"/>
                <w:color w:val="auto"/>
                <w:sz w:val="24"/>
                <w:szCs w:val="24"/>
                <w:highlight w:val="none"/>
                <w:u w:val="single" w:color="auto"/>
                <w:lang w:bidi="zh-CN"/>
              </w:rPr>
              <w:t>，</w:t>
            </w:r>
            <w:r>
              <w:rPr>
                <w:rFonts w:hint="eastAsia"/>
                <w:b w:val="0"/>
                <w:bCs w:val="0"/>
                <w:color w:val="auto"/>
                <w:sz w:val="24"/>
                <w:szCs w:val="24"/>
                <w:highlight w:val="none"/>
                <w:u w:val="single" w:color="auto"/>
                <w:lang w:val="en-US" w:eastAsia="zh-CN" w:bidi="ar"/>
              </w:rPr>
              <w:t>按照</w:t>
            </w:r>
            <w:r>
              <w:rPr>
                <w:rFonts w:hint="eastAsia" w:ascii="Times New Roman" w:hAnsi="宋体" w:eastAsia="宋体" w:cs="Times New Roman"/>
                <w:bCs/>
                <w:color w:val="auto"/>
                <w:kern w:val="2"/>
                <w:sz w:val="24"/>
                <w:szCs w:val="24"/>
                <w:highlight w:val="none"/>
                <w:u w:val="single" w:color="auto"/>
                <w:lang w:val="en-US" w:eastAsia="zh-CN"/>
              </w:rPr>
              <w:t>《危险废物贮存污染控制标准》(GB18597-2023）</w:t>
            </w:r>
            <w:r>
              <w:rPr>
                <w:rFonts w:hint="eastAsia" w:hAnsi="宋体" w:cs="Times New Roman"/>
                <w:bCs/>
                <w:color w:val="auto"/>
                <w:kern w:val="2"/>
                <w:sz w:val="24"/>
                <w:szCs w:val="24"/>
                <w:highlight w:val="none"/>
                <w:u w:val="single" w:color="auto"/>
                <w:lang w:val="en-US" w:eastAsia="zh-CN"/>
              </w:rPr>
              <w:t>进行暂存，</w:t>
            </w:r>
            <w:r>
              <w:rPr>
                <w:rFonts w:hint="eastAsia"/>
                <w:b w:val="0"/>
                <w:bCs w:val="0"/>
                <w:color w:val="auto"/>
                <w:sz w:val="24"/>
                <w:szCs w:val="24"/>
                <w:highlight w:val="none"/>
                <w:u w:val="single" w:color="auto"/>
                <w:lang w:bidi="ar"/>
              </w:rPr>
              <w:t>收集后</w:t>
            </w:r>
            <w:r>
              <w:rPr>
                <w:rFonts w:hint="eastAsia" w:ascii="Times New Roman" w:hAnsi="Times New Roman" w:cs="Times New Roman"/>
                <w:color w:val="auto"/>
                <w:sz w:val="24"/>
                <w:szCs w:val="24"/>
                <w:highlight w:val="none"/>
                <w:u w:val="single" w:color="auto"/>
                <w:lang w:bidi="zh-CN"/>
              </w:rPr>
              <w:t>委托有资质单位进行</w:t>
            </w:r>
            <w:r>
              <w:rPr>
                <w:rFonts w:hint="eastAsia" w:ascii="Times New Roman" w:hAnsi="Times New Roman" w:eastAsia="宋体" w:cs="Times New Roman"/>
                <w:color w:val="auto"/>
                <w:sz w:val="24"/>
                <w:szCs w:val="24"/>
                <w:highlight w:val="none"/>
                <w:u w:val="single" w:color="auto"/>
                <w:lang w:val="en-US" w:eastAsia="zh-CN" w:bidi="zh-CN"/>
              </w:rPr>
              <w:t>处置</w:t>
            </w:r>
            <w:r>
              <w:rPr>
                <w:rFonts w:hint="eastAsia"/>
                <w:b w:val="0"/>
                <w:bCs w:val="0"/>
                <w:color w:val="auto"/>
                <w:sz w:val="24"/>
                <w:szCs w:val="24"/>
                <w:highlight w:val="none"/>
                <w:u w:val="single" w:color="auto"/>
                <w:lang w:bidi="ar"/>
              </w:rPr>
              <w:t>。</w:t>
            </w:r>
          </w:p>
          <w:p>
            <w:pPr>
              <w:ind w:firstLine="0"/>
              <w:jc w:val="center"/>
              <w:rPr>
                <w:b/>
                <w:color w:val="auto"/>
                <w:sz w:val="24"/>
                <w:szCs w:val="24"/>
                <w:highlight w:val="none"/>
                <w:u w:val="none" w:color="auto"/>
              </w:rPr>
            </w:pPr>
            <w:r>
              <w:rPr>
                <w:rFonts w:hint="eastAsia" w:ascii="宋体" w:hAnsi="宋体" w:cs="宋体"/>
                <w:b/>
                <w:color w:val="auto"/>
                <w:sz w:val="24"/>
                <w:szCs w:val="24"/>
                <w:highlight w:val="none"/>
                <w:u w:val="none" w:color="auto"/>
                <w:lang w:bidi="ar"/>
              </w:rPr>
              <w:t>表</w:t>
            </w:r>
            <w:r>
              <w:rPr>
                <w:rFonts w:hint="eastAsia"/>
                <w:b/>
                <w:color w:val="auto"/>
                <w:sz w:val="24"/>
                <w:szCs w:val="24"/>
                <w:highlight w:val="none"/>
                <w:u w:val="none" w:color="auto"/>
                <w:lang w:bidi="ar"/>
              </w:rPr>
              <w:t>4</w:t>
            </w:r>
            <w:r>
              <w:rPr>
                <w:rFonts w:hint="eastAsia"/>
                <w:b/>
                <w:color w:val="auto"/>
                <w:sz w:val="24"/>
                <w:szCs w:val="24"/>
                <w:highlight w:val="none"/>
                <w:u w:val="none" w:color="auto"/>
                <w:lang w:val="en-US" w:eastAsia="zh-CN" w:bidi="ar"/>
              </w:rPr>
              <w:t>.5-1</w:t>
            </w:r>
            <w:r>
              <w:rPr>
                <w:rFonts w:hint="eastAsia" w:ascii="宋体" w:hAnsi="宋体" w:cs="宋体"/>
                <w:b/>
                <w:color w:val="auto"/>
                <w:sz w:val="24"/>
                <w:szCs w:val="24"/>
                <w:highlight w:val="none"/>
                <w:u w:val="none" w:color="auto"/>
                <w:lang w:bidi="ar"/>
              </w:rPr>
              <w:t>本项目</w:t>
            </w:r>
            <w:r>
              <w:rPr>
                <w:rFonts w:hint="eastAsia" w:ascii="宋体" w:hAnsi="宋体" w:cs="宋体"/>
                <w:b/>
                <w:color w:val="auto"/>
                <w:sz w:val="24"/>
                <w:szCs w:val="24"/>
                <w:highlight w:val="none"/>
                <w:u w:val="none" w:color="auto"/>
                <w:lang w:eastAsia="zh-CN" w:bidi="ar"/>
              </w:rPr>
              <w:t>固体废物</w:t>
            </w:r>
            <w:r>
              <w:rPr>
                <w:rFonts w:hint="eastAsia" w:ascii="宋体" w:hAnsi="宋体" w:cs="宋体"/>
                <w:b/>
                <w:color w:val="auto"/>
                <w:sz w:val="24"/>
                <w:szCs w:val="24"/>
                <w:highlight w:val="none"/>
                <w:u w:val="none" w:color="auto"/>
                <w:lang w:bidi="ar"/>
              </w:rPr>
              <w:t>产生情况汇总表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177"/>
              <w:gridCol w:w="698"/>
              <w:gridCol w:w="1472"/>
              <w:gridCol w:w="793"/>
              <w:gridCol w:w="1078"/>
              <w:gridCol w:w="915"/>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noWrap w:val="0"/>
                  <w:vAlign w:val="center"/>
                </w:tcPr>
                <w:p>
                  <w:pPr>
                    <w:topLinePunct/>
                    <w:adjustRightInd w:val="0"/>
                    <w:snapToGrid w:val="0"/>
                    <w:jc w:val="center"/>
                    <w:rPr>
                      <w:rFonts w:hint="eastAsia"/>
                      <w:b/>
                      <w:color w:val="auto"/>
                      <w:kern w:val="0"/>
                      <w:sz w:val="21"/>
                      <w:szCs w:val="21"/>
                      <w:highlight w:val="none"/>
                      <w:u w:val="none" w:color="auto"/>
                    </w:rPr>
                  </w:pPr>
                  <w:r>
                    <w:rPr>
                      <w:b/>
                      <w:color w:val="auto"/>
                      <w:kern w:val="0"/>
                      <w:sz w:val="21"/>
                      <w:szCs w:val="21"/>
                      <w:highlight w:val="none"/>
                      <w:u w:val="none" w:color="auto"/>
                      <w:lang w:bidi="ar"/>
                    </w:rPr>
                    <w:t>产生</w:t>
                  </w:r>
                  <w:r>
                    <w:rPr>
                      <w:rFonts w:hint="eastAsia"/>
                      <w:b/>
                      <w:color w:val="auto"/>
                      <w:kern w:val="0"/>
                      <w:sz w:val="21"/>
                      <w:szCs w:val="21"/>
                      <w:highlight w:val="none"/>
                      <w:u w:val="none" w:color="auto"/>
                      <w:lang w:bidi="ar"/>
                    </w:rPr>
                    <w:t>环节</w:t>
                  </w:r>
                </w:p>
              </w:tc>
              <w:tc>
                <w:tcPr>
                  <w:tcW w:w="1177" w:type="dxa"/>
                  <w:noWrap w:val="0"/>
                  <w:vAlign w:val="center"/>
                </w:tcPr>
                <w:p>
                  <w:pPr>
                    <w:jc w:val="center"/>
                    <w:rPr>
                      <w:b/>
                      <w:color w:val="auto"/>
                      <w:sz w:val="21"/>
                      <w:szCs w:val="21"/>
                      <w:highlight w:val="none"/>
                      <w:u w:val="none" w:color="auto"/>
                    </w:rPr>
                  </w:pPr>
                  <w:r>
                    <w:rPr>
                      <w:b/>
                      <w:color w:val="auto"/>
                      <w:sz w:val="21"/>
                      <w:szCs w:val="21"/>
                      <w:highlight w:val="none"/>
                      <w:u w:val="none" w:color="auto"/>
                      <w:lang w:bidi="ar"/>
                    </w:rPr>
                    <w:t>名称</w:t>
                  </w:r>
                </w:p>
              </w:tc>
              <w:tc>
                <w:tcPr>
                  <w:tcW w:w="698" w:type="dxa"/>
                  <w:noWrap w:val="0"/>
                  <w:vAlign w:val="center"/>
                </w:tcPr>
                <w:p>
                  <w:pPr>
                    <w:jc w:val="center"/>
                    <w:rPr>
                      <w:b/>
                      <w:color w:val="auto"/>
                      <w:sz w:val="21"/>
                      <w:szCs w:val="21"/>
                      <w:highlight w:val="none"/>
                      <w:u w:val="none" w:color="auto"/>
                      <w:lang w:bidi="ar"/>
                    </w:rPr>
                  </w:pPr>
                  <w:r>
                    <w:rPr>
                      <w:b/>
                      <w:color w:val="auto"/>
                      <w:sz w:val="21"/>
                      <w:szCs w:val="21"/>
                      <w:highlight w:val="none"/>
                      <w:u w:val="none" w:color="auto"/>
                      <w:lang w:bidi="ar"/>
                    </w:rPr>
                    <w:t>固废属性</w:t>
                  </w:r>
                </w:p>
              </w:tc>
              <w:tc>
                <w:tcPr>
                  <w:tcW w:w="1472" w:type="dxa"/>
                  <w:noWrap w:val="0"/>
                  <w:vAlign w:val="center"/>
                </w:tcPr>
                <w:p>
                  <w:pPr>
                    <w:jc w:val="center"/>
                    <w:rPr>
                      <w:b/>
                      <w:color w:val="auto"/>
                      <w:sz w:val="21"/>
                      <w:szCs w:val="21"/>
                      <w:highlight w:val="none"/>
                      <w:u w:val="none" w:color="auto"/>
                    </w:rPr>
                  </w:pPr>
                  <w:r>
                    <w:rPr>
                      <w:b/>
                      <w:color w:val="auto"/>
                      <w:sz w:val="21"/>
                      <w:szCs w:val="21"/>
                      <w:highlight w:val="none"/>
                      <w:u w:val="none" w:color="auto"/>
                      <w:lang w:bidi="ar"/>
                    </w:rPr>
                    <w:t>类别</w:t>
                  </w:r>
                  <w:r>
                    <w:rPr>
                      <w:b/>
                      <w:color w:val="auto"/>
                      <w:sz w:val="21"/>
                      <w:szCs w:val="21"/>
                      <w:highlight w:val="none"/>
                      <w:u w:val="none" w:color="auto"/>
                    </w:rPr>
                    <w:t>及</w:t>
                  </w:r>
                  <w:r>
                    <w:rPr>
                      <w:b/>
                      <w:color w:val="auto"/>
                      <w:sz w:val="21"/>
                      <w:szCs w:val="21"/>
                      <w:highlight w:val="none"/>
                      <w:u w:val="none" w:color="auto"/>
                      <w:lang w:bidi="ar"/>
                    </w:rPr>
                    <w:t>编码</w:t>
                  </w:r>
                </w:p>
              </w:tc>
              <w:tc>
                <w:tcPr>
                  <w:tcW w:w="793" w:type="dxa"/>
                  <w:noWrap w:val="0"/>
                  <w:vAlign w:val="center"/>
                </w:tcPr>
                <w:p>
                  <w:pPr>
                    <w:jc w:val="center"/>
                    <w:rPr>
                      <w:b/>
                      <w:color w:val="auto"/>
                      <w:sz w:val="21"/>
                      <w:szCs w:val="21"/>
                      <w:highlight w:val="none"/>
                      <w:u w:val="none" w:color="auto"/>
                    </w:rPr>
                  </w:pPr>
                  <w:r>
                    <w:rPr>
                      <w:b/>
                      <w:color w:val="auto"/>
                      <w:sz w:val="21"/>
                      <w:szCs w:val="21"/>
                      <w:highlight w:val="none"/>
                      <w:u w:val="none" w:color="auto"/>
                    </w:rPr>
                    <w:t>贮存方式</w:t>
                  </w:r>
                </w:p>
              </w:tc>
              <w:tc>
                <w:tcPr>
                  <w:tcW w:w="1078" w:type="dxa"/>
                  <w:noWrap w:val="0"/>
                  <w:vAlign w:val="center"/>
                </w:tcPr>
                <w:p>
                  <w:pPr>
                    <w:topLinePunct/>
                    <w:adjustRightInd w:val="0"/>
                    <w:snapToGrid w:val="0"/>
                    <w:jc w:val="center"/>
                    <w:rPr>
                      <w:b/>
                      <w:color w:val="auto"/>
                      <w:sz w:val="21"/>
                      <w:szCs w:val="21"/>
                      <w:highlight w:val="none"/>
                      <w:u w:val="none" w:color="auto"/>
                    </w:rPr>
                  </w:pPr>
                  <w:r>
                    <w:rPr>
                      <w:b/>
                      <w:color w:val="auto"/>
                      <w:kern w:val="0"/>
                      <w:sz w:val="21"/>
                      <w:szCs w:val="21"/>
                      <w:highlight w:val="none"/>
                      <w:u w:val="none" w:color="auto"/>
                    </w:rPr>
                    <w:t>贮存场所名称</w:t>
                  </w:r>
                </w:p>
              </w:tc>
              <w:tc>
                <w:tcPr>
                  <w:tcW w:w="915" w:type="dxa"/>
                  <w:noWrap w:val="0"/>
                  <w:vAlign w:val="center"/>
                </w:tcPr>
                <w:p>
                  <w:pPr>
                    <w:jc w:val="center"/>
                    <w:rPr>
                      <w:b/>
                      <w:bCs/>
                      <w:color w:val="auto"/>
                      <w:sz w:val="21"/>
                      <w:szCs w:val="21"/>
                      <w:highlight w:val="none"/>
                      <w:u w:val="none" w:color="auto"/>
                    </w:rPr>
                  </w:pPr>
                  <w:r>
                    <w:rPr>
                      <w:b/>
                      <w:bCs/>
                      <w:color w:val="auto"/>
                      <w:sz w:val="21"/>
                      <w:szCs w:val="21"/>
                      <w:highlight w:val="none"/>
                      <w:u w:val="none" w:color="auto"/>
                      <w:lang w:bidi="ar"/>
                    </w:rPr>
                    <w:t>产生量</w:t>
                  </w:r>
                  <w:r>
                    <w:rPr>
                      <w:rFonts w:ascii="Times New Roman" w:hAnsi="Times New Roman"/>
                      <w:b/>
                      <w:bCs/>
                      <w:color w:val="auto"/>
                      <w:sz w:val="21"/>
                      <w:szCs w:val="21"/>
                      <w:highlight w:val="none"/>
                      <w:u w:val="none" w:color="auto"/>
                      <w:lang w:val="en-US" w:eastAsia="zh-CN" w:bidi="ar"/>
                    </w:rPr>
                    <w:t>t/a</w:t>
                  </w:r>
                </w:p>
              </w:tc>
              <w:tc>
                <w:tcPr>
                  <w:tcW w:w="1645" w:type="dxa"/>
                  <w:noWrap w:val="0"/>
                  <w:vAlign w:val="center"/>
                </w:tcPr>
                <w:p>
                  <w:pPr>
                    <w:jc w:val="center"/>
                    <w:rPr>
                      <w:b/>
                      <w:bCs/>
                      <w:color w:val="auto"/>
                      <w:sz w:val="21"/>
                      <w:szCs w:val="21"/>
                      <w:highlight w:val="none"/>
                      <w:u w:val="none" w:color="auto"/>
                    </w:rPr>
                  </w:pPr>
                  <w:r>
                    <w:rPr>
                      <w:b/>
                      <w:bCs/>
                      <w:color w:val="auto"/>
                      <w:sz w:val="21"/>
                      <w:szCs w:val="21"/>
                      <w:highlight w:val="none"/>
                      <w:u w:val="none" w:color="auto"/>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67" w:type="dxa"/>
                  <w:noWrap w:val="0"/>
                  <w:vAlign w:val="center"/>
                </w:tcPr>
                <w:p>
                  <w:pPr>
                    <w:topLinePunct/>
                    <w:adjustRightInd w:val="0"/>
                    <w:snapToGrid w:val="0"/>
                    <w:jc w:val="center"/>
                    <w:rPr>
                      <w:rFonts w:hint="eastAsia" w:ascii="Times New Roman" w:hAnsi="Times New Roman" w:eastAsia="宋体" w:cs="Times New Roman"/>
                      <w:bCs/>
                      <w:color w:val="auto"/>
                      <w:kern w:val="0"/>
                      <w:sz w:val="21"/>
                      <w:szCs w:val="21"/>
                      <w:highlight w:val="none"/>
                      <w:u w:val="single" w:color="auto"/>
                      <w:lang w:eastAsia="zh-CN" w:bidi="ar"/>
                    </w:rPr>
                  </w:pPr>
                  <w:r>
                    <w:rPr>
                      <w:rFonts w:hint="eastAsia" w:cs="Times New Roman"/>
                      <w:bCs/>
                      <w:color w:val="auto"/>
                      <w:kern w:val="0"/>
                      <w:sz w:val="21"/>
                      <w:szCs w:val="21"/>
                      <w:highlight w:val="none"/>
                      <w:u w:val="single" w:color="auto"/>
                      <w:lang w:eastAsia="zh-CN" w:bidi="ar"/>
                    </w:rPr>
                    <w:t>切丝工序以及分条工序</w:t>
                  </w:r>
                </w:p>
              </w:tc>
              <w:tc>
                <w:tcPr>
                  <w:tcW w:w="1177"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single" w:color="auto"/>
                      <w:lang w:eastAsia="zh-CN" w:bidi="ar"/>
                    </w:rPr>
                  </w:pPr>
                  <w:r>
                    <w:rPr>
                      <w:rFonts w:hint="eastAsia" w:ascii="Times New Roman" w:hAnsi="Times New Roman" w:eastAsia="宋体" w:cs="Times New Roman"/>
                      <w:color w:val="auto"/>
                      <w:sz w:val="21"/>
                      <w:szCs w:val="21"/>
                      <w:highlight w:val="none"/>
                      <w:u w:val="single" w:color="auto"/>
                      <w:lang w:val="en-US" w:eastAsia="zh-CN" w:bidi="ar"/>
                    </w:rPr>
                    <w:t>废金属丝</w:t>
                  </w:r>
                </w:p>
              </w:tc>
              <w:tc>
                <w:tcPr>
                  <w:tcW w:w="698" w:type="dxa"/>
                  <w:vMerge w:val="restart"/>
                  <w:noWrap w:val="0"/>
                  <w:vAlign w:val="center"/>
                </w:tcPr>
                <w:p>
                  <w:pPr>
                    <w:jc w:val="center"/>
                    <w:rPr>
                      <w:bCs/>
                      <w:color w:val="auto"/>
                      <w:sz w:val="21"/>
                      <w:szCs w:val="21"/>
                      <w:highlight w:val="none"/>
                      <w:u w:val="single" w:color="auto"/>
                      <w:lang w:bidi="ar"/>
                    </w:rPr>
                  </w:pPr>
                  <w:r>
                    <w:rPr>
                      <w:bCs/>
                      <w:color w:val="auto"/>
                      <w:sz w:val="21"/>
                      <w:szCs w:val="21"/>
                      <w:highlight w:val="none"/>
                      <w:u w:val="single" w:color="auto"/>
                      <w:lang w:bidi="ar"/>
                    </w:rPr>
                    <w:t>一般固废</w:t>
                  </w:r>
                </w:p>
              </w:tc>
              <w:tc>
                <w:tcPr>
                  <w:tcW w:w="1472"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900-001-S17</w:t>
                  </w:r>
                </w:p>
              </w:tc>
              <w:tc>
                <w:tcPr>
                  <w:tcW w:w="793"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color w:val="auto"/>
                      <w:sz w:val="21"/>
                      <w:szCs w:val="21"/>
                      <w:highlight w:val="none"/>
                      <w:u w:val="single" w:color="auto"/>
                      <w:lang w:val="en-US" w:eastAsia="zh-CN" w:bidi="ar"/>
                    </w:rPr>
                    <w:t>/</w:t>
                  </w:r>
                </w:p>
              </w:tc>
              <w:tc>
                <w:tcPr>
                  <w:tcW w:w="1078" w:type="dxa"/>
                  <w:vMerge w:val="restart"/>
                  <w:noWrap w:val="0"/>
                  <w:vAlign w:val="center"/>
                </w:tcPr>
                <w:p>
                  <w:pPr>
                    <w:topLinePunct/>
                    <w:adjustRightInd w:val="0"/>
                    <w:snapToGrid w:val="0"/>
                    <w:jc w:val="center"/>
                    <w:rPr>
                      <w:rFonts w:hint="eastAsia" w:eastAsia="宋体"/>
                      <w:bCs/>
                      <w:color w:val="auto"/>
                      <w:kern w:val="0"/>
                      <w:sz w:val="21"/>
                      <w:szCs w:val="21"/>
                      <w:highlight w:val="none"/>
                      <w:u w:val="single" w:color="auto"/>
                      <w:lang w:val="en-US" w:eastAsia="zh-CN"/>
                    </w:rPr>
                  </w:pPr>
                  <w:r>
                    <w:rPr>
                      <w:rFonts w:hint="eastAsia" w:eastAsia="宋体"/>
                      <w:bCs/>
                      <w:color w:val="auto"/>
                      <w:kern w:val="0"/>
                      <w:sz w:val="21"/>
                      <w:szCs w:val="21"/>
                      <w:highlight w:val="none"/>
                      <w:u w:val="single" w:color="auto"/>
                      <w:lang w:val="en-US" w:eastAsia="zh-CN"/>
                    </w:rPr>
                    <w:t>一般固废暂存间</w:t>
                  </w:r>
                </w:p>
              </w:tc>
              <w:tc>
                <w:tcPr>
                  <w:tcW w:w="915"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3.6</w:t>
                  </w:r>
                </w:p>
              </w:tc>
              <w:tc>
                <w:tcPr>
                  <w:tcW w:w="1645"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noWrap w:val="0"/>
                  <w:vAlign w:val="center"/>
                </w:tcPr>
                <w:p>
                  <w:pPr>
                    <w:topLinePunct/>
                    <w:adjustRightInd w:val="0"/>
                    <w:snapToGrid w:val="0"/>
                    <w:jc w:val="center"/>
                    <w:rPr>
                      <w:rFonts w:hint="eastAsia" w:ascii="Times New Roman" w:hAnsi="Times New Roman" w:eastAsia="宋体" w:cs="Times New Roman"/>
                      <w:bCs/>
                      <w:color w:val="auto"/>
                      <w:kern w:val="0"/>
                      <w:sz w:val="21"/>
                      <w:szCs w:val="21"/>
                      <w:highlight w:val="none"/>
                      <w:u w:val="single" w:color="auto"/>
                      <w:lang w:eastAsia="zh-CN" w:bidi="ar"/>
                    </w:rPr>
                  </w:pPr>
                  <w:r>
                    <w:rPr>
                      <w:rFonts w:hint="eastAsia" w:ascii="Times New Roman" w:hAnsi="Times New Roman" w:eastAsia="宋体" w:cs="Times New Roman"/>
                      <w:bCs/>
                      <w:color w:val="auto"/>
                      <w:kern w:val="0"/>
                      <w:sz w:val="21"/>
                      <w:szCs w:val="21"/>
                      <w:highlight w:val="none"/>
                      <w:u w:val="single" w:color="auto"/>
                      <w:lang w:eastAsia="zh-CN" w:bidi="ar"/>
                    </w:rPr>
                    <w:t>废气</w:t>
                  </w:r>
                  <w:r>
                    <w:rPr>
                      <w:rFonts w:hint="eastAsia"/>
                      <w:color w:val="auto"/>
                      <w:sz w:val="21"/>
                      <w:szCs w:val="21"/>
                      <w:highlight w:val="none"/>
                      <w:u w:val="single" w:color="auto"/>
                      <w:lang w:val="en-US" w:eastAsia="zh-CN" w:bidi="ar"/>
                    </w:rPr>
                    <w:t>处理</w:t>
                  </w:r>
                  <w:r>
                    <w:rPr>
                      <w:rFonts w:hint="eastAsia" w:ascii="Times New Roman" w:hAnsi="Times New Roman" w:eastAsia="宋体" w:cs="Times New Roman"/>
                      <w:bCs/>
                      <w:color w:val="auto"/>
                      <w:kern w:val="0"/>
                      <w:sz w:val="21"/>
                      <w:szCs w:val="21"/>
                      <w:highlight w:val="none"/>
                      <w:u w:val="single" w:color="auto"/>
                      <w:lang w:eastAsia="zh-CN" w:bidi="ar"/>
                    </w:rPr>
                    <w:t>设施</w:t>
                  </w:r>
                </w:p>
              </w:tc>
              <w:tc>
                <w:tcPr>
                  <w:tcW w:w="1177" w:type="dxa"/>
                  <w:noWrap w:val="0"/>
                  <w:vAlign w:val="center"/>
                </w:tcPr>
                <w:p>
                  <w:pPr>
                    <w:topLinePunct/>
                    <w:adjustRightInd w:val="0"/>
                    <w:snapToGrid w:val="0"/>
                    <w:jc w:val="center"/>
                    <w:rPr>
                      <w:rFonts w:hint="eastAsia" w:ascii="Times New Roman" w:hAnsi="Times New Roman" w:eastAsia="宋体" w:cs="Times New Roman"/>
                      <w:bCs/>
                      <w:color w:val="auto"/>
                      <w:kern w:val="0"/>
                      <w:sz w:val="21"/>
                      <w:szCs w:val="21"/>
                      <w:highlight w:val="none"/>
                      <w:u w:val="single" w:color="auto"/>
                      <w:lang w:eastAsia="zh-CN" w:bidi="ar"/>
                    </w:rPr>
                  </w:pPr>
                  <w:r>
                    <w:rPr>
                      <w:rFonts w:hint="eastAsia" w:ascii="Times New Roman" w:hAnsi="Times New Roman" w:eastAsia="宋体" w:cs="Times New Roman"/>
                      <w:color w:val="auto"/>
                      <w:sz w:val="21"/>
                      <w:szCs w:val="21"/>
                      <w:highlight w:val="none"/>
                      <w:u w:val="single" w:color="auto"/>
                      <w:lang w:bidi="zh-CN"/>
                    </w:rPr>
                    <w:t>除尘灰</w:t>
                  </w:r>
                </w:p>
              </w:tc>
              <w:tc>
                <w:tcPr>
                  <w:tcW w:w="698" w:type="dxa"/>
                  <w:vMerge w:val="continue"/>
                  <w:noWrap w:val="0"/>
                  <w:vAlign w:val="center"/>
                </w:tcPr>
                <w:p>
                  <w:pPr>
                    <w:jc w:val="center"/>
                    <w:rPr>
                      <w:bCs/>
                      <w:color w:val="auto"/>
                      <w:sz w:val="21"/>
                      <w:szCs w:val="21"/>
                      <w:highlight w:val="none"/>
                      <w:u w:val="single" w:color="auto"/>
                      <w:lang w:bidi="ar"/>
                    </w:rPr>
                  </w:pPr>
                </w:p>
              </w:tc>
              <w:tc>
                <w:tcPr>
                  <w:tcW w:w="1472" w:type="dxa"/>
                  <w:noWrap w:val="0"/>
                  <w:vAlign w:val="center"/>
                </w:tcPr>
                <w:p>
                  <w:pPr>
                    <w:topLinePunct/>
                    <w:adjustRightInd w:val="0"/>
                    <w:snapToGrid w:val="0"/>
                    <w:jc w:val="center"/>
                    <w:rPr>
                      <w:rFonts w:hint="default" w:ascii="Times New Roman" w:hAnsi="Times New Roman" w:eastAsia="宋体" w:cs="Times New Roman"/>
                      <w:bCs/>
                      <w:color w:val="auto"/>
                      <w:kern w:val="0"/>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336</w:t>
                  </w:r>
                  <w:r>
                    <w:rPr>
                      <w:rFonts w:hint="eastAsia" w:ascii="Times New Roman" w:hAnsi="Times New Roman" w:eastAsia="宋体" w:cs="Times New Roman"/>
                      <w:color w:val="auto"/>
                      <w:sz w:val="21"/>
                      <w:szCs w:val="21"/>
                      <w:highlight w:val="none"/>
                      <w:u w:val="single" w:color="auto"/>
                      <w:lang w:val="en-US" w:eastAsia="zh-CN" w:bidi="ar"/>
                    </w:rPr>
                    <w:t>-999-99</w:t>
                  </w:r>
                </w:p>
              </w:tc>
              <w:tc>
                <w:tcPr>
                  <w:tcW w:w="793" w:type="dxa"/>
                  <w:noWrap w:val="0"/>
                  <w:vAlign w:val="center"/>
                </w:tcPr>
                <w:p>
                  <w:pPr>
                    <w:topLinePunct/>
                    <w:adjustRightInd w:val="0"/>
                    <w:snapToGrid w:val="0"/>
                    <w:jc w:val="center"/>
                    <w:rPr>
                      <w:rFonts w:hint="eastAsia" w:ascii="Times New Roman" w:hAnsi="Times New Roman" w:eastAsia="宋体" w:cs="Times New Roman"/>
                      <w:bCs/>
                      <w:color w:val="auto"/>
                      <w:kern w:val="0"/>
                      <w:sz w:val="21"/>
                      <w:szCs w:val="21"/>
                      <w:highlight w:val="none"/>
                      <w:u w:val="single" w:color="auto"/>
                      <w:lang w:eastAsia="zh-CN" w:bidi="ar"/>
                    </w:rPr>
                  </w:pPr>
                  <w:r>
                    <w:rPr>
                      <w:rFonts w:hint="eastAsia" w:eastAsia="宋体"/>
                      <w:bCs/>
                      <w:color w:val="auto"/>
                      <w:sz w:val="21"/>
                      <w:szCs w:val="21"/>
                      <w:highlight w:val="none"/>
                      <w:u w:val="single" w:color="auto"/>
                      <w:lang w:val="en-US" w:eastAsia="zh-CN"/>
                    </w:rPr>
                    <w:t>/</w:t>
                  </w:r>
                </w:p>
              </w:tc>
              <w:tc>
                <w:tcPr>
                  <w:tcW w:w="1078" w:type="dxa"/>
                  <w:vMerge w:val="continue"/>
                  <w:noWrap w:val="0"/>
                  <w:vAlign w:val="center"/>
                </w:tcPr>
                <w:p>
                  <w:pPr>
                    <w:topLinePunct/>
                    <w:adjustRightInd w:val="0"/>
                    <w:snapToGrid w:val="0"/>
                    <w:jc w:val="center"/>
                    <w:rPr>
                      <w:rFonts w:hint="default" w:eastAsia="宋体"/>
                      <w:bCs/>
                      <w:color w:val="auto"/>
                      <w:kern w:val="0"/>
                      <w:sz w:val="21"/>
                      <w:szCs w:val="21"/>
                      <w:highlight w:val="none"/>
                      <w:u w:val="single" w:color="auto"/>
                      <w:lang w:val="en-US" w:eastAsia="zh-CN"/>
                    </w:rPr>
                  </w:pPr>
                </w:p>
              </w:tc>
              <w:tc>
                <w:tcPr>
                  <w:tcW w:w="915" w:type="dxa"/>
                  <w:noWrap w:val="0"/>
                  <w:vAlign w:val="center"/>
                </w:tcPr>
                <w:p>
                  <w:pPr>
                    <w:topLinePunct/>
                    <w:adjustRightInd w:val="0"/>
                    <w:snapToGrid w:val="0"/>
                    <w:jc w:val="center"/>
                    <w:rPr>
                      <w:rFonts w:hint="default" w:ascii="Times New Roman" w:hAnsi="Times New Roman" w:eastAsia="宋体" w:cs="Times New Roman"/>
                      <w:bCs/>
                      <w:color w:val="auto"/>
                      <w:kern w:val="0"/>
                      <w:sz w:val="21"/>
                      <w:szCs w:val="21"/>
                      <w:highlight w:val="none"/>
                      <w:u w:val="single" w:color="auto"/>
                      <w:lang w:val="en-US" w:eastAsia="zh-CN" w:bidi="ar"/>
                    </w:rPr>
                  </w:pPr>
                  <w:r>
                    <w:rPr>
                      <w:rFonts w:hint="eastAsia" w:cs="Times New Roman"/>
                      <w:bCs/>
                      <w:color w:val="auto"/>
                      <w:kern w:val="0"/>
                      <w:sz w:val="21"/>
                      <w:szCs w:val="21"/>
                      <w:highlight w:val="none"/>
                      <w:u w:val="single" w:color="auto"/>
                      <w:lang w:val="en-US" w:eastAsia="zh-CN" w:bidi="ar"/>
                    </w:rPr>
                    <w:t>10.715</w:t>
                  </w:r>
                </w:p>
              </w:tc>
              <w:tc>
                <w:tcPr>
                  <w:tcW w:w="1645"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noWrap w:val="0"/>
                  <w:vAlign w:val="center"/>
                </w:tcPr>
                <w:p>
                  <w:pPr>
                    <w:topLinePunct/>
                    <w:adjustRightInd w:val="0"/>
                    <w:snapToGrid w:val="0"/>
                    <w:jc w:val="center"/>
                    <w:rPr>
                      <w:rFonts w:hint="eastAsia" w:ascii="Times New Roman" w:hAnsi="Times New Roman" w:eastAsia="宋体" w:cs="Times New Roman"/>
                      <w:bCs/>
                      <w:color w:val="auto"/>
                      <w:kern w:val="0"/>
                      <w:sz w:val="21"/>
                      <w:szCs w:val="21"/>
                      <w:highlight w:val="none"/>
                      <w:u w:val="none" w:color="auto"/>
                      <w:lang w:eastAsia="zh-CN" w:bidi="ar"/>
                    </w:rPr>
                  </w:pPr>
                  <w:r>
                    <w:rPr>
                      <w:rFonts w:hint="eastAsia" w:cs="Times New Roman"/>
                      <w:bCs/>
                      <w:color w:val="auto"/>
                      <w:kern w:val="0"/>
                      <w:sz w:val="21"/>
                      <w:szCs w:val="21"/>
                      <w:highlight w:val="none"/>
                      <w:u w:val="none" w:color="auto"/>
                      <w:lang w:eastAsia="zh-CN" w:bidi="ar"/>
                    </w:rPr>
                    <w:t>涂膜工序</w:t>
                  </w:r>
                </w:p>
              </w:tc>
              <w:tc>
                <w:tcPr>
                  <w:tcW w:w="1177"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bidi="zh-CN"/>
                    </w:rPr>
                  </w:pPr>
                  <w:r>
                    <w:rPr>
                      <w:rFonts w:hint="eastAsia" w:ascii="Times New Roman" w:hAnsi="Times New Roman" w:eastAsia="宋体" w:cs="Times New Roman"/>
                      <w:color w:val="auto"/>
                      <w:sz w:val="21"/>
                      <w:szCs w:val="21"/>
                      <w:highlight w:val="none"/>
                      <w:u w:val="none" w:color="auto"/>
                      <w:lang w:bidi="zh-CN"/>
                    </w:rPr>
                    <w:t>涂膜渣</w:t>
                  </w:r>
                </w:p>
              </w:tc>
              <w:tc>
                <w:tcPr>
                  <w:tcW w:w="698" w:type="dxa"/>
                  <w:vMerge w:val="continue"/>
                  <w:noWrap w:val="0"/>
                  <w:vAlign w:val="center"/>
                </w:tcPr>
                <w:p>
                  <w:pPr>
                    <w:jc w:val="center"/>
                    <w:rPr>
                      <w:bCs/>
                      <w:color w:val="auto"/>
                      <w:sz w:val="21"/>
                      <w:szCs w:val="21"/>
                      <w:highlight w:val="none"/>
                      <w:u w:val="none" w:color="auto"/>
                      <w:lang w:bidi="ar"/>
                    </w:rPr>
                  </w:pPr>
                </w:p>
              </w:tc>
              <w:tc>
                <w:tcPr>
                  <w:tcW w:w="1472"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336</w:t>
                  </w:r>
                  <w:r>
                    <w:rPr>
                      <w:rFonts w:hint="eastAsia" w:ascii="Times New Roman" w:hAnsi="Times New Roman" w:eastAsia="宋体" w:cs="Times New Roman"/>
                      <w:color w:val="auto"/>
                      <w:sz w:val="21"/>
                      <w:szCs w:val="21"/>
                      <w:highlight w:val="none"/>
                      <w:u w:val="none" w:color="auto"/>
                      <w:lang w:val="en-US" w:eastAsia="zh-CN" w:bidi="ar"/>
                    </w:rPr>
                    <w:t>-999-99</w:t>
                  </w:r>
                </w:p>
              </w:tc>
              <w:tc>
                <w:tcPr>
                  <w:tcW w:w="793" w:type="dxa"/>
                  <w:noWrap w:val="0"/>
                  <w:vAlign w:val="center"/>
                </w:tcPr>
                <w:p>
                  <w:pPr>
                    <w:topLinePunct/>
                    <w:adjustRightInd w:val="0"/>
                    <w:snapToGrid w:val="0"/>
                    <w:jc w:val="center"/>
                    <w:rPr>
                      <w:rFonts w:hint="default" w:eastAsia="宋体"/>
                      <w:bCs/>
                      <w:color w:val="auto"/>
                      <w:sz w:val="21"/>
                      <w:szCs w:val="21"/>
                      <w:highlight w:val="none"/>
                      <w:u w:val="none" w:color="auto"/>
                      <w:lang w:val="en-US" w:eastAsia="zh-CN"/>
                    </w:rPr>
                  </w:pPr>
                  <w:r>
                    <w:rPr>
                      <w:rFonts w:hint="eastAsia" w:eastAsia="宋体"/>
                      <w:bCs/>
                      <w:color w:val="auto"/>
                      <w:sz w:val="21"/>
                      <w:szCs w:val="21"/>
                      <w:highlight w:val="none"/>
                      <w:u w:val="none" w:color="auto"/>
                      <w:lang w:val="en-US" w:eastAsia="zh-CN"/>
                    </w:rPr>
                    <w:t>/</w:t>
                  </w:r>
                </w:p>
              </w:tc>
              <w:tc>
                <w:tcPr>
                  <w:tcW w:w="1078" w:type="dxa"/>
                  <w:vMerge w:val="continue"/>
                  <w:noWrap w:val="0"/>
                  <w:vAlign w:val="center"/>
                </w:tcPr>
                <w:p>
                  <w:pPr>
                    <w:topLinePunct/>
                    <w:adjustRightInd w:val="0"/>
                    <w:snapToGrid w:val="0"/>
                    <w:jc w:val="center"/>
                    <w:rPr>
                      <w:rFonts w:hint="default" w:eastAsia="宋体"/>
                      <w:bCs/>
                      <w:color w:val="auto"/>
                      <w:kern w:val="0"/>
                      <w:sz w:val="21"/>
                      <w:szCs w:val="21"/>
                      <w:highlight w:val="none"/>
                      <w:u w:val="none" w:color="auto"/>
                      <w:lang w:val="en-US" w:eastAsia="zh-CN"/>
                    </w:rPr>
                  </w:pPr>
                </w:p>
              </w:tc>
              <w:tc>
                <w:tcPr>
                  <w:tcW w:w="915" w:type="dxa"/>
                  <w:noWrap w:val="0"/>
                  <w:vAlign w:val="center"/>
                </w:tcPr>
                <w:p>
                  <w:pPr>
                    <w:topLinePunct/>
                    <w:adjustRightInd w:val="0"/>
                    <w:snapToGrid w:val="0"/>
                    <w:jc w:val="center"/>
                    <w:rPr>
                      <w:rFonts w:hint="default" w:ascii="Times New Roman" w:hAnsi="Times New Roman" w:eastAsia="宋体" w:cs="Times New Roman"/>
                      <w:bCs/>
                      <w:color w:val="auto"/>
                      <w:kern w:val="0"/>
                      <w:sz w:val="21"/>
                      <w:szCs w:val="21"/>
                      <w:highlight w:val="none"/>
                      <w:u w:val="none" w:color="auto"/>
                      <w:lang w:val="en-US" w:eastAsia="zh-CN" w:bidi="ar"/>
                    </w:rPr>
                  </w:pPr>
                  <w:r>
                    <w:rPr>
                      <w:rFonts w:hint="eastAsia" w:cs="Times New Roman"/>
                      <w:bCs/>
                      <w:color w:val="auto"/>
                      <w:kern w:val="0"/>
                      <w:sz w:val="21"/>
                      <w:szCs w:val="21"/>
                      <w:highlight w:val="none"/>
                      <w:u w:val="none" w:color="auto"/>
                      <w:lang w:val="en-US" w:eastAsia="zh-CN" w:bidi="ar"/>
                    </w:rPr>
                    <w:t>0.01</w:t>
                  </w:r>
                </w:p>
              </w:tc>
              <w:tc>
                <w:tcPr>
                  <w:tcW w:w="1645"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noWrap w:val="0"/>
                  <w:vAlign w:val="center"/>
                </w:tcPr>
                <w:p>
                  <w:pPr>
                    <w:topLinePunct/>
                    <w:adjustRightInd w:val="0"/>
                    <w:snapToGrid w:val="0"/>
                    <w:jc w:val="center"/>
                    <w:rPr>
                      <w:rFonts w:hint="eastAsia" w:cs="Times New Roman"/>
                      <w:bCs/>
                      <w:color w:val="auto"/>
                      <w:kern w:val="0"/>
                      <w:sz w:val="21"/>
                      <w:szCs w:val="21"/>
                      <w:highlight w:val="none"/>
                      <w:u w:val="none" w:color="auto"/>
                      <w:lang w:eastAsia="zh-CN" w:bidi="ar"/>
                    </w:rPr>
                  </w:pPr>
                  <w:r>
                    <w:rPr>
                      <w:rFonts w:hint="eastAsia" w:cs="Times New Roman"/>
                      <w:bCs/>
                      <w:color w:val="auto"/>
                      <w:kern w:val="0"/>
                      <w:sz w:val="21"/>
                      <w:szCs w:val="21"/>
                      <w:highlight w:val="none"/>
                      <w:u w:val="none" w:color="auto"/>
                      <w:lang w:eastAsia="zh-CN" w:bidi="ar"/>
                    </w:rPr>
                    <w:t>注塑工序</w:t>
                  </w:r>
                </w:p>
              </w:tc>
              <w:tc>
                <w:tcPr>
                  <w:tcW w:w="1177"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bidi="zh-CN"/>
                    </w:rPr>
                  </w:pPr>
                  <w:r>
                    <w:rPr>
                      <w:rFonts w:hint="eastAsia" w:cs="Times New Roman"/>
                      <w:color w:val="auto"/>
                      <w:sz w:val="21"/>
                      <w:szCs w:val="21"/>
                      <w:highlight w:val="none"/>
                      <w:u w:val="none" w:color="auto"/>
                      <w:lang w:bidi="zh-CN"/>
                    </w:rPr>
                    <w:t>废塑料边角料</w:t>
                  </w:r>
                </w:p>
              </w:tc>
              <w:tc>
                <w:tcPr>
                  <w:tcW w:w="698" w:type="dxa"/>
                  <w:vMerge w:val="continue"/>
                  <w:noWrap w:val="0"/>
                  <w:vAlign w:val="center"/>
                </w:tcPr>
                <w:p>
                  <w:pPr>
                    <w:jc w:val="center"/>
                    <w:rPr>
                      <w:bCs/>
                      <w:color w:val="auto"/>
                      <w:sz w:val="21"/>
                      <w:szCs w:val="21"/>
                      <w:highlight w:val="none"/>
                      <w:u w:val="none" w:color="auto"/>
                      <w:lang w:bidi="ar"/>
                    </w:rPr>
                  </w:pPr>
                </w:p>
              </w:tc>
              <w:tc>
                <w:tcPr>
                  <w:tcW w:w="1472" w:type="dxa"/>
                  <w:noWrap w:val="0"/>
                  <w:vAlign w:val="center"/>
                </w:tcPr>
                <w:p>
                  <w:pPr>
                    <w:topLinePunct/>
                    <w:adjustRightInd w:val="0"/>
                    <w:snapToGrid w:val="0"/>
                    <w:jc w:val="center"/>
                    <w:rPr>
                      <w:rFonts w:hint="default"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900-033-S17</w:t>
                  </w:r>
                </w:p>
              </w:tc>
              <w:tc>
                <w:tcPr>
                  <w:tcW w:w="793" w:type="dxa"/>
                  <w:noWrap w:val="0"/>
                  <w:vAlign w:val="center"/>
                </w:tcPr>
                <w:p>
                  <w:pPr>
                    <w:topLinePunct/>
                    <w:adjustRightInd w:val="0"/>
                    <w:snapToGrid w:val="0"/>
                    <w:jc w:val="center"/>
                    <w:rPr>
                      <w:rFonts w:hint="default" w:eastAsia="宋体"/>
                      <w:bCs/>
                      <w:color w:val="auto"/>
                      <w:sz w:val="21"/>
                      <w:szCs w:val="21"/>
                      <w:highlight w:val="none"/>
                      <w:u w:val="none" w:color="auto"/>
                      <w:lang w:val="en-US" w:eastAsia="zh-CN"/>
                    </w:rPr>
                  </w:pPr>
                  <w:r>
                    <w:rPr>
                      <w:rFonts w:hint="eastAsia"/>
                      <w:bCs/>
                      <w:color w:val="auto"/>
                      <w:sz w:val="21"/>
                      <w:szCs w:val="21"/>
                      <w:highlight w:val="none"/>
                      <w:u w:val="none" w:color="auto"/>
                      <w:lang w:val="en-US" w:eastAsia="zh-CN"/>
                    </w:rPr>
                    <w:t>/</w:t>
                  </w:r>
                </w:p>
              </w:tc>
              <w:tc>
                <w:tcPr>
                  <w:tcW w:w="1078" w:type="dxa"/>
                  <w:noWrap w:val="0"/>
                  <w:vAlign w:val="center"/>
                </w:tcPr>
                <w:p>
                  <w:pPr>
                    <w:topLinePunct/>
                    <w:adjustRightInd w:val="0"/>
                    <w:snapToGrid w:val="0"/>
                    <w:jc w:val="center"/>
                    <w:rPr>
                      <w:rFonts w:hint="default" w:eastAsia="宋体"/>
                      <w:bCs/>
                      <w:color w:val="auto"/>
                      <w:kern w:val="0"/>
                      <w:sz w:val="21"/>
                      <w:szCs w:val="21"/>
                      <w:highlight w:val="none"/>
                      <w:u w:val="none" w:color="auto"/>
                      <w:lang w:val="en-US" w:eastAsia="zh-CN"/>
                    </w:rPr>
                  </w:pPr>
                  <w:r>
                    <w:rPr>
                      <w:rFonts w:hint="eastAsia"/>
                      <w:bCs/>
                      <w:color w:val="auto"/>
                      <w:kern w:val="0"/>
                      <w:sz w:val="21"/>
                      <w:szCs w:val="21"/>
                      <w:highlight w:val="none"/>
                      <w:u w:val="none" w:color="auto"/>
                      <w:lang w:val="en-US" w:eastAsia="zh-CN"/>
                    </w:rPr>
                    <w:t>/</w:t>
                  </w:r>
                </w:p>
              </w:tc>
              <w:tc>
                <w:tcPr>
                  <w:tcW w:w="915" w:type="dxa"/>
                  <w:noWrap w:val="0"/>
                  <w:vAlign w:val="center"/>
                </w:tcPr>
                <w:p>
                  <w:pPr>
                    <w:topLinePunct/>
                    <w:adjustRightInd w:val="0"/>
                    <w:snapToGrid w:val="0"/>
                    <w:jc w:val="center"/>
                    <w:rPr>
                      <w:rFonts w:hint="default" w:cs="Times New Roman"/>
                      <w:bCs/>
                      <w:color w:val="auto"/>
                      <w:kern w:val="0"/>
                      <w:sz w:val="21"/>
                      <w:szCs w:val="21"/>
                      <w:highlight w:val="none"/>
                      <w:u w:val="none" w:color="auto"/>
                      <w:lang w:val="en-US" w:eastAsia="zh-CN" w:bidi="ar"/>
                    </w:rPr>
                  </w:pPr>
                  <w:r>
                    <w:rPr>
                      <w:rFonts w:hint="eastAsia" w:cs="Times New Roman"/>
                      <w:bCs/>
                      <w:color w:val="auto"/>
                      <w:kern w:val="0"/>
                      <w:sz w:val="21"/>
                      <w:szCs w:val="21"/>
                      <w:highlight w:val="none"/>
                      <w:u w:val="none" w:color="auto"/>
                      <w:lang w:val="en-US" w:eastAsia="zh-CN" w:bidi="ar"/>
                    </w:rPr>
                    <w:t>0.01</w:t>
                  </w:r>
                </w:p>
              </w:tc>
              <w:tc>
                <w:tcPr>
                  <w:tcW w:w="1645"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dxa"/>
                  <w:noWrap w:val="0"/>
                  <w:vAlign w:val="center"/>
                </w:tcPr>
                <w:p>
                  <w:pPr>
                    <w:topLinePunct/>
                    <w:adjustRightInd w:val="0"/>
                    <w:snapToGrid w:val="0"/>
                    <w:jc w:val="center"/>
                    <w:rPr>
                      <w:rFonts w:hint="default" w:cs="Times New Roman"/>
                      <w:bCs/>
                      <w:color w:val="auto"/>
                      <w:kern w:val="0"/>
                      <w:sz w:val="21"/>
                      <w:szCs w:val="21"/>
                      <w:highlight w:val="none"/>
                      <w:u w:val="none" w:color="auto"/>
                      <w:lang w:val="en-US" w:eastAsia="zh-CN" w:bidi="ar"/>
                    </w:rPr>
                  </w:pPr>
                  <w:r>
                    <w:rPr>
                      <w:rFonts w:hint="eastAsia" w:cs="Times New Roman"/>
                      <w:bCs/>
                      <w:color w:val="auto"/>
                      <w:kern w:val="0"/>
                      <w:sz w:val="21"/>
                      <w:szCs w:val="21"/>
                      <w:highlight w:val="none"/>
                      <w:u w:val="none" w:color="auto"/>
                      <w:lang w:val="en-US" w:eastAsia="zh-CN" w:bidi="ar"/>
                    </w:rPr>
                    <w:t>退火工序</w:t>
                  </w:r>
                </w:p>
              </w:tc>
              <w:tc>
                <w:tcPr>
                  <w:tcW w:w="1177" w:type="dxa"/>
                  <w:noWrap w:val="0"/>
                  <w:vAlign w:val="center"/>
                </w:tcPr>
                <w:p>
                  <w:pPr>
                    <w:topLinePunct/>
                    <w:adjustRightInd w:val="0"/>
                    <w:snapToGrid w:val="0"/>
                    <w:jc w:val="center"/>
                    <w:rPr>
                      <w:rFonts w:hint="eastAsia" w:cs="Times New Roman"/>
                      <w:color w:val="auto"/>
                      <w:sz w:val="21"/>
                      <w:szCs w:val="21"/>
                      <w:highlight w:val="none"/>
                      <w:u w:val="none" w:color="auto"/>
                      <w:lang w:bidi="zh-CN"/>
                    </w:rPr>
                  </w:pPr>
                  <w:r>
                    <w:rPr>
                      <w:rFonts w:hint="eastAsia" w:cs="Times New Roman"/>
                      <w:color w:val="auto"/>
                      <w:sz w:val="21"/>
                      <w:szCs w:val="21"/>
                      <w:highlight w:val="none"/>
                      <w:u w:val="none" w:color="auto"/>
                      <w:lang w:bidi="zh-CN"/>
                    </w:rPr>
                    <w:t>废分子筛</w:t>
                  </w:r>
                </w:p>
              </w:tc>
              <w:tc>
                <w:tcPr>
                  <w:tcW w:w="698" w:type="dxa"/>
                  <w:vMerge w:val="continue"/>
                  <w:noWrap w:val="0"/>
                  <w:vAlign w:val="center"/>
                </w:tcPr>
                <w:p>
                  <w:pPr>
                    <w:jc w:val="center"/>
                    <w:rPr>
                      <w:bCs/>
                      <w:color w:val="auto"/>
                      <w:sz w:val="21"/>
                      <w:szCs w:val="21"/>
                      <w:highlight w:val="none"/>
                      <w:u w:val="none" w:color="auto"/>
                      <w:lang w:bidi="ar"/>
                    </w:rPr>
                  </w:pPr>
                </w:p>
              </w:tc>
              <w:tc>
                <w:tcPr>
                  <w:tcW w:w="1472" w:type="dxa"/>
                  <w:noWrap w:val="0"/>
                  <w:vAlign w:val="center"/>
                </w:tcPr>
                <w:p>
                  <w:pPr>
                    <w:topLinePunct/>
                    <w:adjustRightInd w:val="0"/>
                    <w:snapToGrid w:val="0"/>
                    <w:jc w:val="center"/>
                    <w:rPr>
                      <w:rFonts w:hint="eastAsia" w:ascii="Times New Roman" w:hAnsi="Times New Roman" w:eastAsia="宋体" w:cs="Times New Roman"/>
                      <w:bCs/>
                      <w:color w:val="auto"/>
                      <w:kern w:val="0"/>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336</w:t>
                  </w:r>
                  <w:r>
                    <w:rPr>
                      <w:rFonts w:hint="eastAsia" w:ascii="Times New Roman" w:hAnsi="Times New Roman" w:eastAsia="宋体" w:cs="Times New Roman"/>
                      <w:color w:val="auto"/>
                      <w:sz w:val="21"/>
                      <w:szCs w:val="21"/>
                      <w:highlight w:val="none"/>
                      <w:u w:val="none" w:color="auto"/>
                      <w:lang w:val="en-US" w:eastAsia="zh-CN" w:bidi="ar"/>
                    </w:rPr>
                    <w:t>-999-99</w:t>
                  </w:r>
                </w:p>
              </w:tc>
              <w:tc>
                <w:tcPr>
                  <w:tcW w:w="793" w:type="dxa"/>
                  <w:noWrap w:val="0"/>
                  <w:vAlign w:val="center"/>
                </w:tcPr>
                <w:p>
                  <w:pPr>
                    <w:topLinePunct/>
                    <w:adjustRightInd w:val="0"/>
                    <w:snapToGrid w:val="0"/>
                    <w:jc w:val="center"/>
                    <w:rPr>
                      <w:rFonts w:hint="default"/>
                      <w:bCs/>
                      <w:color w:val="auto"/>
                      <w:sz w:val="21"/>
                      <w:szCs w:val="21"/>
                      <w:highlight w:val="none"/>
                      <w:u w:val="none" w:color="auto"/>
                      <w:lang w:val="en-US" w:eastAsia="zh-CN"/>
                    </w:rPr>
                  </w:pPr>
                  <w:r>
                    <w:rPr>
                      <w:rFonts w:hint="eastAsia"/>
                      <w:bCs/>
                      <w:color w:val="auto"/>
                      <w:sz w:val="21"/>
                      <w:szCs w:val="21"/>
                      <w:highlight w:val="none"/>
                      <w:u w:val="none" w:color="auto"/>
                      <w:lang w:val="en-US" w:eastAsia="zh-CN"/>
                    </w:rPr>
                    <w:t>/</w:t>
                  </w:r>
                </w:p>
              </w:tc>
              <w:tc>
                <w:tcPr>
                  <w:tcW w:w="1078" w:type="dxa"/>
                  <w:noWrap w:val="0"/>
                  <w:vAlign w:val="center"/>
                </w:tcPr>
                <w:p>
                  <w:pPr>
                    <w:topLinePunct/>
                    <w:adjustRightInd w:val="0"/>
                    <w:snapToGrid w:val="0"/>
                    <w:jc w:val="center"/>
                    <w:rPr>
                      <w:rFonts w:hint="eastAsia"/>
                      <w:bCs/>
                      <w:color w:val="auto"/>
                      <w:kern w:val="0"/>
                      <w:sz w:val="21"/>
                      <w:szCs w:val="21"/>
                      <w:highlight w:val="none"/>
                      <w:u w:val="none" w:color="auto"/>
                      <w:lang w:val="en-US" w:eastAsia="zh-CN"/>
                    </w:rPr>
                  </w:pPr>
                  <w:r>
                    <w:rPr>
                      <w:rFonts w:hint="eastAsia" w:eastAsia="宋体"/>
                      <w:bCs/>
                      <w:color w:val="auto"/>
                      <w:kern w:val="0"/>
                      <w:sz w:val="21"/>
                      <w:szCs w:val="21"/>
                      <w:highlight w:val="none"/>
                      <w:u w:val="none" w:color="auto"/>
                      <w:lang w:val="en-US" w:eastAsia="zh-CN"/>
                    </w:rPr>
                    <w:t>一般固废暂存间</w:t>
                  </w:r>
                </w:p>
              </w:tc>
              <w:tc>
                <w:tcPr>
                  <w:tcW w:w="915" w:type="dxa"/>
                  <w:noWrap w:val="0"/>
                  <w:vAlign w:val="center"/>
                </w:tcPr>
                <w:p>
                  <w:pPr>
                    <w:topLinePunct/>
                    <w:adjustRightInd w:val="0"/>
                    <w:snapToGrid w:val="0"/>
                    <w:jc w:val="center"/>
                    <w:rPr>
                      <w:rFonts w:hint="default" w:cs="Times New Roman"/>
                      <w:bCs/>
                      <w:color w:val="auto"/>
                      <w:kern w:val="0"/>
                      <w:sz w:val="21"/>
                      <w:szCs w:val="21"/>
                      <w:highlight w:val="none"/>
                      <w:u w:val="none" w:color="auto"/>
                      <w:lang w:val="en-US" w:eastAsia="zh-CN" w:bidi="ar"/>
                    </w:rPr>
                  </w:pPr>
                  <w:r>
                    <w:rPr>
                      <w:rFonts w:hint="eastAsia" w:cs="Times New Roman"/>
                      <w:bCs/>
                      <w:color w:val="auto"/>
                      <w:kern w:val="0"/>
                      <w:sz w:val="21"/>
                      <w:szCs w:val="21"/>
                      <w:highlight w:val="none"/>
                      <w:u w:val="none" w:color="auto"/>
                      <w:lang w:val="en-US" w:eastAsia="zh-CN" w:bidi="ar"/>
                    </w:rPr>
                    <w:t>0.1</w:t>
                  </w:r>
                </w:p>
              </w:tc>
              <w:tc>
                <w:tcPr>
                  <w:tcW w:w="1645" w:type="dxa"/>
                  <w:noWrap w:val="0"/>
                  <w:vAlign w:val="center"/>
                </w:tcPr>
                <w:p>
                  <w:pPr>
                    <w:topLinePunct/>
                    <w:adjustRightInd w:val="0"/>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收集后由厂家回收利用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7" w:type="dxa"/>
                  <w:vMerge w:val="restart"/>
                  <w:noWrap w:val="0"/>
                  <w:vAlign w:val="center"/>
                </w:tcPr>
                <w:p>
                  <w:pPr>
                    <w:jc w:val="center"/>
                    <w:rPr>
                      <w:rFonts w:hint="eastAsia"/>
                      <w:color w:val="auto"/>
                      <w:sz w:val="21"/>
                      <w:szCs w:val="21"/>
                      <w:highlight w:val="none"/>
                      <w:u w:val="none" w:color="auto"/>
                      <w:lang w:val="en-US" w:eastAsia="zh-CN" w:bidi="ar"/>
                    </w:rPr>
                  </w:pPr>
                  <w:r>
                    <w:rPr>
                      <w:rFonts w:hint="eastAsia"/>
                      <w:color w:val="auto"/>
                      <w:sz w:val="21"/>
                      <w:szCs w:val="21"/>
                      <w:highlight w:val="none"/>
                      <w:u w:val="none" w:color="auto"/>
                      <w:lang w:val="en-US" w:eastAsia="zh-CN" w:bidi="ar"/>
                    </w:rPr>
                    <w:t>设备维修及维护</w:t>
                  </w:r>
                </w:p>
              </w:tc>
              <w:tc>
                <w:tcPr>
                  <w:tcW w:w="1177"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废抹布</w:t>
                  </w:r>
                </w:p>
              </w:tc>
              <w:tc>
                <w:tcPr>
                  <w:tcW w:w="698" w:type="dxa"/>
                  <w:vMerge w:val="restar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危险废物</w:t>
                  </w:r>
                </w:p>
              </w:tc>
              <w:tc>
                <w:tcPr>
                  <w:tcW w:w="1472"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HW49</w:t>
                  </w:r>
                </w:p>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900-041-49</w:t>
                  </w:r>
                </w:p>
              </w:tc>
              <w:tc>
                <w:tcPr>
                  <w:tcW w:w="793" w:type="dxa"/>
                  <w:noWrap w:val="0"/>
                  <w:vAlign w:val="center"/>
                </w:tcPr>
                <w:p>
                  <w:pPr>
                    <w:jc w:val="center"/>
                    <w:rPr>
                      <w:rFonts w:hint="eastAsia"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袋装</w:t>
                  </w:r>
                </w:p>
              </w:tc>
              <w:tc>
                <w:tcPr>
                  <w:tcW w:w="1078" w:type="dxa"/>
                  <w:vMerge w:val="restart"/>
                  <w:noWrap w:val="0"/>
                  <w:vAlign w:val="center"/>
                </w:tcPr>
                <w:p>
                  <w:pPr>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危废暂存间</w:t>
                  </w:r>
                </w:p>
              </w:tc>
              <w:tc>
                <w:tcPr>
                  <w:tcW w:w="915"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0.02</w:t>
                  </w:r>
                </w:p>
              </w:tc>
              <w:tc>
                <w:tcPr>
                  <w:tcW w:w="1645" w:type="dxa"/>
                  <w:vMerge w:val="restart"/>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kern w:val="2"/>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bidi="ar"/>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Merge w:val="continue"/>
                  <w:noWrap w:val="0"/>
                  <w:vAlign w:val="center"/>
                </w:tcPr>
                <w:p>
                  <w:pPr>
                    <w:jc w:val="center"/>
                    <w:rPr>
                      <w:rFonts w:hint="eastAsia"/>
                      <w:color w:val="auto"/>
                      <w:sz w:val="21"/>
                      <w:szCs w:val="21"/>
                      <w:highlight w:val="none"/>
                      <w:u w:val="none" w:color="auto"/>
                      <w:lang w:val="en-US" w:eastAsia="zh-CN" w:bidi="ar"/>
                    </w:rPr>
                  </w:pPr>
                </w:p>
              </w:tc>
              <w:tc>
                <w:tcPr>
                  <w:tcW w:w="1177"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废机油</w:t>
                  </w:r>
                </w:p>
              </w:tc>
              <w:tc>
                <w:tcPr>
                  <w:tcW w:w="698"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p>
              </w:tc>
              <w:tc>
                <w:tcPr>
                  <w:tcW w:w="1472" w:type="dxa"/>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sz w:val="21"/>
                      <w:szCs w:val="21"/>
                      <w:highlight w:val="none"/>
                      <w:u w:val="none" w:color="auto"/>
                      <w:lang w:val="en-US" w:eastAsia="zh-CN" w:bidi="ar"/>
                    </w:rPr>
                  </w:pPr>
                  <w:r>
                    <w:rPr>
                      <w:rFonts w:ascii="Times New Roman" w:hAnsi="Times New Roman"/>
                      <w:color w:val="auto"/>
                      <w:sz w:val="21"/>
                      <w:szCs w:val="21"/>
                      <w:highlight w:val="none"/>
                      <w:u w:val="none" w:color="auto"/>
                      <w:lang w:val="en-US" w:eastAsia="zh-CN" w:bidi="ar"/>
                    </w:rPr>
                    <w:t>HW08</w:t>
                  </w:r>
                </w:p>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olor w:val="auto"/>
                      <w:sz w:val="21"/>
                      <w:szCs w:val="21"/>
                      <w:highlight w:val="none"/>
                      <w:u w:val="none" w:color="auto"/>
                      <w:lang w:val="en-US" w:eastAsia="zh-CN" w:bidi="ar"/>
                    </w:rPr>
                  </w:pPr>
                  <w:r>
                    <w:rPr>
                      <w:rFonts w:hint="default" w:ascii="Times New Roman" w:hAnsi="Times New Roman" w:cs="Times New Roman"/>
                      <w:color w:val="auto"/>
                      <w:sz w:val="21"/>
                      <w:szCs w:val="21"/>
                      <w:highlight w:val="none"/>
                      <w:u w:val="none" w:color="auto"/>
                    </w:rPr>
                    <w:t>900-249-08</w:t>
                  </w:r>
                </w:p>
              </w:tc>
              <w:tc>
                <w:tcPr>
                  <w:tcW w:w="793" w:type="dxa"/>
                  <w:noWrap w:val="0"/>
                  <w:vAlign w:val="center"/>
                </w:tcPr>
                <w:p>
                  <w:pPr>
                    <w:jc w:val="center"/>
                    <w:rPr>
                      <w:rFonts w:hint="eastAsia"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桶装</w:t>
                  </w:r>
                </w:p>
              </w:tc>
              <w:tc>
                <w:tcPr>
                  <w:tcW w:w="1078" w:type="dxa"/>
                  <w:vMerge w:val="continue"/>
                  <w:noWrap w:val="0"/>
                  <w:vAlign w:val="center"/>
                </w:tcPr>
                <w:p>
                  <w:pPr>
                    <w:jc w:val="center"/>
                    <w:rPr>
                      <w:rFonts w:hint="eastAsia"/>
                      <w:color w:val="auto"/>
                      <w:sz w:val="21"/>
                      <w:szCs w:val="21"/>
                      <w:highlight w:val="none"/>
                      <w:u w:val="none" w:color="auto"/>
                      <w:lang w:val="en-US" w:eastAsia="zh-CN"/>
                    </w:rPr>
                  </w:pPr>
                </w:p>
              </w:tc>
              <w:tc>
                <w:tcPr>
                  <w:tcW w:w="915"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hint="eastAsia" w:ascii="Times New Roman" w:hAnsi="Times New Roman"/>
                      <w:color w:val="auto"/>
                      <w:sz w:val="21"/>
                      <w:szCs w:val="21"/>
                      <w:highlight w:val="none"/>
                      <w:u w:val="none" w:color="auto"/>
                      <w:lang w:val="en-US" w:eastAsia="zh-CN" w:bidi="ar"/>
                    </w:rPr>
                    <w:t>0.1</w:t>
                  </w:r>
                </w:p>
              </w:tc>
              <w:tc>
                <w:tcPr>
                  <w:tcW w:w="1645"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kern w:val="2"/>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noWrap w:val="0"/>
                  <w:vAlign w:val="center"/>
                </w:tcPr>
                <w:p>
                  <w:pPr>
                    <w:jc w:val="center"/>
                    <w:rPr>
                      <w:rFonts w:hint="eastAsia"/>
                      <w:color w:val="auto"/>
                      <w:sz w:val="21"/>
                      <w:szCs w:val="21"/>
                      <w:highlight w:val="none"/>
                      <w:u w:val="none" w:color="auto"/>
                      <w:lang w:val="en-US" w:eastAsia="zh-CN" w:bidi="ar"/>
                    </w:rPr>
                  </w:pPr>
                  <w:r>
                    <w:rPr>
                      <w:rFonts w:hint="eastAsia"/>
                      <w:color w:val="auto"/>
                      <w:sz w:val="21"/>
                      <w:szCs w:val="21"/>
                      <w:highlight w:val="none"/>
                      <w:u w:val="none" w:color="auto"/>
                      <w:lang w:val="en-US" w:eastAsia="zh-CN" w:bidi="ar"/>
                    </w:rPr>
                    <w:t>废水处理设施</w:t>
                  </w:r>
                </w:p>
              </w:tc>
              <w:tc>
                <w:tcPr>
                  <w:tcW w:w="1177"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污泥</w:t>
                  </w:r>
                </w:p>
              </w:tc>
              <w:tc>
                <w:tcPr>
                  <w:tcW w:w="698"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p>
              </w:tc>
              <w:tc>
                <w:tcPr>
                  <w:tcW w:w="1472"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HW17</w:t>
                  </w:r>
                </w:p>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336-064-17</w:t>
                  </w:r>
                </w:p>
              </w:tc>
              <w:tc>
                <w:tcPr>
                  <w:tcW w:w="793" w:type="dxa"/>
                  <w:noWrap w:val="0"/>
                  <w:vAlign w:val="center"/>
                </w:tcPr>
                <w:p>
                  <w:pPr>
                    <w:jc w:val="center"/>
                    <w:rPr>
                      <w:rFonts w:hint="eastAsia" w:ascii="Times New Roman" w:hAnsi="Times New Roman"/>
                      <w:color w:val="auto"/>
                      <w:sz w:val="21"/>
                      <w:szCs w:val="21"/>
                      <w:highlight w:val="none"/>
                      <w:u w:val="none" w:color="auto"/>
                      <w:lang w:val="en-US" w:eastAsia="zh-CN" w:bidi="ar"/>
                    </w:rPr>
                  </w:pPr>
                  <w:r>
                    <w:rPr>
                      <w:rFonts w:hint="eastAsia"/>
                      <w:color w:val="auto"/>
                      <w:sz w:val="21"/>
                      <w:szCs w:val="21"/>
                      <w:highlight w:val="none"/>
                      <w:u w:val="none" w:color="auto"/>
                      <w:lang w:val="en-US" w:eastAsia="zh-CN" w:bidi="ar"/>
                    </w:rPr>
                    <w:t>袋装</w:t>
                  </w:r>
                </w:p>
              </w:tc>
              <w:tc>
                <w:tcPr>
                  <w:tcW w:w="1078" w:type="dxa"/>
                  <w:noWrap w:val="0"/>
                  <w:vAlign w:val="center"/>
                </w:tcPr>
                <w:p>
                  <w:pPr>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污泥暂存间</w:t>
                  </w:r>
                </w:p>
              </w:tc>
              <w:tc>
                <w:tcPr>
                  <w:tcW w:w="915"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hint="eastAsia" w:ascii="Times New Roman" w:hAnsi="Times New Roman" w:cs="Times New Roman"/>
                      <w:i w:val="0"/>
                      <w:iCs w:val="0"/>
                      <w:color w:val="auto"/>
                      <w:kern w:val="0"/>
                      <w:sz w:val="21"/>
                      <w:szCs w:val="21"/>
                      <w:u w:val="none"/>
                      <w:lang w:val="en-US" w:eastAsia="zh-CN" w:bidi="ar"/>
                    </w:rPr>
                    <w:t>43.6</w:t>
                  </w:r>
                </w:p>
              </w:tc>
              <w:tc>
                <w:tcPr>
                  <w:tcW w:w="1645"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kern w:val="2"/>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noWrap w:val="0"/>
                  <w:vAlign w:val="center"/>
                </w:tcPr>
                <w:p>
                  <w:pPr>
                    <w:jc w:val="center"/>
                    <w:rPr>
                      <w:rFonts w:hint="eastAsia"/>
                      <w:color w:val="auto"/>
                      <w:sz w:val="21"/>
                      <w:szCs w:val="21"/>
                      <w:highlight w:val="none"/>
                      <w:u w:val="none" w:color="auto"/>
                      <w:lang w:val="en-US" w:eastAsia="zh-CN" w:bidi="ar"/>
                    </w:rPr>
                  </w:pPr>
                  <w:r>
                    <w:rPr>
                      <w:rFonts w:hint="eastAsia"/>
                      <w:color w:val="auto"/>
                      <w:sz w:val="21"/>
                      <w:szCs w:val="21"/>
                      <w:highlight w:val="none"/>
                      <w:u w:val="none" w:color="auto"/>
                      <w:lang w:val="en-US" w:eastAsia="zh-CN" w:bidi="ar"/>
                    </w:rPr>
                    <w:t>废气处理设施</w:t>
                  </w:r>
                </w:p>
              </w:tc>
              <w:tc>
                <w:tcPr>
                  <w:tcW w:w="117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废活性炭</w:t>
                  </w:r>
                </w:p>
              </w:tc>
              <w:tc>
                <w:tcPr>
                  <w:tcW w:w="698"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p>
              </w:tc>
              <w:tc>
                <w:tcPr>
                  <w:tcW w:w="1472"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rPr>
                    <w:t>HW49</w:t>
                  </w:r>
                </w:p>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u w:val="none" w:color="auto"/>
                    </w:rPr>
                    <w:t>900-039-49</w:t>
                  </w:r>
                </w:p>
              </w:tc>
              <w:tc>
                <w:tcPr>
                  <w:tcW w:w="793" w:type="dxa"/>
                  <w:noWrap w:val="0"/>
                  <w:vAlign w:val="center"/>
                </w:tcPr>
                <w:p>
                  <w:pPr>
                    <w:jc w:val="center"/>
                    <w:rPr>
                      <w:rFonts w:hint="eastAsia"/>
                      <w:color w:val="auto"/>
                      <w:sz w:val="21"/>
                      <w:szCs w:val="21"/>
                      <w:highlight w:val="none"/>
                      <w:u w:val="none" w:color="auto"/>
                      <w:lang w:val="en-US" w:eastAsia="zh-CN" w:bidi="ar"/>
                    </w:rPr>
                  </w:pPr>
                  <w:r>
                    <w:rPr>
                      <w:rFonts w:hint="eastAsia"/>
                      <w:color w:val="auto"/>
                      <w:sz w:val="21"/>
                      <w:szCs w:val="21"/>
                      <w:highlight w:val="none"/>
                      <w:u w:val="none" w:color="auto"/>
                      <w:lang w:val="en-US" w:eastAsia="zh-CN" w:bidi="ar"/>
                    </w:rPr>
                    <w:t>袋装</w:t>
                  </w:r>
                </w:p>
              </w:tc>
              <w:tc>
                <w:tcPr>
                  <w:tcW w:w="1078" w:type="dxa"/>
                  <w:noWrap w:val="0"/>
                  <w:vAlign w:val="center"/>
                </w:tcPr>
                <w:p>
                  <w:pPr>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危废暂存间</w:t>
                  </w:r>
                </w:p>
              </w:tc>
              <w:tc>
                <w:tcPr>
                  <w:tcW w:w="915"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8.4</w:t>
                  </w:r>
                </w:p>
              </w:tc>
              <w:tc>
                <w:tcPr>
                  <w:tcW w:w="1645"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kern w:val="2"/>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noWrap w:val="0"/>
                  <w:vAlign w:val="center"/>
                </w:tcPr>
                <w:p>
                  <w:pPr>
                    <w:jc w:val="center"/>
                    <w:rPr>
                      <w:rFonts w:hint="eastAsia"/>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val="en-US" w:eastAsia="zh-CN" w:bidi="ar"/>
                    </w:rPr>
                    <w:t>退火工序</w:t>
                  </w:r>
                </w:p>
              </w:tc>
              <w:tc>
                <w:tcPr>
                  <w:tcW w:w="1177"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含镍废催化剂</w:t>
                  </w:r>
                </w:p>
              </w:tc>
              <w:tc>
                <w:tcPr>
                  <w:tcW w:w="698"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single" w:color="auto"/>
                      <w:lang w:val="en-US" w:eastAsia="zh-CN" w:bidi="ar"/>
                    </w:rPr>
                  </w:pPr>
                </w:p>
              </w:tc>
              <w:tc>
                <w:tcPr>
                  <w:tcW w:w="1472"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u w:val="single" w:color="auto"/>
                      <w:lang w:eastAsia="zh-CN"/>
                    </w:rPr>
                  </w:pPr>
                  <w:r>
                    <w:rPr>
                      <w:rFonts w:hint="default" w:ascii="Times New Roman" w:hAnsi="Times New Roman" w:cs="Times New Roman"/>
                      <w:color w:val="auto"/>
                      <w:sz w:val="21"/>
                      <w:szCs w:val="21"/>
                      <w:u w:val="single" w:color="auto"/>
                    </w:rPr>
                    <w:t>HW4</w:t>
                  </w:r>
                  <w:r>
                    <w:rPr>
                      <w:rFonts w:hint="eastAsia" w:ascii="Times New Roman" w:hAnsi="Times New Roman" w:cs="Times New Roman"/>
                      <w:color w:val="auto"/>
                      <w:sz w:val="21"/>
                      <w:szCs w:val="21"/>
                      <w:u w:val="single" w:color="auto"/>
                      <w:lang w:val="en-US" w:eastAsia="zh-CN"/>
                    </w:rPr>
                    <w:t>6</w:t>
                  </w:r>
                </w:p>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u w:val="single" w:color="auto"/>
                      <w:lang w:eastAsia="zh-CN"/>
                    </w:rPr>
                  </w:pPr>
                  <w:r>
                    <w:rPr>
                      <w:rFonts w:hint="default" w:ascii="Times New Roman" w:hAnsi="Times New Roman" w:cs="Times New Roman"/>
                      <w:color w:val="auto"/>
                      <w:sz w:val="21"/>
                      <w:szCs w:val="21"/>
                      <w:u w:val="single" w:color="auto"/>
                    </w:rPr>
                    <w:t>900-03</w:t>
                  </w:r>
                  <w:r>
                    <w:rPr>
                      <w:rFonts w:hint="eastAsia" w:ascii="Times New Roman" w:hAnsi="Times New Roman" w:cs="Times New Roman"/>
                      <w:color w:val="auto"/>
                      <w:sz w:val="21"/>
                      <w:szCs w:val="21"/>
                      <w:u w:val="single" w:color="auto"/>
                      <w:lang w:val="en-US" w:eastAsia="zh-CN"/>
                    </w:rPr>
                    <w:t>7</w:t>
                  </w:r>
                  <w:r>
                    <w:rPr>
                      <w:rFonts w:hint="default" w:ascii="Times New Roman" w:hAnsi="Times New Roman" w:cs="Times New Roman"/>
                      <w:color w:val="auto"/>
                      <w:sz w:val="21"/>
                      <w:szCs w:val="21"/>
                      <w:u w:val="single" w:color="auto"/>
                    </w:rPr>
                    <w:t>-4</w:t>
                  </w:r>
                  <w:r>
                    <w:rPr>
                      <w:rFonts w:hint="eastAsia" w:ascii="Times New Roman" w:hAnsi="Times New Roman" w:cs="Times New Roman"/>
                      <w:color w:val="auto"/>
                      <w:sz w:val="21"/>
                      <w:szCs w:val="21"/>
                      <w:u w:val="single" w:color="auto"/>
                      <w:lang w:val="en-US" w:eastAsia="zh-CN"/>
                    </w:rPr>
                    <w:t>6</w:t>
                  </w:r>
                </w:p>
              </w:tc>
              <w:tc>
                <w:tcPr>
                  <w:tcW w:w="793" w:type="dxa"/>
                  <w:noWrap w:val="0"/>
                  <w:vAlign w:val="center"/>
                </w:tcPr>
                <w:p>
                  <w:pPr>
                    <w:jc w:val="center"/>
                    <w:rPr>
                      <w:rFonts w:hint="eastAsia"/>
                      <w:color w:val="auto"/>
                      <w:sz w:val="21"/>
                      <w:szCs w:val="21"/>
                      <w:highlight w:val="none"/>
                      <w:u w:val="single" w:color="auto"/>
                      <w:lang w:val="en-US" w:eastAsia="zh-CN" w:bidi="ar"/>
                    </w:rPr>
                  </w:pPr>
                  <w:r>
                    <w:rPr>
                      <w:rFonts w:hint="eastAsia"/>
                      <w:color w:val="auto"/>
                      <w:sz w:val="21"/>
                      <w:szCs w:val="21"/>
                      <w:highlight w:val="none"/>
                      <w:u w:val="single" w:color="auto"/>
                      <w:lang w:val="en-US" w:eastAsia="zh-CN" w:bidi="ar"/>
                    </w:rPr>
                    <w:t>袋装</w:t>
                  </w:r>
                </w:p>
              </w:tc>
              <w:tc>
                <w:tcPr>
                  <w:tcW w:w="1078" w:type="dxa"/>
                  <w:noWrap w:val="0"/>
                  <w:vAlign w:val="center"/>
                </w:tcPr>
                <w:p>
                  <w:pPr>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危废暂存间</w:t>
                  </w:r>
                </w:p>
              </w:tc>
              <w:tc>
                <w:tcPr>
                  <w:tcW w:w="915"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i w:val="0"/>
                      <w:iCs w:val="0"/>
                      <w:color w:val="auto"/>
                      <w:kern w:val="0"/>
                      <w:sz w:val="21"/>
                      <w:szCs w:val="21"/>
                      <w:u w:val="single" w:color="auto"/>
                      <w:lang w:val="en-US" w:eastAsia="zh-CN" w:bidi="ar"/>
                    </w:rPr>
                  </w:pPr>
                  <w:r>
                    <w:rPr>
                      <w:rFonts w:hint="eastAsia" w:ascii="Times New Roman" w:hAnsi="Times New Roman" w:cs="Times New Roman"/>
                      <w:i w:val="0"/>
                      <w:iCs w:val="0"/>
                      <w:color w:val="auto"/>
                      <w:kern w:val="0"/>
                      <w:sz w:val="21"/>
                      <w:szCs w:val="21"/>
                      <w:u w:val="single" w:color="auto"/>
                      <w:lang w:val="en-US" w:eastAsia="zh-CN" w:bidi="ar"/>
                    </w:rPr>
                    <w:t>0.1</w:t>
                  </w:r>
                </w:p>
              </w:tc>
              <w:tc>
                <w:tcPr>
                  <w:tcW w:w="1645" w:type="dxa"/>
                  <w:vMerge w:val="continue"/>
                  <w:noWrap w:val="0"/>
                  <w:vAlign w:val="center"/>
                </w:tcPr>
                <w:p>
                  <w:pPr>
                    <w:pStyle w:val="25"/>
                    <w:widowControl w:val="0"/>
                    <w:wordWrap w:val="0"/>
                    <w:adjustRightInd w:val="0"/>
                    <w:snapToGrid w:val="0"/>
                    <w:spacing w:before="0" w:beforeAutospacing="0" w:after="0" w:afterAutospacing="0"/>
                    <w:jc w:val="center"/>
                    <w:textAlignment w:val="baseline"/>
                    <w:rPr>
                      <w:rFonts w:ascii="Times New Roman" w:hAnsi="Times New Roman"/>
                      <w:color w:val="auto"/>
                      <w:kern w:val="2"/>
                      <w:sz w:val="21"/>
                      <w:szCs w:val="21"/>
                      <w:highlight w:val="none"/>
                      <w:u w:val="none" w:color="auto"/>
                      <w:lang w:val="en-US" w:eastAsia="zh-CN"/>
                    </w:rPr>
                  </w:pPr>
                </w:p>
              </w:tc>
            </w:tr>
          </w:tbl>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4"/>
                <w:szCs w:val="24"/>
                <w:highlight w:val="none"/>
                <w:u w:val="none" w:color="auto"/>
                <w:lang w:bidi="ar"/>
              </w:rPr>
            </w:pPr>
            <w:r>
              <w:rPr>
                <w:rFonts w:hint="default" w:ascii="Times New Roman" w:hAnsi="Times New Roman" w:eastAsia="宋体" w:cs="Times New Roman"/>
                <w:b/>
                <w:color w:val="auto"/>
                <w:sz w:val="24"/>
                <w:szCs w:val="24"/>
                <w:highlight w:val="none"/>
                <w:u w:val="none" w:color="auto"/>
                <w:lang w:bidi="ar"/>
              </w:rPr>
              <w:t>表4</w:t>
            </w:r>
            <w:r>
              <w:rPr>
                <w:rFonts w:hint="eastAsia" w:ascii="Times New Roman" w:hAnsi="Times New Roman" w:eastAsia="宋体" w:cs="Times New Roman"/>
                <w:b/>
                <w:color w:val="auto"/>
                <w:sz w:val="24"/>
                <w:szCs w:val="24"/>
                <w:highlight w:val="none"/>
                <w:u w:val="none" w:color="auto"/>
                <w:lang w:val="en-US" w:eastAsia="zh-CN" w:bidi="ar"/>
              </w:rPr>
              <w:t>.</w:t>
            </w:r>
            <w:r>
              <w:rPr>
                <w:rFonts w:hint="eastAsia" w:cs="Times New Roman"/>
                <w:b/>
                <w:color w:val="auto"/>
                <w:sz w:val="24"/>
                <w:szCs w:val="24"/>
                <w:highlight w:val="none"/>
                <w:u w:val="none" w:color="auto"/>
                <w:lang w:val="en-US" w:eastAsia="zh-CN" w:bidi="ar"/>
              </w:rPr>
              <w:t>5</w:t>
            </w:r>
            <w:r>
              <w:rPr>
                <w:rFonts w:hint="eastAsia" w:ascii="Times New Roman" w:hAnsi="Times New Roman" w:eastAsia="宋体" w:cs="Times New Roman"/>
                <w:b/>
                <w:color w:val="auto"/>
                <w:sz w:val="24"/>
                <w:szCs w:val="24"/>
                <w:highlight w:val="none"/>
                <w:u w:val="none" w:color="auto"/>
                <w:lang w:val="en-US" w:eastAsia="zh-CN" w:bidi="ar"/>
              </w:rPr>
              <w:t>-2</w:t>
            </w:r>
            <w:r>
              <w:rPr>
                <w:rFonts w:hint="default" w:ascii="Times New Roman" w:hAnsi="Times New Roman" w:eastAsia="宋体" w:cs="Times New Roman"/>
                <w:b/>
                <w:color w:val="auto"/>
                <w:sz w:val="24"/>
                <w:szCs w:val="24"/>
                <w:highlight w:val="none"/>
                <w:u w:val="none" w:color="auto"/>
                <w:lang w:bidi="ar"/>
              </w:rPr>
              <w:t>项目危险废物汇总一览表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32"/>
              <w:gridCol w:w="1367"/>
              <w:gridCol w:w="1196"/>
              <w:gridCol w:w="643"/>
              <w:gridCol w:w="764"/>
              <w:gridCol w:w="427"/>
              <w:gridCol w:w="632"/>
              <w:gridCol w:w="484"/>
              <w:gridCol w:w="716"/>
              <w:gridCol w:w="592"/>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序号</w:t>
                  </w:r>
                </w:p>
              </w:tc>
              <w:tc>
                <w:tcPr>
                  <w:tcW w:w="400"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危险废物名称</w:t>
                  </w:r>
                </w:p>
              </w:tc>
              <w:tc>
                <w:tcPr>
                  <w:tcW w:w="747"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危险废物类别</w:t>
                  </w:r>
                </w:p>
              </w:tc>
              <w:tc>
                <w:tcPr>
                  <w:tcW w:w="65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危险废物代码</w:t>
                  </w:r>
                </w:p>
              </w:tc>
              <w:tc>
                <w:tcPr>
                  <w:tcW w:w="35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产生量</w:t>
                  </w:r>
                </w:p>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eastAsia" w:ascii="Times New Roman" w:hAnsi="Times New Roman" w:cs="Times New Roman"/>
                      <w:b/>
                      <w:bCs w:val="0"/>
                      <w:color w:val="auto"/>
                      <w:sz w:val="21"/>
                      <w:szCs w:val="21"/>
                      <w:highlight w:val="none"/>
                      <w:u w:val="none" w:color="auto"/>
                      <w:lang w:val="en-US" w:eastAsia="zh-CN"/>
                    </w:rPr>
                    <w:t>/t/a</w:t>
                  </w:r>
                </w:p>
              </w:tc>
              <w:tc>
                <w:tcPr>
                  <w:tcW w:w="417"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产生工序及装置</w:t>
                  </w:r>
                </w:p>
              </w:tc>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形态</w:t>
                  </w:r>
                </w:p>
              </w:tc>
              <w:tc>
                <w:tcPr>
                  <w:tcW w:w="34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主要成分</w:t>
                  </w:r>
                </w:p>
              </w:tc>
              <w:tc>
                <w:tcPr>
                  <w:tcW w:w="2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有害成分</w:t>
                  </w:r>
                </w:p>
              </w:tc>
              <w:tc>
                <w:tcPr>
                  <w:tcW w:w="39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产废周期</w:t>
                  </w:r>
                </w:p>
              </w:tc>
              <w:tc>
                <w:tcPr>
                  <w:tcW w:w="32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危险</w:t>
                  </w:r>
                </w:p>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特性</w:t>
                  </w:r>
                </w:p>
              </w:tc>
              <w:tc>
                <w:tcPr>
                  <w:tcW w:w="63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highlight w:val="none"/>
                      <w:u w:val="none" w:color="auto"/>
                    </w:rPr>
                  </w:pPr>
                  <w:r>
                    <w:rPr>
                      <w:rFonts w:hint="default" w:ascii="Times New Roman" w:hAnsi="Times New Roman" w:cs="Times New Roman"/>
                      <w:b/>
                      <w:bCs w:val="0"/>
                      <w:color w:val="auto"/>
                      <w:sz w:val="21"/>
                      <w:szCs w:val="21"/>
                      <w:highlight w:val="none"/>
                      <w:u w:val="none" w:color="auto"/>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1</w:t>
                  </w:r>
                </w:p>
              </w:tc>
              <w:tc>
                <w:tcPr>
                  <w:tcW w:w="400"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bidi="ar"/>
                    </w:rPr>
                    <w:t>废抹布</w:t>
                  </w:r>
                </w:p>
              </w:tc>
              <w:tc>
                <w:tcPr>
                  <w:tcW w:w="747"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ascii="Times New Roman" w:hAnsi="Times New Roman"/>
                      <w:color w:val="auto"/>
                      <w:sz w:val="21"/>
                      <w:szCs w:val="21"/>
                      <w:highlight w:val="none"/>
                      <w:u w:val="none" w:color="auto"/>
                      <w:lang w:val="en-US" w:eastAsia="zh-CN" w:bidi="ar"/>
                    </w:rPr>
                    <w:t>HW</w:t>
                  </w:r>
                  <w:r>
                    <w:rPr>
                      <w:rFonts w:hint="eastAsia" w:ascii="Times New Roman" w:hAnsi="Times New Roman"/>
                      <w:color w:val="auto"/>
                      <w:sz w:val="21"/>
                      <w:szCs w:val="21"/>
                      <w:highlight w:val="none"/>
                      <w:u w:val="none" w:color="auto"/>
                      <w:lang w:val="en-US" w:eastAsia="zh-CN" w:bidi="ar"/>
                    </w:rPr>
                    <w:t>49</w:t>
                  </w:r>
                </w:p>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cs="Times New Roman"/>
                      <w:color w:val="auto"/>
                      <w:sz w:val="21"/>
                      <w:szCs w:val="21"/>
                      <w:highlight w:val="none"/>
                      <w:u w:val="none" w:color="auto"/>
                      <w:lang w:eastAsia="zh-CN"/>
                    </w:rPr>
                    <w:t>其他废物</w:t>
                  </w:r>
                </w:p>
              </w:tc>
              <w:tc>
                <w:tcPr>
                  <w:tcW w:w="65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olor w:val="auto"/>
                      <w:sz w:val="21"/>
                      <w:szCs w:val="21"/>
                      <w:u w:val="none" w:color="auto"/>
                      <w:lang w:bidi="ar"/>
                    </w:rPr>
                    <w:t>900-41-49</w:t>
                  </w:r>
                </w:p>
              </w:tc>
              <w:tc>
                <w:tcPr>
                  <w:tcW w:w="351" w:type="pct"/>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bCs/>
                      <w:color w:val="auto"/>
                      <w:kern w:val="0"/>
                      <w:szCs w:val="21"/>
                      <w:highlight w:val="none"/>
                      <w:u w:val="none" w:color="auto"/>
                      <w:lang w:val="en-US" w:eastAsia="zh-CN" w:bidi="ar"/>
                    </w:rPr>
                    <w:t>0.02</w:t>
                  </w:r>
                </w:p>
              </w:tc>
              <w:tc>
                <w:tcPr>
                  <w:tcW w:w="417"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设备维修、维护</w:t>
                  </w:r>
                </w:p>
              </w:tc>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eastAsia="zh-CN"/>
                    </w:rPr>
                    <w:t>固态</w:t>
                  </w:r>
                </w:p>
              </w:tc>
              <w:tc>
                <w:tcPr>
                  <w:tcW w:w="34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eastAsia="zh-CN"/>
                    </w:rPr>
                    <w:t>废油</w:t>
                  </w:r>
                </w:p>
              </w:tc>
              <w:tc>
                <w:tcPr>
                  <w:tcW w:w="2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eastAsia="zh-CN"/>
                    </w:rPr>
                    <w:t>废油</w:t>
                  </w:r>
                </w:p>
              </w:tc>
              <w:tc>
                <w:tcPr>
                  <w:tcW w:w="39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1个月</w:t>
                  </w:r>
                </w:p>
              </w:tc>
              <w:tc>
                <w:tcPr>
                  <w:tcW w:w="32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T/In</w:t>
                  </w:r>
                </w:p>
              </w:tc>
              <w:tc>
                <w:tcPr>
                  <w:tcW w:w="636"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暂存于</w:t>
                  </w:r>
                  <w:r>
                    <w:rPr>
                      <w:rFonts w:hint="default" w:ascii="Times New Roman" w:hAnsi="Times New Roman" w:cs="Times New Roman"/>
                      <w:color w:val="auto"/>
                      <w:sz w:val="21"/>
                      <w:szCs w:val="21"/>
                      <w:highlight w:val="none"/>
                      <w:u w:val="none" w:color="auto"/>
                      <w:lang w:val="en-US" w:eastAsia="zh-CN"/>
                    </w:rPr>
                    <w:t>危废暂存间</w:t>
                  </w:r>
                  <w:r>
                    <w:rPr>
                      <w:rFonts w:hint="eastAsia" w:ascii="Times New Roman" w:hAnsi="Times New Roman" w:cs="Times New Roman"/>
                      <w:color w:val="auto"/>
                      <w:sz w:val="21"/>
                      <w:szCs w:val="21"/>
                      <w:highlight w:val="none"/>
                      <w:u w:val="none" w:color="auto"/>
                      <w:lang w:val="en-US" w:eastAsia="zh-CN"/>
                    </w:rPr>
                    <w:t>，</w:t>
                  </w:r>
                  <w:r>
                    <w:rPr>
                      <w:rFonts w:hint="eastAsia" w:ascii="Times New Roman" w:hAnsi="Times New Roman"/>
                      <w:color w:val="auto"/>
                      <w:kern w:val="2"/>
                      <w:sz w:val="21"/>
                      <w:szCs w:val="21"/>
                      <w:highlight w:val="none"/>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2</w:t>
                  </w:r>
                </w:p>
              </w:tc>
              <w:tc>
                <w:tcPr>
                  <w:tcW w:w="400"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bidi="ar"/>
                    </w:rPr>
                    <w:t>废机油</w:t>
                  </w:r>
                </w:p>
              </w:tc>
              <w:tc>
                <w:tcPr>
                  <w:tcW w:w="747"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HW08废矿物油与含矿物油废物</w:t>
                  </w:r>
                </w:p>
              </w:tc>
              <w:tc>
                <w:tcPr>
                  <w:tcW w:w="65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900-249-08</w:t>
                  </w:r>
                </w:p>
              </w:tc>
              <w:tc>
                <w:tcPr>
                  <w:tcW w:w="351"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none" w:color="auto"/>
                      <w:lang w:val="en-US" w:eastAsia="zh-CN"/>
                    </w:rPr>
                  </w:pPr>
                  <w:r>
                    <w:rPr>
                      <w:rFonts w:ascii="Times New Roman" w:hAnsi="Times New Roman"/>
                      <w:color w:val="auto"/>
                      <w:sz w:val="21"/>
                      <w:szCs w:val="21"/>
                      <w:highlight w:val="none"/>
                      <w:u w:val="none" w:color="auto"/>
                      <w:lang w:val="en-US" w:eastAsia="zh-CN" w:bidi="ar"/>
                    </w:rPr>
                    <w:t>0.</w:t>
                  </w:r>
                  <w:r>
                    <w:rPr>
                      <w:rFonts w:hint="eastAsia" w:ascii="Times New Roman" w:hAnsi="Times New Roman"/>
                      <w:color w:val="auto"/>
                      <w:sz w:val="21"/>
                      <w:szCs w:val="21"/>
                      <w:highlight w:val="none"/>
                      <w:u w:val="none" w:color="auto"/>
                      <w:lang w:val="en-US" w:eastAsia="zh-CN" w:bidi="ar"/>
                    </w:rPr>
                    <w:t>1</w:t>
                  </w:r>
                </w:p>
              </w:tc>
              <w:tc>
                <w:tcPr>
                  <w:tcW w:w="417"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p>
              </w:tc>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液</w:t>
                  </w:r>
                  <w:r>
                    <w:rPr>
                      <w:rFonts w:hint="default" w:ascii="Times New Roman" w:hAnsi="Times New Roman" w:cs="Times New Roman"/>
                      <w:color w:val="auto"/>
                      <w:sz w:val="21"/>
                      <w:szCs w:val="21"/>
                      <w:highlight w:val="none"/>
                      <w:u w:val="none" w:color="auto"/>
                    </w:rPr>
                    <w:t>态</w:t>
                  </w:r>
                </w:p>
              </w:tc>
              <w:tc>
                <w:tcPr>
                  <w:tcW w:w="34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废机油</w:t>
                  </w:r>
                </w:p>
              </w:tc>
              <w:tc>
                <w:tcPr>
                  <w:tcW w:w="2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废机油</w:t>
                  </w:r>
                </w:p>
              </w:tc>
              <w:tc>
                <w:tcPr>
                  <w:tcW w:w="39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1个月</w:t>
                  </w:r>
                </w:p>
              </w:tc>
              <w:tc>
                <w:tcPr>
                  <w:tcW w:w="32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T，I</w:t>
                  </w:r>
                </w:p>
              </w:tc>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3</w:t>
                  </w:r>
                </w:p>
              </w:tc>
              <w:tc>
                <w:tcPr>
                  <w:tcW w:w="400"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bidi="ar"/>
                    </w:rPr>
                    <w:t>废活性炭</w:t>
                  </w:r>
                </w:p>
              </w:tc>
              <w:tc>
                <w:tcPr>
                  <w:tcW w:w="747"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ascii="Times New Roman" w:hAnsi="Times New Roman"/>
                      <w:color w:val="auto"/>
                      <w:sz w:val="21"/>
                      <w:szCs w:val="21"/>
                      <w:highlight w:val="none"/>
                      <w:u w:val="none" w:color="auto"/>
                      <w:lang w:val="en-US" w:eastAsia="zh-CN" w:bidi="ar"/>
                    </w:rPr>
                    <w:t>HW</w:t>
                  </w:r>
                  <w:r>
                    <w:rPr>
                      <w:rFonts w:hint="eastAsia" w:ascii="Times New Roman" w:hAnsi="Times New Roman"/>
                      <w:color w:val="auto"/>
                      <w:sz w:val="21"/>
                      <w:szCs w:val="21"/>
                      <w:highlight w:val="none"/>
                      <w:u w:val="none" w:color="auto"/>
                      <w:lang w:val="en-US" w:eastAsia="zh-CN" w:bidi="ar"/>
                    </w:rPr>
                    <w:t>49</w:t>
                  </w:r>
                </w:p>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eastAsia="zh-CN"/>
                    </w:rPr>
                    <w:t>其他废物</w:t>
                  </w:r>
                </w:p>
              </w:tc>
              <w:tc>
                <w:tcPr>
                  <w:tcW w:w="65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u w:val="none" w:color="auto"/>
                    </w:rPr>
                    <w:t>900-039-49</w:t>
                  </w:r>
                </w:p>
              </w:tc>
              <w:tc>
                <w:tcPr>
                  <w:tcW w:w="351"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hint="eastAsia" w:ascii="Times New Roman" w:hAnsi="Times New Roman" w:cs="Times New Roman"/>
                      <w:i w:val="0"/>
                      <w:iCs w:val="0"/>
                      <w:color w:val="auto"/>
                      <w:kern w:val="0"/>
                      <w:sz w:val="21"/>
                      <w:szCs w:val="21"/>
                      <w:u w:val="none"/>
                      <w:lang w:val="en-US" w:eastAsia="zh-CN" w:bidi="ar"/>
                    </w:rPr>
                    <w:t>8.4</w:t>
                  </w:r>
                </w:p>
              </w:tc>
              <w:tc>
                <w:tcPr>
                  <w:tcW w:w="417"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cs="Times New Roman"/>
                      <w:color w:val="auto"/>
                      <w:sz w:val="21"/>
                      <w:szCs w:val="21"/>
                      <w:highlight w:val="none"/>
                      <w:u w:val="none" w:color="auto"/>
                      <w:lang w:eastAsia="zh-CN"/>
                    </w:rPr>
                    <w:t>废气处理设施</w:t>
                  </w:r>
                </w:p>
              </w:tc>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eastAsia="zh-CN"/>
                    </w:rPr>
                    <w:t>固态</w:t>
                  </w:r>
                </w:p>
              </w:tc>
              <w:tc>
                <w:tcPr>
                  <w:tcW w:w="34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eastAsia="zh-CN"/>
                    </w:rPr>
                    <w:t>有机物</w:t>
                  </w:r>
                </w:p>
              </w:tc>
              <w:tc>
                <w:tcPr>
                  <w:tcW w:w="2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eastAsia="zh-CN"/>
                    </w:rPr>
                    <w:t>有机物</w:t>
                  </w:r>
                </w:p>
              </w:tc>
              <w:tc>
                <w:tcPr>
                  <w:tcW w:w="39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4个月</w:t>
                  </w:r>
                </w:p>
              </w:tc>
              <w:tc>
                <w:tcPr>
                  <w:tcW w:w="32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T</w:t>
                  </w:r>
                </w:p>
              </w:tc>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w:t>
                  </w:r>
                </w:p>
              </w:tc>
              <w:tc>
                <w:tcPr>
                  <w:tcW w:w="400"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bidi="ar"/>
                    </w:rPr>
                    <w:t>污泥</w:t>
                  </w:r>
                </w:p>
              </w:tc>
              <w:tc>
                <w:tcPr>
                  <w:tcW w:w="747"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HW17</w:t>
                  </w:r>
                </w:p>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表面处理废物</w:t>
                  </w:r>
                </w:p>
              </w:tc>
              <w:tc>
                <w:tcPr>
                  <w:tcW w:w="65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336-064-17</w:t>
                  </w:r>
                </w:p>
              </w:tc>
              <w:tc>
                <w:tcPr>
                  <w:tcW w:w="351"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olor w:val="auto"/>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43.6</w:t>
                  </w:r>
                </w:p>
              </w:tc>
              <w:tc>
                <w:tcPr>
                  <w:tcW w:w="417"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olor w:val="auto"/>
                      <w:sz w:val="21"/>
                      <w:szCs w:val="21"/>
                      <w:highlight w:val="none"/>
                      <w:u w:val="none" w:color="auto"/>
                      <w:lang w:val="en-US" w:eastAsia="zh-CN" w:bidi="ar"/>
                    </w:rPr>
                    <w:t>废水处理设施</w:t>
                  </w:r>
                </w:p>
              </w:tc>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固态</w:t>
                  </w:r>
                </w:p>
              </w:tc>
              <w:tc>
                <w:tcPr>
                  <w:tcW w:w="34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铁</w:t>
                  </w:r>
                </w:p>
              </w:tc>
              <w:tc>
                <w:tcPr>
                  <w:tcW w:w="2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铁</w:t>
                  </w:r>
                </w:p>
              </w:tc>
              <w:tc>
                <w:tcPr>
                  <w:tcW w:w="39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1个月</w:t>
                  </w:r>
                </w:p>
              </w:tc>
              <w:tc>
                <w:tcPr>
                  <w:tcW w:w="32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T/C</w:t>
                  </w:r>
                </w:p>
              </w:tc>
              <w:tc>
                <w:tcPr>
                  <w:tcW w:w="636"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暂存于污泥暂存间，</w:t>
                  </w:r>
                  <w:r>
                    <w:rPr>
                      <w:rFonts w:hint="eastAsia" w:ascii="Times New Roman" w:hAnsi="Times New Roman"/>
                      <w:color w:val="auto"/>
                      <w:kern w:val="2"/>
                      <w:sz w:val="21"/>
                      <w:szCs w:val="21"/>
                      <w:highlight w:val="none"/>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5</w:t>
                  </w:r>
                </w:p>
              </w:tc>
              <w:tc>
                <w:tcPr>
                  <w:tcW w:w="400"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废催化剂</w:t>
                  </w:r>
                </w:p>
              </w:tc>
              <w:tc>
                <w:tcPr>
                  <w:tcW w:w="747"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kern w:val="0"/>
                      <w:sz w:val="21"/>
                      <w:szCs w:val="21"/>
                      <w:highlight w:val="none"/>
                      <w:u w:val="single" w:color="auto"/>
                      <w:lang w:val="en-US" w:eastAsia="zh-CN" w:bidi="ar"/>
                    </w:rPr>
                  </w:pPr>
                  <w:r>
                    <w:rPr>
                      <w:rFonts w:hint="eastAsia" w:ascii="Times New Roman" w:hAnsi="Times New Roman" w:eastAsia="宋体" w:cs="Times New Roman"/>
                      <w:color w:val="auto"/>
                      <w:kern w:val="0"/>
                      <w:sz w:val="21"/>
                      <w:szCs w:val="21"/>
                      <w:highlight w:val="none"/>
                      <w:u w:val="single" w:color="auto"/>
                      <w:lang w:val="en-US" w:eastAsia="zh-CN" w:bidi="ar"/>
                    </w:rPr>
                    <w:t>HW46含镍废物</w:t>
                  </w:r>
                </w:p>
              </w:tc>
              <w:tc>
                <w:tcPr>
                  <w:tcW w:w="65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u w:val="single" w:color="auto"/>
                    </w:rPr>
                    <w:t>900-03</w:t>
                  </w:r>
                  <w:r>
                    <w:rPr>
                      <w:rFonts w:hint="eastAsia" w:ascii="Times New Roman" w:hAnsi="Times New Roman" w:cs="Times New Roman"/>
                      <w:color w:val="auto"/>
                      <w:sz w:val="21"/>
                      <w:szCs w:val="21"/>
                      <w:u w:val="single" w:color="auto"/>
                      <w:lang w:val="en-US" w:eastAsia="zh-CN"/>
                    </w:rPr>
                    <w:t>7</w:t>
                  </w:r>
                  <w:r>
                    <w:rPr>
                      <w:rFonts w:hint="default" w:ascii="Times New Roman" w:hAnsi="Times New Roman" w:cs="Times New Roman"/>
                      <w:color w:val="auto"/>
                      <w:sz w:val="21"/>
                      <w:szCs w:val="21"/>
                      <w:u w:val="single" w:color="auto"/>
                    </w:rPr>
                    <w:t>-4</w:t>
                  </w:r>
                  <w:r>
                    <w:rPr>
                      <w:rFonts w:hint="eastAsia" w:ascii="Times New Roman" w:hAnsi="Times New Roman" w:cs="Times New Roman"/>
                      <w:color w:val="auto"/>
                      <w:sz w:val="21"/>
                      <w:szCs w:val="21"/>
                      <w:u w:val="single" w:color="auto"/>
                      <w:lang w:val="en-US" w:eastAsia="zh-CN"/>
                    </w:rPr>
                    <w:t>6</w:t>
                  </w:r>
                </w:p>
              </w:tc>
              <w:tc>
                <w:tcPr>
                  <w:tcW w:w="351"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cs="Times New Roman"/>
                      <w:i w:val="0"/>
                      <w:iCs w:val="0"/>
                      <w:color w:val="auto"/>
                      <w:kern w:val="0"/>
                      <w:sz w:val="21"/>
                      <w:szCs w:val="21"/>
                      <w:u w:val="single" w:color="auto"/>
                      <w:lang w:val="en-US" w:eastAsia="zh-CN" w:bidi="ar"/>
                    </w:rPr>
                    <w:t>0.1</w:t>
                  </w:r>
                </w:p>
              </w:tc>
              <w:tc>
                <w:tcPr>
                  <w:tcW w:w="417"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u w:val="single" w:color="auto"/>
                      <w:lang w:val="en-US" w:eastAsia="zh-CN" w:bidi="ar"/>
                    </w:rPr>
                  </w:pPr>
                  <w:r>
                    <w:rPr>
                      <w:rFonts w:hint="eastAsia"/>
                      <w:color w:val="auto"/>
                      <w:sz w:val="21"/>
                      <w:szCs w:val="21"/>
                      <w:highlight w:val="none"/>
                      <w:u w:val="single" w:color="auto"/>
                      <w:lang w:val="en-US" w:eastAsia="zh-CN" w:bidi="ar"/>
                    </w:rPr>
                    <w:t>退火</w:t>
                  </w:r>
                </w:p>
              </w:tc>
              <w:tc>
                <w:tcPr>
                  <w:tcW w:w="23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固态</w:t>
                  </w:r>
                </w:p>
              </w:tc>
              <w:tc>
                <w:tcPr>
                  <w:tcW w:w="34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重金属</w:t>
                  </w:r>
                </w:p>
              </w:tc>
              <w:tc>
                <w:tcPr>
                  <w:tcW w:w="2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重金属</w:t>
                  </w:r>
                </w:p>
              </w:tc>
              <w:tc>
                <w:tcPr>
                  <w:tcW w:w="39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2年</w:t>
                  </w:r>
                </w:p>
              </w:tc>
              <w:tc>
                <w:tcPr>
                  <w:tcW w:w="32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T，I</w:t>
                  </w:r>
                </w:p>
              </w:tc>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u w:val="none" w:color="auto"/>
                      <w:lang w:eastAsia="zh-CN"/>
                    </w:rPr>
                  </w:pPr>
                </w:p>
              </w:tc>
            </w:tr>
          </w:tbl>
          <w:p>
            <w:pPr>
              <w:adjustRightInd w:val="0"/>
              <w:snapToGrid w:val="0"/>
              <w:spacing w:before="0" w:beforeLines="0" w:line="360" w:lineRule="auto"/>
              <w:ind w:firstLine="482" w:firstLineChars="200"/>
              <w:rPr>
                <w:rFonts w:hint="default" w:ascii="Times New Roman" w:hAnsi="Times New Roman" w:cs="Times New Roman"/>
                <w:color w:val="auto"/>
                <w:sz w:val="24"/>
                <w:szCs w:val="24"/>
                <w:highlight w:val="none"/>
                <w:u w:val="none" w:color="auto"/>
              </w:rPr>
            </w:pPr>
            <w:r>
              <w:rPr>
                <w:rFonts w:hint="eastAsia"/>
                <w:b/>
                <w:bCs/>
                <w:color w:val="auto"/>
                <w:sz w:val="24"/>
                <w:szCs w:val="24"/>
                <w:highlight w:val="none"/>
                <w:u w:val="none" w:color="auto"/>
                <w:lang w:val="en-US" w:eastAsia="zh-CN"/>
              </w:rPr>
              <w:t>4.5</w:t>
            </w:r>
            <w:r>
              <w:rPr>
                <w:rFonts w:hint="eastAsia" w:ascii="Times New Roman" w:hAnsi="Times New Roman" w:eastAsia="宋体" w:cs="Times New Roman"/>
                <w:b/>
                <w:bCs/>
                <w:color w:val="auto"/>
                <w:sz w:val="24"/>
                <w:szCs w:val="24"/>
                <w:highlight w:val="none"/>
                <w:u w:val="none" w:color="auto"/>
                <w:lang w:val="en-US" w:eastAsia="zh-CN"/>
              </w:rPr>
              <w:t>.2</w:t>
            </w:r>
            <w:r>
              <w:rPr>
                <w:rFonts w:hint="default" w:ascii="Times New Roman" w:hAnsi="Times New Roman" w:eastAsia="宋体" w:cs="Times New Roman"/>
                <w:b/>
                <w:bCs/>
                <w:color w:val="auto"/>
                <w:sz w:val="24"/>
                <w:szCs w:val="24"/>
                <w:highlight w:val="none"/>
                <w:u w:val="none" w:color="auto"/>
                <w:lang w:val="en-US" w:eastAsia="zh-CN"/>
              </w:rPr>
              <w:t>固体废物贮存方式、利用处置方式、环境管理要求</w:t>
            </w:r>
          </w:p>
          <w:p>
            <w:pPr>
              <w:adjustRightInd w:val="0"/>
              <w:snapToGrid w:val="0"/>
              <w:spacing w:beforeLines="0" w:line="360" w:lineRule="auto"/>
              <w:ind w:firstLine="480" w:firstLineChars="200"/>
              <w:rPr>
                <w:rFonts w:hint="default" w:ascii="Times New Roman"/>
                <w:b w:val="0"/>
                <w:bCs/>
                <w:color w:val="auto"/>
                <w:kern w:val="2"/>
                <w:sz w:val="24"/>
                <w:szCs w:val="24"/>
                <w:highlight w:val="none"/>
                <w:u w:val="none" w:color="auto"/>
                <w:lang w:val="en-US" w:eastAsia="zh-CN"/>
              </w:rPr>
            </w:pPr>
            <w:r>
              <w:rPr>
                <w:rFonts w:hint="eastAsia"/>
                <w:b w:val="0"/>
                <w:bCs/>
                <w:color w:val="auto"/>
                <w:kern w:val="2"/>
                <w:sz w:val="24"/>
                <w:szCs w:val="24"/>
                <w:highlight w:val="none"/>
                <w:u w:val="none" w:color="auto"/>
                <w:lang w:val="en-US" w:eastAsia="zh-CN"/>
              </w:rPr>
              <w:t>本项目一般固废依托厂区西北角的一般固废暂存场，危废依托现有已建危废暂存间和污泥暂存间，位于厂区西北侧，占地面积分别为约60m</w:t>
            </w:r>
            <w:r>
              <w:rPr>
                <w:rFonts w:hint="eastAsia"/>
                <w:b w:val="0"/>
                <w:bCs/>
                <w:color w:val="auto"/>
                <w:kern w:val="2"/>
                <w:sz w:val="24"/>
                <w:szCs w:val="24"/>
                <w:highlight w:val="none"/>
                <w:u w:val="none" w:color="auto"/>
                <w:vertAlign w:val="superscript"/>
                <w:lang w:val="en-US" w:eastAsia="zh-CN"/>
              </w:rPr>
              <w:t>2</w:t>
            </w:r>
            <w:r>
              <w:rPr>
                <w:rFonts w:hint="eastAsia"/>
                <w:b w:val="0"/>
                <w:bCs/>
                <w:color w:val="auto"/>
                <w:kern w:val="2"/>
                <w:sz w:val="24"/>
                <w:szCs w:val="24"/>
                <w:highlight w:val="none"/>
                <w:u w:val="none" w:color="auto"/>
                <w:lang w:val="en-US" w:eastAsia="zh-CN"/>
              </w:rPr>
              <w:t>和770m</w:t>
            </w:r>
            <w:r>
              <w:rPr>
                <w:rFonts w:hint="eastAsia"/>
                <w:b w:val="0"/>
                <w:bCs/>
                <w:color w:val="auto"/>
                <w:kern w:val="2"/>
                <w:sz w:val="24"/>
                <w:szCs w:val="24"/>
                <w:highlight w:val="none"/>
                <w:u w:val="none" w:color="auto"/>
                <w:vertAlign w:val="superscript"/>
                <w:lang w:val="en-US" w:eastAsia="zh-CN"/>
              </w:rPr>
              <w:t>2</w:t>
            </w:r>
            <w:r>
              <w:rPr>
                <w:rFonts w:hint="eastAsia"/>
                <w:b w:val="0"/>
                <w:bCs/>
                <w:color w:val="auto"/>
                <w:kern w:val="2"/>
                <w:sz w:val="24"/>
                <w:szCs w:val="24"/>
                <w:highlight w:val="none"/>
                <w:u w:val="none" w:color="auto"/>
                <w:lang w:val="en-US" w:eastAsia="zh-CN"/>
              </w:rPr>
              <w:t>，可容纳本项目产生的固体废物，满足建设控制要求。</w:t>
            </w:r>
          </w:p>
          <w:p>
            <w:pPr>
              <w:adjustRightInd w:val="0"/>
              <w:snapToGrid w:val="0"/>
              <w:spacing w:beforeLines="0" w:line="360" w:lineRule="auto"/>
              <w:ind w:firstLine="482" w:firstLineChars="200"/>
              <w:rPr>
                <w:rFonts w:hint="default" w:ascii="Times New Roman" w:hAnsi="Times New Roman" w:cs="Times New Roman"/>
                <w:color w:val="auto"/>
                <w:sz w:val="24"/>
                <w:szCs w:val="24"/>
                <w:highlight w:val="none"/>
                <w:u w:val="none" w:color="auto"/>
              </w:rPr>
            </w:pPr>
            <w:r>
              <w:rPr>
                <w:rFonts w:hint="eastAsia" w:ascii="Times New Roman"/>
                <w:b/>
                <w:color w:val="auto"/>
                <w:kern w:val="2"/>
                <w:sz w:val="24"/>
                <w:szCs w:val="24"/>
                <w:highlight w:val="none"/>
                <w:u w:val="none" w:color="auto"/>
                <w:lang w:val="en-US" w:eastAsia="zh-CN"/>
              </w:rPr>
              <w:t>一般固废处置措施：</w:t>
            </w:r>
          </w:p>
          <w:p>
            <w:pPr>
              <w:adjustRightInd w:val="0"/>
              <w:snapToGrid w:val="0"/>
              <w:spacing w:beforeLines="0" w:line="360" w:lineRule="auto"/>
              <w:ind w:firstLine="480" w:firstLineChars="20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根据</w:t>
            </w:r>
            <w:r>
              <w:rPr>
                <w:rFonts w:hint="eastAsia" w:ascii="Times New Roman" w:hAnsi="Times New Roman"/>
                <w:color w:val="auto"/>
                <w:kern w:val="2"/>
                <w:sz w:val="24"/>
                <w:szCs w:val="24"/>
                <w:highlight w:val="none"/>
                <w:u w:val="none" w:color="auto"/>
                <w:lang w:val="en-US" w:eastAsia="zh-CN" w:bidi="ar"/>
              </w:rPr>
              <w:t>《一般工业固体废物贮存和填埋污染控制标准》（GB18599-2020）</w:t>
            </w:r>
            <w:r>
              <w:rPr>
                <w:rFonts w:hint="default" w:ascii="Times New Roman" w:hAnsi="Times New Roman" w:cs="Times New Roman"/>
                <w:color w:val="auto"/>
                <w:sz w:val="24"/>
                <w:szCs w:val="24"/>
                <w:highlight w:val="none"/>
                <w:u w:val="none" w:color="auto"/>
              </w:rPr>
              <w:t>，本项目一般固废的贮存有一下几点要求：</w:t>
            </w:r>
          </w:p>
          <w:p>
            <w:pPr>
              <w:adjustRightInd w:val="0"/>
              <w:snapToGrid w:val="0"/>
              <w:spacing w:beforeLines="0" w:line="360" w:lineRule="auto"/>
              <w:ind w:firstLine="480" w:firstLineChars="200"/>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cs="Times New Roman"/>
                <w:color w:val="auto"/>
                <w:sz w:val="24"/>
                <w:szCs w:val="24"/>
                <w:highlight w:val="none"/>
                <w:u w:val="none" w:color="auto"/>
              </w:rPr>
              <w:t>A.一般工业固体废物贮存、处置场，禁止危险废物和生活垃圾混入</w:t>
            </w:r>
            <w:r>
              <w:rPr>
                <w:rFonts w:hint="eastAsia" w:ascii="Times New Roman" w:hAnsi="Times New Roman" w:cs="Times New Roman"/>
                <w:color w:val="auto"/>
                <w:sz w:val="24"/>
                <w:szCs w:val="24"/>
                <w:highlight w:val="none"/>
                <w:u w:val="none" w:color="auto"/>
                <w:lang w:eastAsia="zh-CN"/>
              </w:rPr>
              <w:t>。</w:t>
            </w:r>
          </w:p>
          <w:p>
            <w:pPr>
              <w:adjustRightInd w:val="0"/>
              <w:snapToGrid w:val="0"/>
              <w:spacing w:beforeLines="0" w:line="360" w:lineRule="auto"/>
              <w:ind w:firstLine="480" w:firstLineChars="20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B.贮存、处置场使用单位，应建立检查维护制度。定期检查维护</w:t>
            </w:r>
            <w:r>
              <w:rPr>
                <w:rFonts w:hint="default" w:ascii="Times New Roman" w:hAnsi="Times New Roman" w:cs="Times New Roman"/>
                <w:color w:val="auto"/>
                <w:sz w:val="24"/>
                <w:szCs w:val="24"/>
                <w:highlight w:val="none"/>
                <w:u w:val="none" w:color="auto"/>
                <w:lang w:val="en-US" w:eastAsia="zh-CN"/>
              </w:rPr>
              <w:t>装车栈台</w:t>
            </w:r>
            <w:r>
              <w:rPr>
                <w:rFonts w:hint="eastAsia" w:cs="Times New Roman"/>
                <w:color w:val="auto"/>
                <w:sz w:val="24"/>
                <w:szCs w:val="24"/>
                <w:highlight w:val="none"/>
                <w:u w:val="none" w:color="auto"/>
                <w:lang w:val="en-US" w:eastAsia="zh-CN"/>
              </w:rPr>
              <w:t>、围堰、导流沟和截止阀</w:t>
            </w:r>
            <w:r>
              <w:rPr>
                <w:rFonts w:hint="default" w:ascii="Times New Roman" w:hAnsi="Times New Roman" w:cs="Times New Roman"/>
                <w:color w:val="auto"/>
                <w:sz w:val="24"/>
                <w:szCs w:val="24"/>
                <w:highlight w:val="none"/>
                <w:u w:val="none" w:color="auto"/>
              </w:rPr>
              <w:t>等设施，发现有损坏可能或异常，应及时采取必要措施，以保证正常运行。</w:t>
            </w:r>
          </w:p>
          <w:p>
            <w:pPr>
              <w:adjustRightInd w:val="0"/>
              <w:snapToGrid w:val="0"/>
              <w:spacing w:beforeLines="0" w:line="360" w:lineRule="auto"/>
              <w:ind w:firstLine="480" w:firstLineChars="20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C.贮存、处置场的使用单位，应建立档案制度。按照国家有关规定制定</w:t>
            </w:r>
            <w:r>
              <w:rPr>
                <w:rFonts w:hint="eastAsia" w:ascii="Times New Roman" w:hAnsi="Times New Roman" w:cs="Times New Roman"/>
                <w:color w:val="auto"/>
                <w:sz w:val="24"/>
                <w:szCs w:val="24"/>
                <w:highlight w:val="none"/>
                <w:u w:val="none" w:color="auto"/>
                <w:lang w:val="en-US" w:eastAsia="zh-CN"/>
              </w:rPr>
              <w:t>一般固废</w:t>
            </w:r>
            <w:r>
              <w:rPr>
                <w:rFonts w:hint="default" w:ascii="Times New Roman" w:hAnsi="Times New Roman" w:cs="Times New Roman"/>
                <w:color w:val="auto"/>
                <w:sz w:val="24"/>
                <w:szCs w:val="24"/>
                <w:highlight w:val="none"/>
                <w:u w:val="none" w:color="auto"/>
              </w:rPr>
              <w:t>管理计划；建立</w:t>
            </w:r>
            <w:r>
              <w:rPr>
                <w:rFonts w:hint="eastAsia" w:ascii="Times New Roman" w:hAnsi="Times New Roman" w:cs="Times New Roman"/>
                <w:color w:val="auto"/>
                <w:sz w:val="24"/>
                <w:szCs w:val="24"/>
                <w:highlight w:val="none"/>
                <w:u w:val="none" w:color="auto"/>
                <w:lang w:val="en-US" w:eastAsia="zh-CN"/>
              </w:rPr>
              <w:t>一般固废</w:t>
            </w:r>
            <w:r>
              <w:rPr>
                <w:rFonts w:hint="default" w:ascii="Times New Roman" w:hAnsi="Times New Roman" w:cs="Times New Roman"/>
                <w:color w:val="auto"/>
                <w:sz w:val="24"/>
                <w:szCs w:val="24"/>
                <w:highlight w:val="none"/>
                <w:u w:val="none" w:color="auto"/>
              </w:rPr>
              <w:t>管理台账，如实记录</w:t>
            </w:r>
            <w:r>
              <w:rPr>
                <w:rFonts w:hint="eastAsia" w:ascii="Times New Roman" w:hAnsi="Times New Roman" w:cs="Times New Roman"/>
                <w:color w:val="auto"/>
                <w:sz w:val="24"/>
                <w:szCs w:val="24"/>
                <w:highlight w:val="none"/>
                <w:u w:val="none" w:color="auto"/>
                <w:lang w:val="en-US" w:eastAsia="zh-CN"/>
              </w:rPr>
              <w:t>一般固废</w:t>
            </w:r>
            <w:r>
              <w:rPr>
                <w:rFonts w:hint="default" w:ascii="Times New Roman" w:hAnsi="Times New Roman" w:cs="Times New Roman"/>
                <w:color w:val="auto"/>
                <w:sz w:val="24"/>
                <w:szCs w:val="24"/>
                <w:highlight w:val="none"/>
                <w:u w:val="none" w:color="auto"/>
              </w:rPr>
              <w:t>的种类、产生量、流向、贮存、处置等有关资料。</w:t>
            </w:r>
          </w:p>
          <w:p>
            <w:pPr>
              <w:adjustRightInd w:val="0"/>
              <w:snapToGrid w:val="0"/>
              <w:spacing w:beforeLines="0" w:line="360" w:lineRule="auto"/>
              <w:ind w:firstLine="480" w:firstLineChars="20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D.贮存、处置场的环境保护图形标志，应按《环境保护图形标志-固体废物贮存（处置）场》（GB15562.2-1995）的规定进行检查和维护。</w:t>
            </w:r>
          </w:p>
          <w:p>
            <w:pPr>
              <w:pStyle w:val="25"/>
              <w:widowControl w:val="0"/>
              <w:autoSpaceDE w:val="0"/>
              <w:autoSpaceDN w:val="0"/>
              <w:adjustRightInd w:val="0"/>
              <w:spacing w:before="0" w:beforeLines="0" w:beforeAutospacing="0" w:after="0" w:afterAutospacing="0" w:line="360" w:lineRule="auto"/>
              <w:ind w:firstLine="482" w:firstLineChars="200"/>
              <w:rPr>
                <w:rFonts w:hint="eastAsia" w:ascii="Times New Roman"/>
                <w:b/>
                <w:color w:val="auto"/>
                <w:kern w:val="2"/>
                <w:sz w:val="24"/>
                <w:szCs w:val="24"/>
                <w:highlight w:val="none"/>
                <w:u w:val="none" w:color="auto"/>
                <w:lang w:val="en-US" w:eastAsia="zh-CN"/>
              </w:rPr>
            </w:pPr>
            <w:r>
              <w:rPr>
                <w:rFonts w:hint="eastAsia" w:ascii="Times New Roman"/>
                <w:b/>
                <w:color w:val="auto"/>
                <w:kern w:val="2"/>
                <w:sz w:val="24"/>
                <w:szCs w:val="24"/>
                <w:highlight w:val="none"/>
                <w:u w:val="none" w:color="auto"/>
                <w:lang w:val="en-US" w:eastAsia="zh-CN"/>
              </w:rPr>
              <w:t>危险废物处置措施：</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本项目产生的危险废弃物不得擅自倾倒、堆放，需按照危险废物的特性分类收集、贮存、运输、处置，并与非危险废物分开贮存。建设单位对自身产生的危险废物进行全过程的管理，临时贮存设施的选址、设计、运行、安全防护、监测和关闭，将严格按照《危险废物贮存污染控制标准》(GB18597-2023）的相关要求执行。本项目危险固体废物暂时存放在危险废物暂存间，并做好相关标记。主要措施如下：</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①严格执行《危险废物转移联单管理办法》和《危险废物经营许可证管理办法》等，对进厂、使用、出厂的危险废物量进行统计，并定期向环境保护管理部门报送；</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②危险废物临时贮存库地面与裙角要用坚固、防渗的材料建造，建筑材料必须与危险废物相容；</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③危险废物临时贮存库必须有防腐蚀的硬化地面，且表面无裂隙；</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④危险废物堆放基础防渗，防渗层为至少2毫米厚高密度聚乙烯，渗透系数≤10</w:t>
            </w:r>
            <w:r>
              <w:rPr>
                <w:rFonts w:hint="eastAsia" w:ascii="Times New Roman" w:hAnsi="宋体" w:eastAsia="宋体" w:cs="Times New Roman"/>
                <w:bCs/>
                <w:color w:val="auto"/>
                <w:kern w:val="2"/>
                <w:sz w:val="24"/>
                <w:szCs w:val="24"/>
                <w:highlight w:val="none"/>
                <w:u w:val="none" w:color="auto"/>
                <w:vertAlign w:val="superscript"/>
                <w:lang w:val="en-US" w:eastAsia="zh-CN"/>
              </w:rPr>
              <w:t>-10</w:t>
            </w:r>
            <w:r>
              <w:rPr>
                <w:rFonts w:hint="eastAsia" w:ascii="Times New Roman" w:hAnsi="宋体" w:eastAsia="宋体" w:cs="Times New Roman"/>
                <w:bCs/>
                <w:color w:val="auto"/>
                <w:kern w:val="2"/>
                <w:sz w:val="24"/>
                <w:szCs w:val="24"/>
                <w:highlight w:val="none"/>
                <w:u w:val="none" w:color="auto"/>
                <w:lang w:val="en-US" w:eastAsia="zh-CN"/>
              </w:rPr>
              <w:t>厘米/秒；</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⑤设施内要有安全照明和观察窗口；</w:t>
            </w:r>
          </w:p>
          <w:p>
            <w:pPr>
              <w:pStyle w:val="25"/>
              <w:widowControl w:val="0"/>
              <w:autoSpaceDE w:val="0"/>
              <w:autoSpaceDN w:val="0"/>
              <w:adjustRightInd w:val="0"/>
              <w:spacing w:before="0" w:beforeLines="0" w:beforeAutospacing="0" w:after="0" w:afterAutospacing="0" w:line="360" w:lineRule="auto"/>
              <w:ind w:firstLine="480" w:firstLineChars="200"/>
              <w:jc w:val="both"/>
              <w:rPr>
                <w:rFonts w:hint="eastAsia" w:ascii="Times New Roman" w:hAnsi="宋体" w:eastAsia="宋体" w:cs="Times New Roman"/>
                <w:bCs/>
                <w:color w:val="auto"/>
                <w:kern w:val="2"/>
                <w:sz w:val="24"/>
                <w:szCs w:val="24"/>
                <w:highlight w:val="none"/>
                <w:u w:val="none" w:color="auto"/>
                <w:lang w:val="en-US" w:eastAsia="zh-CN"/>
              </w:rPr>
            </w:pPr>
            <w:r>
              <w:rPr>
                <w:rFonts w:hint="eastAsia" w:ascii="Times New Roman" w:hAnsi="宋体" w:eastAsia="宋体" w:cs="Times New Roman"/>
                <w:bCs/>
                <w:color w:val="auto"/>
                <w:kern w:val="2"/>
                <w:sz w:val="24"/>
                <w:szCs w:val="24"/>
                <w:highlight w:val="none"/>
                <w:u w:val="none" w:color="auto"/>
                <w:lang w:val="en-US" w:eastAsia="zh-CN"/>
              </w:rPr>
              <w:t>⑥危险废物临时贮存场要防风、防雨、防晒；同时，建设单位应按《中华人民共和国固体废物污染环境防治法》的规定向上级固体废物管理中心如实申报本项目固体废物产生量、拟采取的处置措施及去向，并按该中心的要求对本项目产生的固体废物特别是危险废物进行全过程严格管理和安全处置。</w:t>
            </w:r>
          </w:p>
          <w:p>
            <w:pPr>
              <w:pStyle w:val="4"/>
              <w:spacing w:line="360" w:lineRule="auto"/>
              <w:ind w:firstLine="422"/>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4.</w:t>
            </w:r>
            <w:r>
              <w:rPr>
                <w:rFonts w:hint="eastAsia" w:cs="Times New Roman"/>
                <w:color w:val="auto"/>
                <w:sz w:val="24"/>
                <w:szCs w:val="24"/>
                <w:highlight w:val="none"/>
                <w:u w:val="none"/>
                <w:lang w:val="en-US" w:eastAsia="zh-CN"/>
              </w:rPr>
              <w:t>6</w:t>
            </w:r>
            <w:r>
              <w:rPr>
                <w:rFonts w:hint="default" w:ascii="Times New Roman" w:hAnsi="Times New Roman" w:cs="Times New Roman"/>
                <w:color w:val="auto"/>
                <w:sz w:val="24"/>
                <w:szCs w:val="24"/>
                <w:highlight w:val="none"/>
                <w:u w:val="none"/>
              </w:rPr>
              <w:t>、地下水、土壤</w:t>
            </w:r>
          </w:p>
          <w:p>
            <w:pPr>
              <w:pStyle w:val="62"/>
              <w:bidi w:val="0"/>
              <w:spacing w:line="360" w:lineRule="auto"/>
              <w:rPr>
                <w:rFonts w:hint="default"/>
                <w:color w:val="auto"/>
                <w:sz w:val="24"/>
                <w:szCs w:val="24"/>
                <w:highlight w:val="none"/>
                <w:u w:val="none"/>
              </w:rPr>
            </w:pPr>
            <w:r>
              <w:rPr>
                <w:rFonts w:hint="default"/>
                <w:color w:val="auto"/>
                <w:sz w:val="24"/>
                <w:szCs w:val="24"/>
                <w:highlight w:val="none"/>
                <w:u w:val="none"/>
              </w:rPr>
              <w:t>本项目位于已建成的工业园区内，场地已全部硬化，本项目生产过程</w:t>
            </w:r>
            <w:r>
              <w:rPr>
                <w:rFonts w:hint="eastAsia"/>
                <w:color w:val="auto"/>
                <w:sz w:val="24"/>
                <w:szCs w:val="24"/>
                <w:highlight w:val="none"/>
                <w:u w:val="none"/>
                <w:lang w:eastAsia="zh-CN"/>
              </w:rPr>
              <w:t>使用的硫酸</w:t>
            </w:r>
            <w:r>
              <w:rPr>
                <w:rFonts w:hint="default"/>
                <w:color w:val="auto"/>
                <w:sz w:val="24"/>
                <w:szCs w:val="24"/>
                <w:highlight w:val="none"/>
                <w:u w:val="none"/>
              </w:rPr>
              <w:t>、</w:t>
            </w:r>
            <w:r>
              <w:rPr>
                <w:rFonts w:hint="eastAsia"/>
                <w:color w:val="auto"/>
                <w:sz w:val="24"/>
                <w:szCs w:val="24"/>
                <w:highlight w:val="none"/>
                <w:u w:val="none"/>
                <w:lang w:eastAsia="zh-CN"/>
              </w:rPr>
              <w:t>液氨、废机油、槽液、污泥</w:t>
            </w:r>
            <w:r>
              <w:rPr>
                <w:rFonts w:hint="default"/>
                <w:color w:val="auto"/>
                <w:sz w:val="24"/>
                <w:szCs w:val="24"/>
                <w:highlight w:val="none"/>
                <w:u w:val="none"/>
              </w:rPr>
              <w:t>，如果发生泄漏，可能造成土壤和地下水污染；因此，项目在建设过程中需采取有效的防渗措施，避免对土壤及地下水环境造成影响。</w:t>
            </w:r>
          </w:p>
          <w:p>
            <w:pPr>
              <w:pStyle w:val="62"/>
              <w:bidi w:val="0"/>
              <w:spacing w:line="360" w:lineRule="auto"/>
              <w:rPr>
                <w:rFonts w:hint="default"/>
                <w:color w:val="auto"/>
                <w:sz w:val="24"/>
                <w:szCs w:val="24"/>
                <w:highlight w:val="none"/>
                <w:u w:val="none"/>
              </w:rPr>
            </w:pPr>
            <w:r>
              <w:rPr>
                <w:rFonts w:hint="default"/>
                <w:color w:val="auto"/>
                <w:sz w:val="24"/>
                <w:szCs w:val="24"/>
                <w:highlight w:val="none"/>
                <w:u w:val="none"/>
              </w:rPr>
              <w:t>针对可能发生的土壤和地下水污染，应采取“源头控制、分区防渗”相结合的污染防治措施。</w:t>
            </w:r>
          </w:p>
          <w:p>
            <w:pPr>
              <w:pStyle w:val="62"/>
              <w:bidi w:val="0"/>
              <w:rPr>
                <w:rFonts w:hint="default"/>
                <w:color w:val="auto"/>
                <w:sz w:val="24"/>
                <w:szCs w:val="24"/>
                <w:highlight w:val="none"/>
                <w:u w:val="none"/>
              </w:rPr>
            </w:pPr>
            <w:r>
              <w:rPr>
                <w:rFonts w:hint="default"/>
                <w:color w:val="auto"/>
                <w:sz w:val="24"/>
                <w:szCs w:val="24"/>
                <w:highlight w:val="none"/>
                <w:u w:val="none"/>
              </w:rPr>
              <w:t>1、源头控制</w:t>
            </w:r>
          </w:p>
          <w:p>
            <w:pPr>
              <w:pStyle w:val="62"/>
              <w:bidi w:val="0"/>
              <w:rPr>
                <w:rFonts w:hint="default"/>
                <w:color w:val="auto"/>
                <w:sz w:val="24"/>
                <w:szCs w:val="24"/>
                <w:highlight w:val="none"/>
                <w:u w:val="none"/>
              </w:rPr>
            </w:pPr>
            <w:r>
              <w:rPr>
                <w:rFonts w:hint="default"/>
                <w:color w:val="auto"/>
                <w:sz w:val="24"/>
                <w:szCs w:val="24"/>
                <w:highlight w:val="none"/>
                <w:u w:val="none"/>
              </w:rPr>
              <w:t>识别可能发生泄漏的风险物质，做好巡检工作，发现泄漏，立刻采取控制措施，并把泄漏的污染物收集起来，交由有资质的单位处置。</w:t>
            </w:r>
          </w:p>
          <w:p>
            <w:pPr>
              <w:pStyle w:val="62"/>
              <w:bidi w:val="0"/>
              <w:rPr>
                <w:rFonts w:hint="default"/>
                <w:color w:val="auto"/>
                <w:sz w:val="24"/>
                <w:szCs w:val="24"/>
                <w:highlight w:val="none"/>
                <w:u w:val="none"/>
              </w:rPr>
            </w:pPr>
            <w:r>
              <w:rPr>
                <w:rFonts w:hint="default"/>
                <w:color w:val="auto"/>
                <w:sz w:val="24"/>
                <w:szCs w:val="24"/>
                <w:highlight w:val="none"/>
                <w:u w:val="none"/>
              </w:rPr>
              <w:t>2、分区防渗</w:t>
            </w:r>
          </w:p>
          <w:p>
            <w:pPr>
              <w:pStyle w:val="62"/>
              <w:bidi w:val="0"/>
              <w:rPr>
                <w:rFonts w:hint="default"/>
                <w:color w:val="auto"/>
                <w:sz w:val="24"/>
                <w:szCs w:val="24"/>
                <w:highlight w:val="none"/>
                <w:u w:val="none"/>
              </w:rPr>
            </w:pPr>
            <w:r>
              <w:rPr>
                <w:rFonts w:hint="default"/>
                <w:color w:val="auto"/>
                <w:sz w:val="24"/>
                <w:szCs w:val="24"/>
                <w:highlight w:val="none"/>
                <w:u w:val="none"/>
              </w:rPr>
              <w:t>建设单位按照《环境影响评价技术导则地下水环境》(HJ610-2016)要求进行防腐防渗，本项目</w:t>
            </w:r>
            <w:r>
              <w:rPr>
                <w:rFonts w:hint="eastAsia"/>
                <w:color w:val="auto"/>
                <w:sz w:val="24"/>
                <w:szCs w:val="24"/>
                <w:highlight w:val="none"/>
                <w:u w:val="none"/>
                <w:lang w:eastAsia="zh-CN"/>
              </w:rPr>
              <w:t>硫酸罐区、生产车间</w:t>
            </w:r>
            <w:r>
              <w:rPr>
                <w:rFonts w:hint="default"/>
                <w:color w:val="auto"/>
                <w:sz w:val="24"/>
                <w:szCs w:val="24"/>
                <w:highlight w:val="none"/>
                <w:u w:val="none"/>
              </w:rPr>
              <w:t>、危废暂存间</w:t>
            </w:r>
            <w:r>
              <w:rPr>
                <w:rFonts w:hint="eastAsia"/>
                <w:color w:val="auto"/>
                <w:sz w:val="24"/>
                <w:szCs w:val="24"/>
                <w:highlight w:val="none"/>
                <w:u w:val="none"/>
                <w:lang w:eastAsia="zh-CN"/>
              </w:rPr>
              <w:t>、污泥储存间</w:t>
            </w:r>
            <w:r>
              <w:rPr>
                <w:rFonts w:hint="default"/>
                <w:color w:val="auto"/>
                <w:sz w:val="24"/>
                <w:szCs w:val="24"/>
                <w:highlight w:val="none"/>
                <w:u w:val="none"/>
              </w:rPr>
              <w:t>为重点防渗区；一般固废暂存区、原料仓库、成品仓库为一般防渗区；办公</w:t>
            </w:r>
            <w:r>
              <w:rPr>
                <w:rFonts w:hint="eastAsia"/>
                <w:color w:val="auto"/>
                <w:sz w:val="24"/>
                <w:szCs w:val="24"/>
                <w:highlight w:val="none"/>
                <w:u w:val="none"/>
                <w:lang w:eastAsia="zh-CN"/>
              </w:rPr>
              <w:t>楼、宿舍楼</w:t>
            </w:r>
            <w:r>
              <w:rPr>
                <w:rFonts w:hint="default"/>
                <w:color w:val="auto"/>
                <w:sz w:val="24"/>
                <w:szCs w:val="24"/>
                <w:highlight w:val="none"/>
                <w:u w:val="none"/>
              </w:rPr>
              <w:t>为简单防渗区。根据不同防渗分区防渗技术要求，提出以下地下水污染防治措施：</w:t>
            </w:r>
          </w:p>
          <w:p>
            <w:pPr>
              <w:pStyle w:val="62"/>
              <w:bidi w:val="0"/>
              <w:rPr>
                <w:rFonts w:hint="default"/>
                <w:color w:val="auto"/>
                <w:sz w:val="24"/>
                <w:szCs w:val="24"/>
                <w:highlight w:val="none"/>
                <w:u w:val="none"/>
              </w:rPr>
            </w:pPr>
            <w:r>
              <w:rPr>
                <w:rFonts w:hint="default"/>
                <w:color w:val="auto"/>
                <w:sz w:val="24"/>
                <w:szCs w:val="24"/>
                <w:highlight w:val="none"/>
                <w:u w:val="none"/>
              </w:rPr>
              <w:t>①重点防渗区</w:t>
            </w:r>
          </w:p>
          <w:p>
            <w:pPr>
              <w:pStyle w:val="62"/>
              <w:bidi w:val="0"/>
              <w:rPr>
                <w:rFonts w:hint="default"/>
                <w:color w:val="auto"/>
                <w:sz w:val="24"/>
                <w:szCs w:val="24"/>
                <w:highlight w:val="none"/>
                <w:u w:val="none"/>
              </w:rPr>
            </w:pPr>
            <w:r>
              <w:rPr>
                <w:rFonts w:hint="default"/>
                <w:color w:val="auto"/>
                <w:sz w:val="24"/>
                <w:szCs w:val="24"/>
                <w:highlight w:val="none"/>
                <w:u w:val="none"/>
              </w:rPr>
              <w:t>根据《环境影响评价技术导则地下水环境》（HJ610-2016）要求，重点防渗区防渗技术要求需满足“等效黏土防渗层Mb≥6.0m、K≤1×10</w:t>
            </w:r>
            <w:r>
              <w:rPr>
                <w:rFonts w:hint="default"/>
                <w:color w:val="auto"/>
                <w:sz w:val="24"/>
                <w:szCs w:val="24"/>
                <w:highlight w:val="none"/>
                <w:u w:val="none"/>
                <w:vertAlign w:val="superscript"/>
              </w:rPr>
              <w:t>-7</w:t>
            </w:r>
            <w:r>
              <w:rPr>
                <w:rFonts w:hint="default"/>
                <w:color w:val="auto"/>
                <w:sz w:val="24"/>
                <w:szCs w:val="24"/>
                <w:highlight w:val="none"/>
                <w:u w:val="none"/>
              </w:rPr>
              <w:t>cm/s”。</w:t>
            </w:r>
          </w:p>
          <w:p>
            <w:pPr>
              <w:pStyle w:val="62"/>
              <w:bidi w:val="0"/>
              <w:rPr>
                <w:rFonts w:hint="default"/>
                <w:color w:val="auto"/>
                <w:sz w:val="24"/>
                <w:szCs w:val="24"/>
                <w:highlight w:val="none"/>
                <w:u w:val="none"/>
              </w:rPr>
            </w:pPr>
            <w:r>
              <w:rPr>
                <w:rFonts w:hint="default"/>
                <w:color w:val="auto"/>
                <w:sz w:val="24"/>
                <w:szCs w:val="24"/>
                <w:highlight w:val="none"/>
                <w:u w:val="none"/>
              </w:rPr>
              <w:t>A、各类池体</w:t>
            </w:r>
          </w:p>
          <w:p>
            <w:pPr>
              <w:pStyle w:val="62"/>
              <w:bidi w:val="0"/>
              <w:rPr>
                <w:rFonts w:hint="default"/>
                <w:color w:val="auto"/>
                <w:sz w:val="24"/>
                <w:szCs w:val="24"/>
                <w:highlight w:val="none"/>
                <w:u w:val="none"/>
              </w:rPr>
            </w:pPr>
            <w:r>
              <w:rPr>
                <w:rFonts w:hint="default"/>
                <w:color w:val="auto"/>
                <w:sz w:val="24"/>
                <w:szCs w:val="24"/>
                <w:highlight w:val="none"/>
                <w:u w:val="none"/>
              </w:rPr>
              <w:t>池底及池壁应进行重点防渗处理，防渗等级参照《环境影响评价技术导则地下水环境》（HJ610-2016）中相关要求，具体如下：调池底和池壁铺设2mm厚的HDPE膜，池底膜上铺设</w:t>
            </w:r>
            <w:r>
              <w:rPr>
                <w:rFonts w:hint="default" w:ascii="Times New Roman" w:hAnsi="Times New Roman" w:cs="Times New Roman"/>
                <w:color w:val="auto"/>
                <w:sz w:val="24"/>
                <w:szCs w:val="24"/>
                <w:highlight w:val="none"/>
                <w:u w:val="none"/>
              </w:rPr>
              <w:t>800g/</w:t>
            </w:r>
            <w:r>
              <w:rPr>
                <w:rFonts w:hint="default" w:ascii="Times New Roman" w:hAnsi="Times New Roman" w:eastAsia="微软雅黑" w:cs="Times New Roman"/>
                <w:color w:val="auto"/>
                <w:sz w:val="24"/>
                <w:szCs w:val="24"/>
                <w:highlight w:val="none"/>
                <w:u w:val="none"/>
              </w:rPr>
              <w:t>㎡</w:t>
            </w:r>
            <w:r>
              <w:rPr>
                <w:rFonts w:hint="default"/>
                <w:color w:val="auto"/>
                <w:sz w:val="24"/>
                <w:szCs w:val="24"/>
                <w:highlight w:val="none"/>
                <w:u w:val="none"/>
              </w:rPr>
              <w:t>无纺土工布一层（膜上保护层），上方再铺设方砖，渗透系数≤1×10</w:t>
            </w:r>
            <w:r>
              <w:rPr>
                <w:rFonts w:hint="default"/>
                <w:color w:val="auto"/>
                <w:sz w:val="24"/>
                <w:szCs w:val="24"/>
                <w:highlight w:val="none"/>
                <w:u w:val="none"/>
                <w:vertAlign w:val="superscript"/>
              </w:rPr>
              <w:t>-10</w:t>
            </w:r>
            <w:r>
              <w:rPr>
                <w:rFonts w:hint="default"/>
                <w:color w:val="auto"/>
                <w:sz w:val="24"/>
                <w:szCs w:val="24"/>
                <w:highlight w:val="none"/>
                <w:u w:val="none"/>
              </w:rPr>
              <w:t>cm/s，防止对地下水的污染。</w:t>
            </w:r>
          </w:p>
          <w:p>
            <w:pPr>
              <w:pStyle w:val="62"/>
              <w:bidi w:val="0"/>
              <w:rPr>
                <w:rFonts w:hint="default"/>
                <w:color w:val="auto"/>
                <w:sz w:val="24"/>
                <w:szCs w:val="24"/>
                <w:highlight w:val="none"/>
                <w:u w:val="none"/>
              </w:rPr>
            </w:pPr>
            <w:r>
              <w:rPr>
                <w:rFonts w:hint="default"/>
                <w:color w:val="auto"/>
                <w:sz w:val="24"/>
                <w:szCs w:val="24"/>
                <w:highlight w:val="none"/>
                <w:u w:val="none"/>
              </w:rPr>
              <w:t>B、污水管道</w:t>
            </w:r>
          </w:p>
          <w:p>
            <w:pPr>
              <w:pStyle w:val="62"/>
              <w:bidi w:val="0"/>
              <w:rPr>
                <w:rFonts w:hint="default"/>
                <w:color w:val="auto"/>
                <w:sz w:val="24"/>
                <w:szCs w:val="24"/>
                <w:highlight w:val="none"/>
                <w:u w:val="none"/>
              </w:rPr>
            </w:pPr>
            <w:r>
              <w:rPr>
                <w:rFonts w:hint="default"/>
                <w:color w:val="auto"/>
                <w:sz w:val="24"/>
                <w:szCs w:val="24"/>
                <w:highlight w:val="none"/>
                <w:u w:val="none"/>
              </w:rPr>
              <w:t>采用抗渗钢筋混凝土管沟或HDPE膜防渗层。抗渗钢筋混凝土管沟中应掺加水泥基渗透结晶型防水剂，掺加量宜为0.8%~1.5%，渗透系数不应大于1.0×10</w:t>
            </w:r>
            <w:r>
              <w:rPr>
                <w:rFonts w:hint="default"/>
                <w:color w:val="auto"/>
                <w:sz w:val="24"/>
                <w:szCs w:val="24"/>
                <w:highlight w:val="none"/>
                <w:u w:val="none"/>
                <w:vertAlign w:val="superscript"/>
              </w:rPr>
              <w:t>-10</w:t>
            </w:r>
            <w:r>
              <w:rPr>
                <w:rFonts w:hint="default"/>
                <w:color w:val="auto"/>
                <w:sz w:val="24"/>
                <w:szCs w:val="24"/>
                <w:highlight w:val="none"/>
                <w:u w:val="none"/>
              </w:rPr>
              <w:t>cm/s，HDPE的渗透系数不应大于1.0×10</w:t>
            </w:r>
            <w:r>
              <w:rPr>
                <w:rFonts w:hint="default"/>
                <w:color w:val="auto"/>
                <w:sz w:val="24"/>
                <w:szCs w:val="24"/>
                <w:highlight w:val="none"/>
                <w:u w:val="none"/>
                <w:vertAlign w:val="superscript"/>
              </w:rPr>
              <w:t>-10</w:t>
            </w:r>
            <w:r>
              <w:rPr>
                <w:rFonts w:hint="default"/>
                <w:color w:val="auto"/>
                <w:sz w:val="24"/>
                <w:szCs w:val="24"/>
                <w:highlight w:val="none"/>
                <w:u w:val="none"/>
              </w:rPr>
              <w:t>cm/s，厚度不应小于1.5mm。</w:t>
            </w:r>
          </w:p>
          <w:p>
            <w:pPr>
              <w:pStyle w:val="62"/>
              <w:bidi w:val="0"/>
              <w:rPr>
                <w:rFonts w:hint="default"/>
                <w:color w:val="auto"/>
                <w:sz w:val="24"/>
                <w:szCs w:val="24"/>
                <w:highlight w:val="none"/>
                <w:u w:val="none"/>
              </w:rPr>
            </w:pPr>
            <w:r>
              <w:rPr>
                <w:rFonts w:hint="default"/>
                <w:color w:val="auto"/>
                <w:sz w:val="24"/>
                <w:szCs w:val="24"/>
                <w:highlight w:val="none"/>
                <w:u w:val="none"/>
              </w:rPr>
              <w:t>C、危废暂存间</w:t>
            </w:r>
          </w:p>
          <w:p>
            <w:pPr>
              <w:pStyle w:val="62"/>
              <w:bidi w:val="0"/>
              <w:rPr>
                <w:rFonts w:hint="default"/>
                <w:color w:val="auto"/>
                <w:sz w:val="24"/>
                <w:szCs w:val="24"/>
                <w:highlight w:val="none"/>
                <w:u w:val="none"/>
              </w:rPr>
            </w:pPr>
            <w:r>
              <w:rPr>
                <w:rFonts w:hint="default"/>
                <w:color w:val="auto"/>
                <w:sz w:val="24"/>
                <w:szCs w:val="24"/>
                <w:highlight w:val="none"/>
                <w:u w:val="none"/>
              </w:rPr>
              <w:t>本项目危废暂存间防渗等级还应达到《危险废物贮存污染控制标准》（GB18597-2023）中规定的中规定的渗透系数≤1.0×10</w:t>
            </w:r>
            <w:r>
              <w:rPr>
                <w:rFonts w:hint="default"/>
                <w:color w:val="auto"/>
                <w:sz w:val="24"/>
                <w:szCs w:val="24"/>
                <w:highlight w:val="none"/>
                <w:u w:val="none"/>
                <w:vertAlign w:val="superscript"/>
              </w:rPr>
              <w:t>-7</w:t>
            </w:r>
            <w:r>
              <w:rPr>
                <w:rFonts w:hint="default"/>
                <w:color w:val="auto"/>
                <w:sz w:val="24"/>
                <w:szCs w:val="24"/>
                <w:highlight w:val="none"/>
                <w:u w:val="none"/>
              </w:rPr>
              <w:t>cm/s，即：基础必须防渗，防渗层为至少1m厚粘土层（渗透系数≤10</w:t>
            </w:r>
            <w:r>
              <w:rPr>
                <w:rFonts w:hint="default"/>
                <w:color w:val="auto"/>
                <w:sz w:val="24"/>
                <w:szCs w:val="24"/>
                <w:highlight w:val="none"/>
                <w:u w:val="none"/>
                <w:vertAlign w:val="superscript"/>
              </w:rPr>
              <w:t>-7</w:t>
            </w:r>
            <w:r>
              <w:rPr>
                <w:rFonts w:hint="default"/>
                <w:color w:val="auto"/>
                <w:sz w:val="24"/>
                <w:szCs w:val="24"/>
                <w:highlight w:val="none"/>
                <w:u w:val="none"/>
              </w:rPr>
              <w:t>cm/s），或2mm厚高密度聚乙烯，或至少2mm厚的其它人工材料，渗透系数≤10</w:t>
            </w:r>
            <w:r>
              <w:rPr>
                <w:rFonts w:hint="default"/>
                <w:color w:val="auto"/>
                <w:sz w:val="24"/>
                <w:szCs w:val="24"/>
                <w:highlight w:val="none"/>
                <w:u w:val="none"/>
                <w:vertAlign w:val="superscript"/>
              </w:rPr>
              <w:t>-10</w:t>
            </w:r>
            <w:r>
              <w:rPr>
                <w:rFonts w:hint="default"/>
                <w:color w:val="auto"/>
                <w:sz w:val="24"/>
                <w:szCs w:val="24"/>
                <w:highlight w:val="none"/>
                <w:u w:val="none"/>
              </w:rPr>
              <w:t>cm/s。</w:t>
            </w:r>
          </w:p>
          <w:p>
            <w:pPr>
              <w:pStyle w:val="62"/>
              <w:bidi w:val="0"/>
              <w:rPr>
                <w:rFonts w:hint="default"/>
                <w:color w:val="auto"/>
                <w:sz w:val="24"/>
                <w:szCs w:val="24"/>
                <w:highlight w:val="none"/>
                <w:u w:val="none"/>
              </w:rPr>
            </w:pPr>
            <w:r>
              <w:rPr>
                <w:rFonts w:hint="default"/>
                <w:color w:val="auto"/>
                <w:sz w:val="24"/>
                <w:szCs w:val="24"/>
                <w:highlight w:val="none"/>
                <w:u w:val="none"/>
              </w:rPr>
              <w:t>②一般防渗区</w:t>
            </w:r>
          </w:p>
          <w:p>
            <w:pPr>
              <w:pStyle w:val="62"/>
              <w:bidi w:val="0"/>
              <w:rPr>
                <w:rFonts w:hint="default"/>
                <w:color w:val="auto"/>
                <w:sz w:val="24"/>
                <w:szCs w:val="24"/>
                <w:highlight w:val="none"/>
                <w:u w:val="none"/>
              </w:rPr>
            </w:pPr>
            <w:r>
              <w:rPr>
                <w:rFonts w:hint="default"/>
                <w:color w:val="auto"/>
                <w:sz w:val="24"/>
                <w:szCs w:val="24"/>
                <w:highlight w:val="none"/>
                <w:u w:val="none"/>
              </w:rPr>
              <w:t>根据《环境影响评价技术导则地下水环境》（HJ610-2016）要求，一般防渗区防渗技术要求需满足“等效黏土防渗层Mb≥1.5m、K≤1×10</w:t>
            </w:r>
            <w:r>
              <w:rPr>
                <w:rFonts w:hint="default"/>
                <w:color w:val="auto"/>
                <w:sz w:val="24"/>
                <w:szCs w:val="24"/>
                <w:highlight w:val="none"/>
                <w:u w:val="none"/>
                <w:vertAlign w:val="superscript"/>
              </w:rPr>
              <w:t>-7</w:t>
            </w:r>
            <w:r>
              <w:rPr>
                <w:rFonts w:hint="default"/>
                <w:color w:val="auto"/>
                <w:sz w:val="24"/>
                <w:szCs w:val="24"/>
                <w:highlight w:val="none"/>
                <w:u w:val="none"/>
              </w:rPr>
              <w:t>cm/s。</w:t>
            </w:r>
          </w:p>
          <w:p>
            <w:pPr>
              <w:pStyle w:val="62"/>
              <w:bidi w:val="0"/>
              <w:rPr>
                <w:rFonts w:hint="default"/>
                <w:color w:val="auto"/>
                <w:sz w:val="24"/>
                <w:szCs w:val="24"/>
                <w:highlight w:val="none"/>
                <w:u w:val="none"/>
              </w:rPr>
            </w:pPr>
            <w:r>
              <w:rPr>
                <w:rFonts w:hint="default"/>
                <w:color w:val="auto"/>
                <w:sz w:val="24"/>
                <w:szCs w:val="24"/>
                <w:highlight w:val="none"/>
                <w:u w:val="none"/>
              </w:rPr>
              <w:t>通过在抗渗混凝土面层（包括钢筋混凝土、钢纤维混凝土）中掺水泥及渗透结晶型防水剂，其下铺砌砂石基层，原土夯实达到防渗的目的。土工布及1.5mmHDPE膜进行防渗土工布及1.5mmHDPE膜进行防渗，渗透系数≤1.0×10</w:t>
            </w:r>
            <w:r>
              <w:rPr>
                <w:rFonts w:hint="default"/>
                <w:color w:val="auto"/>
                <w:sz w:val="24"/>
                <w:szCs w:val="24"/>
                <w:highlight w:val="none"/>
                <w:u w:val="none"/>
                <w:vertAlign w:val="superscript"/>
              </w:rPr>
              <w:t>-7</w:t>
            </w:r>
            <w:r>
              <w:rPr>
                <w:rFonts w:hint="default"/>
                <w:color w:val="auto"/>
                <w:sz w:val="24"/>
                <w:szCs w:val="24"/>
                <w:highlight w:val="none"/>
                <w:u w:val="none"/>
              </w:rPr>
              <w:t>cm/s。一般污染防治区抗渗混凝土的抗渗等级不宜小于P6，其厚度不宜小于100mm。</w:t>
            </w:r>
          </w:p>
          <w:p>
            <w:pPr>
              <w:pStyle w:val="62"/>
              <w:bidi w:val="0"/>
              <w:rPr>
                <w:rFonts w:hint="default"/>
                <w:color w:val="auto"/>
                <w:sz w:val="24"/>
                <w:szCs w:val="24"/>
                <w:highlight w:val="none"/>
                <w:u w:val="none"/>
              </w:rPr>
            </w:pPr>
            <w:r>
              <w:rPr>
                <w:rFonts w:hint="default"/>
                <w:color w:val="auto"/>
                <w:sz w:val="24"/>
                <w:szCs w:val="24"/>
                <w:highlight w:val="none"/>
                <w:u w:val="none"/>
              </w:rPr>
              <w:t>③简单防渗区</w:t>
            </w:r>
          </w:p>
          <w:p>
            <w:pPr>
              <w:pStyle w:val="62"/>
              <w:bidi w:val="0"/>
              <w:rPr>
                <w:rFonts w:hint="default"/>
                <w:color w:val="auto"/>
                <w:sz w:val="24"/>
                <w:szCs w:val="24"/>
                <w:highlight w:val="none"/>
                <w:u w:val="none"/>
              </w:rPr>
            </w:pPr>
            <w:r>
              <w:rPr>
                <w:rFonts w:hint="default"/>
                <w:color w:val="auto"/>
                <w:sz w:val="24"/>
                <w:szCs w:val="24"/>
                <w:highlight w:val="none"/>
                <w:u w:val="none"/>
              </w:rPr>
              <w:t>办公</w:t>
            </w:r>
            <w:r>
              <w:rPr>
                <w:rFonts w:hint="eastAsia"/>
                <w:color w:val="auto"/>
                <w:sz w:val="24"/>
                <w:szCs w:val="24"/>
                <w:highlight w:val="none"/>
                <w:u w:val="none"/>
                <w:lang w:eastAsia="zh-CN"/>
              </w:rPr>
              <w:t>楼</w:t>
            </w:r>
            <w:r>
              <w:rPr>
                <w:rFonts w:hint="default"/>
                <w:color w:val="auto"/>
                <w:sz w:val="24"/>
                <w:szCs w:val="24"/>
                <w:highlight w:val="none"/>
                <w:u w:val="none"/>
              </w:rPr>
              <w:t>、</w:t>
            </w:r>
            <w:r>
              <w:rPr>
                <w:rFonts w:hint="eastAsia"/>
                <w:color w:val="auto"/>
                <w:sz w:val="24"/>
                <w:szCs w:val="24"/>
                <w:highlight w:val="none"/>
                <w:u w:val="none"/>
                <w:lang w:eastAsia="zh-CN"/>
              </w:rPr>
              <w:t>宿舍楼、</w:t>
            </w:r>
            <w:r>
              <w:rPr>
                <w:rFonts w:hint="default"/>
                <w:color w:val="auto"/>
                <w:sz w:val="24"/>
                <w:szCs w:val="24"/>
                <w:highlight w:val="none"/>
                <w:u w:val="none"/>
              </w:rPr>
              <w:t>厂区道路基本不产生污染物，划分为简单防渗区，采用混凝土硬化处理，符合简单防渗的要求。建设单位根据防渗要求进行建设，满足防渗要求，可有效防止泄漏污染，措施可行。</w:t>
            </w:r>
          </w:p>
          <w:p>
            <w:pPr>
              <w:pStyle w:val="62"/>
              <w:bidi w:val="0"/>
              <w:rPr>
                <w:rFonts w:hint="default"/>
                <w:color w:val="auto"/>
                <w:sz w:val="24"/>
                <w:szCs w:val="24"/>
                <w:highlight w:val="none"/>
                <w:u w:val="none"/>
              </w:rPr>
            </w:pPr>
            <w:r>
              <w:rPr>
                <w:rFonts w:hint="default"/>
                <w:color w:val="auto"/>
                <w:sz w:val="24"/>
                <w:szCs w:val="24"/>
                <w:highlight w:val="none"/>
                <w:u w:val="none"/>
              </w:rPr>
              <w:t>在确保各项防渗措施得以落实并得到良好维护的前提下，可有效减少项目产生的废水污染物下渗。采取上述防治措施后，项目运营期间在正常情况下不会对地下水、土壤环境造成污染影响。</w:t>
            </w:r>
          </w:p>
          <w:p>
            <w:pPr>
              <w:pStyle w:val="4"/>
              <w:spacing w:line="480" w:lineRule="exact"/>
              <w:ind w:firstLine="422"/>
              <w:rPr>
                <w:rFonts w:hint="default" w:ascii="Times New Roman" w:hAnsi="Times New Roman" w:cs="Times New Roman"/>
                <w:color w:val="auto"/>
                <w:sz w:val="24"/>
                <w:szCs w:val="40"/>
                <w:highlight w:val="none"/>
                <w:u w:val="none" w:color="auto"/>
              </w:rPr>
            </w:pPr>
            <w:r>
              <w:rPr>
                <w:rFonts w:hint="default" w:ascii="Times New Roman" w:hAnsi="Times New Roman" w:cs="Times New Roman"/>
                <w:color w:val="auto"/>
                <w:sz w:val="24"/>
                <w:szCs w:val="40"/>
                <w:highlight w:val="none"/>
                <w:u w:val="none" w:color="auto"/>
              </w:rPr>
              <w:t>4.</w:t>
            </w:r>
            <w:r>
              <w:rPr>
                <w:rFonts w:hint="eastAsia" w:cs="Times New Roman"/>
                <w:color w:val="auto"/>
                <w:sz w:val="24"/>
                <w:szCs w:val="40"/>
                <w:highlight w:val="none"/>
                <w:u w:val="none" w:color="auto"/>
                <w:lang w:val="en-US" w:eastAsia="zh-CN"/>
              </w:rPr>
              <w:t>7</w:t>
            </w:r>
            <w:r>
              <w:rPr>
                <w:rFonts w:hint="default" w:ascii="Times New Roman" w:hAnsi="Times New Roman" w:cs="Times New Roman"/>
                <w:color w:val="auto"/>
                <w:sz w:val="24"/>
                <w:szCs w:val="40"/>
                <w:highlight w:val="none"/>
                <w:u w:val="none" w:color="auto"/>
              </w:rPr>
              <w:t>生态</w:t>
            </w:r>
          </w:p>
          <w:p>
            <w:pPr>
              <w:pStyle w:val="62"/>
              <w:bidi w:val="0"/>
              <w:rPr>
                <w:rFonts w:hint="default"/>
                <w:color w:val="auto"/>
                <w:sz w:val="24"/>
                <w:szCs w:val="24"/>
                <w:highlight w:val="none"/>
                <w:u w:val="none" w:color="auto"/>
              </w:rPr>
            </w:pPr>
            <w:r>
              <w:rPr>
                <w:rFonts w:hint="default"/>
                <w:color w:val="auto"/>
                <w:sz w:val="24"/>
                <w:szCs w:val="24"/>
                <w:highlight w:val="none"/>
                <w:u w:val="none" w:color="auto"/>
              </w:rPr>
              <w:t>本项目位于</w:t>
            </w:r>
            <w:r>
              <w:rPr>
                <w:rFonts w:hint="eastAsia"/>
                <w:color w:val="auto"/>
                <w:sz w:val="24"/>
                <w:szCs w:val="24"/>
                <w:highlight w:val="none"/>
                <w:u w:val="none" w:color="auto"/>
                <w:lang w:val="en-US" w:eastAsia="zh-CN"/>
              </w:rPr>
              <w:t>湖南</w:t>
            </w:r>
            <w:r>
              <w:rPr>
                <w:rFonts w:hint="default"/>
                <w:color w:val="auto"/>
                <w:sz w:val="24"/>
                <w:szCs w:val="24"/>
                <w:highlight w:val="none"/>
                <w:u w:val="none" w:color="auto"/>
                <w:lang w:val="en-US" w:eastAsia="zh-CN"/>
              </w:rPr>
              <w:t>湘阴高新技术产业开发区</w:t>
            </w:r>
            <w:r>
              <w:rPr>
                <w:rFonts w:hint="default"/>
                <w:color w:val="auto"/>
                <w:sz w:val="24"/>
                <w:szCs w:val="24"/>
                <w:highlight w:val="none"/>
                <w:u w:val="none" w:color="auto"/>
              </w:rPr>
              <w:t>，周边无生态环境保护目标，本项目对生态环境造成影响较小。</w:t>
            </w:r>
          </w:p>
          <w:p>
            <w:pPr>
              <w:pStyle w:val="4"/>
              <w:spacing w:line="480" w:lineRule="exact"/>
              <w:ind w:firstLine="422"/>
              <w:rPr>
                <w:rFonts w:hint="default" w:ascii="Times New Roman" w:hAnsi="Times New Roman" w:cs="Times New Roman"/>
                <w:color w:val="auto"/>
                <w:sz w:val="24"/>
                <w:szCs w:val="40"/>
                <w:highlight w:val="none"/>
                <w:u w:val="none" w:color="auto"/>
              </w:rPr>
            </w:pPr>
            <w:r>
              <w:rPr>
                <w:rFonts w:hint="default" w:ascii="Times New Roman" w:hAnsi="Times New Roman" w:cs="Times New Roman"/>
                <w:color w:val="auto"/>
                <w:sz w:val="24"/>
                <w:szCs w:val="40"/>
                <w:highlight w:val="none"/>
                <w:u w:val="none" w:color="auto"/>
              </w:rPr>
              <w:t>4.</w:t>
            </w:r>
            <w:r>
              <w:rPr>
                <w:rFonts w:hint="eastAsia" w:cs="Times New Roman"/>
                <w:color w:val="auto"/>
                <w:sz w:val="24"/>
                <w:szCs w:val="40"/>
                <w:highlight w:val="none"/>
                <w:u w:val="none" w:color="auto"/>
                <w:lang w:val="en-US" w:eastAsia="zh-CN"/>
              </w:rPr>
              <w:t>8</w:t>
            </w:r>
            <w:r>
              <w:rPr>
                <w:rFonts w:hint="default" w:ascii="Times New Roman" w:hAnsi="Times New Roman" w:cs="Times New Roman"/>
                <w:color w:val="auto"/>
                <w:sz w:val="24"/>
                <w:szCs w:val="40"/>
                <w:highlight w:val="none"/>
                <w:u w:val="none" w:color="auto"/>
              </w:rPr>
              <w:t>环境风险分析</w:t>
            </w:r>
          </w:p>
          <w:p>
            <w:pPr>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bidi="ar"/>
              </w:rPr>
            </w:pPr>
            <w:r>
              <w:rPr>
                <w:rFonts w:hint="default" w:ascii="Times New Roman" w:hAnsi="Times New Roman" w:eastAsia="宋体" w:cs="Times New Roman"/>
                <w:color w:val="auto"/>
                <w:sz w:val="24"/>
                <w:szCs w:val="24"/>
                <w:highlight w:val="none"/>
                <w:u w:val="none" w:color="auto"/>
                <w:lang w:val="en-US" w:eastAsia="zh-CN" w:bidi="ar"/>
              </w:rPr>
              <w:t>详见《</w:t>
            </w:r>
            <w:r>
              <w:rPr>
                <w:rFonts w:hint="eastAsia" w:ascii="Times New Roman" w:hAnsi="Times New Roman" w:eastAsia="宋体" w:cs="Times New Roman"/>
                <w:color w:val="auto"/>
                <w:sz w:val="24"/>
                <w:szCs w:val="24"/>
                <w:highlight w:val="none"/>
                <w:u w:val="none" w:color="auto"/>
                <w:lang w:eastAsia="zh-CN"/>
              </w:rPr>
              <w:t>湖南西姆西科技有限公司焊材制造</w:t>
            </w:r>
            <w:r>
              <w:rPr>
                <w:rFonts w:hint="eastAsia" w:cs="Times New Roman"/>
                <w:color w:val="auto"/>
                <w:sz w:val="24"/>
                <w:szCs w:val="24"/>
                <w:highlight w:val="none"/>
                <w:u w:val="none" w:color="auto"/>
                <w:lang w:eastAsia="zh-CN"/>
              </w:rPr>
              <w:t>改扩建</w:t>
            </w:r>
            <w:r>
              <w:rPr>
                <w:rFonts w:hint="eastAsia" w:ascii="Times New Roman" w:hAnsi="Times New Roman" w:eastAsia="宋体" w:cs="Times New Roman"/>
                <w:color w:val="auto"/>
                <w:sz w:val="24"/>
                <w:szCs w:val="24"/>
                <w:highlight w:val="none"/>
                <w:u w:val="none" w:color="auto"/>
                <w:lang w:eastAsia="zh-CN"/>
              </w:rPr>
              <w:t>项目</w:t>
            </w:r>
            <w:r>
              <w:rPr>
                <w:rFonts w:hint="default" w:ascii="Times New Roman" w:hAnsi="Times New Roman" w:eastAsia="宋体" w:cs="Times New Roman"/>
                <w:color w:val="auto"/>
                <w:sz w:val="24"/>
                <w:szCs w:val="24"/>
                <w:highlight w:val="none"/>
                <w:u w:val="none" w:color="auto"/>
                <w:lang w:val="en-US" w:eastAsia="zh-CN" w:bidi="ar"/>
              </w:rPr>
              <w:t>环境风险专项评价》。根据《建设项目环境风险评价技术导则》（HJ169-2018）附录B及《企业突发环境事件风险评估指南（试行）》（环办〔2014〕）“附录B突发环境事件风险物质及临界量清单”等，本项目涉及的风险物质主要包括危险物质为</w:t>
            </w:r>
            <w:r>
              <w:rPr>
                <w:rFonts w:hint="eastAsia" w:ascii="Times New Roman" w:hAnsi="Times New Roman" w:eastAsia="宋体" w:cs="Times New Roman"/>
                <w:color w:val="auto"/>
                <w:sz w:val="24"/>
                <w:szCs w:val="24"/>
                <w:highlight w:val="none"/>
                <w:u w:val="none" w:color="auto"/>
                <w:lang w:val="en-US" w:eastAsia="zh-CN" w:bidi="ar"/>
              </w:rPr>
              <w:t>硫酸</w:t>
            </w:r>
            <w:r>
              <w:rPr>
                <w:rFonts w:hint="default" w:ascii="Times New Roman" w:hAnsi="Times New Roman" w:eastAsia="宋体" w:cs="Times New Roman"/>
                <w:color w:val="auto"/>
                <w:sz w:val="24"/>
                <w:szCs w:val="24"/>
                <w:highlight w:val="none"/>
                <w:u w:val="none" w:color="auto"/>
                <w:lang w:val="en-US" w:eastAsia="zh-CN" w:bidi="ar"/>
              </w:rPr>
              <w:t>（</w:t>
            </w:r>
            <w:r>
              <w:rPr>
                <w:rFonts w:hint="eastAsia" w:ascii="Times New Roman" w:hAnsi="Times New Roman" w:eastAsia="宋体" w:cs="Times New Roman"/>
                <w:color w:val="auto"/>
                <w:sz w:val="24"/>
                <w:szCs w:val="24"/>
                <w:highlight w:val="none"/>
                <w:u w:val="none" w:color="auto"/>
                <w:lang w:val="en-US" w:eastAsia="zh-CN" w:bidi="ar"/>
              </w:rPr>
              <w:t>9</w:t>
            </w:r>
            <w:r>
              <w:rPr>
                <w:rFonts w:hint="eastAsia" w:cs="Times New Roman"/>
                <w:color w:val="auto"/>
                <w:sz w:val="24"/>
                <w:szCs w:val="24"/>
                <w:highlight w:val="none"/>
                <w:u w:val="none" w:color="auto"/>
                <w:lang w:val="en-US" w:eastAsia="zh-CN" w:bidi="ar"/>
              </w:rPr>
              <w:t>6</w:t>
            </w:r>
            <w:r>
              <w:rPr>
                <w:rFonts w:hint="default" w:ascii="Times New Roman" w:hAnsi="Times New Roman" w:eastAsia="宋体" w:cs="Times New Roman"/>
                <w:color w:val="auto"/>
                <w:sz w:val="24"/>
                <w:szCs w:val="24"/>
                <w:highlight w:val="none"/>
                <w:u w:val="none" w:color="auto"/>
                <w:lang w:val="en-US" w:eastAsia="zh-CN" w:bidi="ar"/>
              </w:rPr>
              <w:t>%）、</w:t>
            </w:r>
            <w:r>
              <w:rPr>
                <w:rFonts w:hint="eastAsia" w:cs="Times New Roman"/>
                <w:color w:val="auto"/>
                <w:sz w:val="24"/>
                <w:szCs w:val="24"/>
                <w:highlight w:val="none"/>
                <w:u w:val="none" w:color="auto"/>
                <w:lang w:val="en-US" w:eastAsia="zh-CN" w:bidi="ar"/>
              </w:rPr>
              <w:t>液氨</w:t>
            </w:r>
            <w:r>
              <w:rPr>
                <w:rFonts w:hint="default" w:ascii="Times New Roman" w:hAnsi="Times New Roman" w:eastAsia="宋体" w:cs="Times New Roman"/>
                <w:color w:val="auto"/>
                <w:sz w:val="24"/>
                <w:szCs w:val="24"/>
                <w:highlight w:val="none"/>
                <w:u w:val="none" w:color="auto"/>
                <w:lang w:val="en-US" w:eastAsia="zh-CN" w:bidi="ar"/>
              </w:rPr>
              <w:t>、</w:t>
            </w:r>
            <w:r>
              <w:rPr>
                <w:rFonts w:hint="eastAsia" w:cs="Times New Roman"/>
                <w:color w:val="auto"/>
                <w:sz w:val="24"/>
                <w:szCs w:val="24"/>
                <w:highlight w:val="none"/>
                <w:u w:val="none" w:color="auto"/>
                <w:lang w:val="en-US" w:eastAsia="zh-CN" w:bidi="ar"/>
              </w:rPr>
              <w:t>在线槽液、金属锰、危险废物、废润滑油等</w:t>
            </w:r>
            <w:r>
              <w:rPr>
                <w:rFonts w:hint="default" w:ascii="Times New Roman" w:hAnsi="Times New Roman" w:eastAsia="宋体" w:cs="Times New Roman"/>
                <w:color w:val="auto"/>
                <w:sz w:val="24"/>
                <w:szCs w:val="24"/>
                <w:highlight w:val="none"/>
                <w:u w:val="none" w:color="auto"/>
                <w:lang w:val="en-US" w:eastAsia="zh-CN" w:bidi="ar"/>
              </w:rPr>
              <w:t>，主要风险单元包括</w:t>
            </w:r>
            <w:r>
              <w:rPr>
                <w:rFonts w:hint="eastAsia" w:cs="Times New Roman"/>
                <w:color w:val="auto"/>
                <w:sz w:val="24"/>
                <w:szCs w:val="24"/>
                <w:highlight w:val="none"/>
                <w:u w:val="none" w:color="auto"/>
                <w:lang w:val="en-US" w:eastAsia="zh-CN" w:bidi="ar"/>
              </w:rPr>
              <w:t>各酸电解槽</w:t>
            </w:r>
            <w:r>
              <w:rPr>
                <w:rFonts w:hint="eastAsia" w:ascii="Times New Roman" w:hAnsi="Times New Roman" w:eastAsia="宋体" w:cs="Times New Roman"/>
                <w:color w:val="auto"/>
                <w:sz w:val="24"/>
                <w:szCs w:val="24"/>
                <w:highlight w:val="none"/>
                <w:u w:val="none" w:color="auto"/>
                <w:lang w:val="en-US" w:eastAsia="zh-CN" w:bidi="ar"/>
              </w:rPr>
              <w:t>、污水处理系统</w:t>
            </w:r>
            <w:r>
              <w:rPr>
                <w:rFonts w:hint="default" w:ascii="Times New Roman" w:hAnsi="Times New Roman" w:eastAsia="宋体" w:cs="Times New Roman"/>
                <w:color w:val="auto"/>
                <w:sz w:val="24"/>
                <w:szCs w:val="24"/>
                <w:highlight w:val="none"/>
                <w:u w:val="none" w:color="auto"/>
                <w:lang w:val="en-US" w:eastAsia="zh-CN" w:bidi="ar"/>
              </w:rPr>
              <w:t>等。突发环境风险事故类型主要为废水处理系统故障</w:t>
            </w:r>
            <w:r>
              <w:rPr>
                <w:rFonts w:hint="eastAsia" w:cs="Times New Roman"/>
                <w:color w:val="auto"/>
                <w:sz w:val="24"/>
                <w:szCs w:val="24"/>
                <w:highlight w:val="none"/>
                <w:u w:val="none" w:color="auto"/>
                <w:lang w:val="en-US" w:eastAsia="zh-CN" w:bidi="ar"/>
              </w:rPr>
              <w:t>、废气处理系统故障</w:t>
            </w:r>
            <w:r>
              <w:rPr>
                <w:rFonts w:hint="eastAsia" w:ascii="Times New Roman" w:hAnsi="Times New Roman" w:eastAsia="宋体" w:cs="Times New Roman"/>
                <w:color w:val="auto"/>
                <w:sz w:val="24"/>
                <w:szCs w:val="24"/>
                <w:highlight w:val="none"/>
                <w:u w:val="none" w:color="auto"/>
                <w:lang w:val="en-US" w:eastAsia="zh-CN" w:bidi="ar"/>
              </w:rPr>
              <w:t>、</w:t>
            </w:r>
            <w:r>
              <w:rPr>
                <w:rFonts w:hint="eastAsia" w:cs="Times New Roman"/>
                <w:color w:val="auto"/>
                <w:sz w:val="24"/>
                <w:szCs w:val="24"/>
                <w:highlight w:val="none"/>
                <w:u w:val="none" w:color="auto"/>
                <w:lang w:val="en-US" w:eastAsia="zh-CN" w:bidi="ar"/>
              </w:rPr>
              <w:t>危险</w:t>
            </w:r>
            <w:r>
              <w:rPr>
                <w:rFonts w:hint="default" w:ascii="Times New Roman" w:hAnsi="Times New Roman" w:eastAsia="宋体" w:cs="Times New Roman"/>
                <w:color w:val="auto"/>
                <w:sz w:val="24"/>
                <w:szCs w:val="24"/>
                <w:highlight w:val="none"/>
                <w:u w:val="none" w:color="auto"/>
                <w:lang w:val="en-US" w:eastAsia="zh-CN" w:bidi="ar"/>
              </w:rPr>
              <w:t>物质泄漏和</w:t>
            </w:r>
            <w:r>
              <w:rPr>
                <w:rFonts w:hint="eastAsia" w:cs="Times New Roman"/>
                <w:color w:val="auto"/>
                <w:sz w:val="24"/>
                <w:szCs w:val="24"/>
                <w:highlight w:val="none"/>
                <w:u w:val="none" w:color="auto"/>
                <w:lang w:val="en-US" w:eastAsia="zh-CN" w:bidi="ar"/>
              </w:rPr>
              <w:t>酸电解槽</w:t>
            </w:r>
            <w:r>
              <w:rPr>
                <w:rFonts w:hint="eastAsia" w:ascii="Times New Roman" w:hAnsi="Times New Roman" w:eastAsia="宋体" w:cs="Times New Roman"/>
                <w:color w:val="auto"/>
                <w:sz w:val="24"/>
                <w:szCs w:val="24"/>
                <w:highlight w:val="none"/>
                <w:u w:val="none" w:color="auto"/>
                <w:lang w:val="en-US" w:eastAsia="zh-CN" w:bidi="ar"/>
              </w:rPr>
              <w:t>泄漏等</w:t>
            </w:r>
            <w:r>
              <w:rPr>
                <w:rFonts w:hint="default" w:ascii="Times New Roman" w:hAnsi="Times New Roman" w:eastAsia="宋体" w:cs="Times New Roman"/>
                <w:color w:val="auto"/>
                <w:sz w:val="24"/>
                <w:szCs w:val="24"/>
                <w:highlight w:val="none"/>
                <w:u w:val="none" w:color="auto"/>
                <w:lang w:val="en-US" w:eastAsia="zh-CN" w:bidi="ar"/>
              </w:rPr>
              <w:t>。根据项目运营期风险物质最大储存量、运行工艺特点及各要素环境敏感性分析确定，</w:t>
            </w:r>
            <w:r>
              <w:rPr>
                <w:rFonts w:hint="eastAsia" w:ascii="Times New Roman" w:hAnsi="Times New Roman" w:eastAsia="宋体" w:cs="Times New Roman"/>
                <w:color w:val="auto"/>
                <w:sz w:val="24"/>
                <w:szCs w:val="24"/>
                <w:highlight w:val="none"/>
                <w:u w:val="none" w:color="auto"/>
                <w:lang w:val="en-US" w:eastAsia="zh-CN" w:bidi="ar"/>
              </w:rPr>
              <w:t>本</w:t>
            </w:r>
            <w:r>
              <w:rPr>
                <w:rFonts w:hint="default" w:ascii="Times New Roman" w:hAnsi="Times New Roman" w:eastAsia="宋体" w:cs="Times New Roman"/>
                <w:color w:val="auto"/>
                <w:sz w:val="24"/>
                <w:szCs w:val="24"/>
                <w:highlight w:val="none"/>
                <w:u w:val="none" w:color="auto"/>
                <w:lang w:val="en-US" w:eastAsia="zh-CN" w:bidi="ar"/>
              </w:rPr>
              <w:t>项目环境风险评价等级为二级评价。</w:t>
            </w:r>
          </w:p>
          <w:p>
            <w:pPr>
              <w:spacing w:line="360" w:lineRule="auto"/>
              <w:ind w:firstLine="480" w:firstLineChars="200"/>
              <w:rPr>
                <w:rFonts w:hint="default" w:ascii="宋体" w:hAnsi="宋体" w:eastAsia="宋体" w:cs="宋体"/>
                <w:color w:val="auto"/>
                <w:sz w:val="24"/>
                <w:szCs w:val="24"/>
                <w:highlight w:val="none"/>
                <w:u w:val="none" w:color="auto"/>
                <w:lang w:val="en-US" w:eastAsia="zh-CN" w:bidi="ar"/>
              </w:rPr>
            </w:pPr>
            <w:r>
              <w:rPr>
                <w:rFonts w:hint="default" w:ascii="宋体" w:hAnsi="宋体" w:eastAsia="宋体" w:cs="宋体"/>
                <w:color w:val="auto"/>
                <w:sz w:val="24"/>
                <w:szCs w:val="24"/>
                <w:highlight w:val="none"/>
                <w:u w:val="none" w:color="auto"/>
                <w:lang w:val="en-US" w:eastAsia="zh-CN" w:bidi="ar"/>
              </w:rPr>
              <w:t>建设单位对风险源采取各项控制措施，加强对员工的培训和教育，提高其工作责任心，制定各项规章制度和操作规程，避免因操作失误而造成事故发生，加强对各类风险物质储存容器、装置及风险防范设施的定期检查、维护和管理，减少事故隐患，加强风险防范。分析项目建成后与现有预案的适用性，如不适用需及时修订应急预案，一旦出现污染事故，立即启动应急预案，将突发环境风险事故风险影响控制最低低水平。</w:t>
            </w:r>
          </w:p>
          <w:p>
            <w:pPr>
              <w:spacing w:line="360" w:lineRule="auto"/>
              <w:ind w:firstLine="480" w:firstLineChars="200"/>
              <w:rPr>
                <w:rFonts w:hint="default" w:ascii="宋体" w:hAnsi="宋体" w:eastAsia="宋体" w:cs="宋体"/>
                <w:color w:val="auto"/>
                <w:sz w:val="24"/>
                <w:szCs w:val="24"/>
                <w:highlight w:val="none"/>
                <w:u w:val="none" w:color="auto"/>
                <w:lang w:val="en-US" w:eastAsia="zh-CN" w:bidi="ar"/>
              </w:rPr>
            </w:pPr>
            <w:r>
              <w:rPr>
                <w:rFonts w:hint="default" w:ascii="宋体" w:hAnsi="宋体" w:eastAsia="宋体" w:cs="宋体"/>
                <w:color w:val="auto"/>
                <w:sz w:val="24"/>
                <w:szCs w:val="24"/>
                <w:highlight w:val="none"/>
                <w:u w:val="none" w:color="auto"/>
                <w:lang w:val="en-US" w:eastAsia="zh-CN" w:bidi="ar"/>
              </w:rPr>
              <w:t>因此，建设单位在按本评价报告提出的应完善的风险防控措施后，项目环境风险事故对周围环境的影响较小。项目环境风险属可接受水平。</w:t>
            </w:r>
          </w:p>
          <w:p>
            <w:pPr>
              <w:spacing w:line="360" w:lineRule="auto"/>
              <w:rPr>
                <w:rFonts w:hint="default" w:ascii="Times New Roman" w:hAnsi="Times New Roman" w:cs="Times New Roman"/>
                <w:b/>
                <w:bCs/>
                <w:color w:val="auto"/>
                <w:sz w:val="24"/>
                <w:szCs w:val="24"/>
                <w:highlight w:val="none"/>
                <w:u w:val="single" w:color="auto"/>
              </w:rPr>
            </w:pPr>
            <w:r>
              <w:rPr>
                <w:rFonts w:hint="default" w:ascii="Times New Roman" w:hAnsi="Times New Roman" w:eastAsia="宋体" w:cs="Times New Roman"/>
                <w:b/>
                <w:bCs/>
                <w:snapToGrid w:val="0"/>
                <w:color w:val="auto"/>
                <w:sz w:val="24"/>
                <w:szCs w:val="24"/>
                <w:highlight w:val="none"/>
                <w:u w:val="single" w:color="auto"/>
                <w:lang w:val="en-US" w:eastAsia="zh-CN"/>
              </w:rPr>
              <w:t>4.</w:t>
            </w:r>
            <w:r>
              <w:rPr>
                <w:rFonts w:hint="eastAsia" w:cs="Times New Roman"/>
                <w:b/>
                <w:bCs/>
                <w:snapToGrid w:val="0"/>
                <w:color w:val="auto"/>
                <w:sz w:val="24"/>
                <w:szCs w:val="24"/>
                <w:highlight w:val="none"/>
                <w:u w:val="single" w:color="auto"/>
                <w:lang w:val="en-US" w:eastAsia="zh-CN"/>
              </w:rPr>
              <w:t>9</w:t>
            </w:r>
            <w:r>
              <w:rPr>
                <w:rFonts w:hint="default" w:ascii="Times New Roman" w:hAnsi="Times New Roman" w:cs="Times New Roman"/>
                <w:b/>
                <w:bCs/>
                <w:color w:val="auto"/>
                <w:sz w:val="24"/>
                <w:szCs w:val="24"/>
                <w:highlight w:val="none"/>
                <w:u w:val="single" w:color="auto"/>
              </w:rPr>
              <w:t>建设项目“三本帐”分析</w:t>
            </w:r>
          </w:p>
          <w:p>
            <w:pPr>
              <w:pStyle w:val="78"/>
              <w:tabs>
                <w:tab w:val="left" w:pos="1320"/>
              </w:tabs>
              <w:spacing w:line="240" w:lineRule="auto"/>
              <w:jc w:val="center"/>
              <w:rPr>
                <w:rFonts w:hint="default" w:ascii="Times New Roman" w:hAnsi="Times New Roman" w:cs="Times New Roman"/>
                <w:b/>
                <w:bCs/>
                <w:color w:val="auto"/>
                <w:sz w:val="24"/>
                <w:szCs w:val="24"/>
                <w:highlight w:val="none"/>
                <w:u w:val="single" w:color="auto"/>
              </w:rPr>
            </w:pPr>
            <w:r>
              <w:rPr>
                <w:rFonts w:hint="default" w:ascii="Times New Roman" w:hAnsi="Times New Roman" w:cs="Times New Roman"/>
                <w:b/>
                <w:bCs/>
                <w:color w:val="auto"/>
                <w:sz w:val="24"/>
                <w:szCs w:val="24"/>
                <w:highlight w:val="none"/>
                <w:u w:val="single" w:color="auto"/>
              </w:rPr>
              <w:t>表4</w:t>
            </w:r>
            <w:r>
              <w:rPr>
                <w:rFonts w:hint="eastAsia" w:ascii="Times New Roman" w:hAnsi="Times New Roman" w:cs="Times New Roman"/>
                <w:b/>
                <w:bCs/>
                <w:color w:val="auto"/>
                <w:sz w:val="24"/>
                <w:szCs w:val="24"/>
                <w:highlight w:val="none"/>
                <w:u w:val="single" w:color="auto"/>
                <w:lang w:val="en-US" w:eastAsia="zh-CN"/>
              </w:rPr>
              <w:t>.9-1改扩建前后污染源排放及“三本账”</w:t>
            </w:r>
          </w:p>
          <w:tbl>
            <w:tblPr>
              <w:tblStyle w:val="2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331"/>
              <w:gridCol w:w="1383"/>
              <w:gridCol w:w="956"/>
              <w:gridCol w:w="1009"/>
              <w:gridCol w:w="1031"/>
              <w:gridCol w:w="1013"/>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blHeader/>
                <w:jc w:val="center"/>
              </w:trPr>
              <w:tc>
                <w:tcPr>
                  <w:tcW w:w="553"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rPr>
                    <w:t>类别</w:t>
                  </w:r>
                </w:p>
              </w:tc>
              <w:tc>
                <w:tcPr>
                  <w:tcW w:w="732"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rPr>
                    <w:t>污染源</w:t>
                  </w:r>
                </w:p>
              </w:tc>
              <w:tc>
                <w:tcPr>
                  <w:tcW w:w="761"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rPr>
                    <w:t>污染物</w:t>
                  </w:r>
                </w:p>
              </w:tc>
              <w:tc>
                <w:tcPr>
                  <w:tcW w:w="526"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rPr>
                    <w:t>现有工程排放量（t/a）</w:t>
                  </w:r>
                </w:p>
              </w:tc>
              <w:tc>
                <w:tcPr>
                  <w:tcW w:w="555"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lang w:eastAsia="zh-CN"/>
                    </w:rPr>
                    <w:t>本项目</w:t>
                  </w:r>
                  <w:r>
                    <w:rPr>
                      <w:rFonts w:hint="default" w:ascii="Times New Roman" w:hAnsi="Times New Roman" w:cs="Times New Roman"/>
                      <w:b/>
                      <w:bCs/>
                      <w:color w:val="auto"/>
                      <w:szCs w:val="21"/>
                      <w:highlight w:val="none"/>
                      <w:u w:val="single" w:color="auto"/>
                    </w:rPr>
                    <w:t>工程排放量（t/a）</w:t>
                  </w:r>
                </w:p>
              </w:tc>
              <w:tc>
                <w:tcPr>
                  <w:tcW w:w="567"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rPr>
                    <w:t>“以新带老”消减量（t/a）</w:t>
                  </w:r>
                </w:p>
              </w:tc>
              <w:tc>
                <w:tcPr>
                  <w:tcW w:w="557"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lang w:eastAsia="zh-CN"/>
                    </w:rPr>
                    <w:t>建成</w:t>
                  </w:r>
                  <w:r>
                    <w:rPr>
                      <w:rFonts w:hint="default" w:ascii="Times New Roman" w:hAnsi="Times New Roman" w:cs="Times New Roman"/>
                      <w:b/>
                      <w:bCs/>
                      <w:color w:val="auto"/>
                      <w:szCs w:val="21"/>
                      <w:highlight w:val="none"/>
                      <w:u w:val="single" w:color="auto"/>
                    </w:rPr>
                    <w:t>后全厂排放总量（t/a）</w:t>
                  </w:r>
                </w:p>
              </w:tc>
              <w:tc>
                <w:tcPr>
                  <w:tcW w:w="746" w:type="pc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lang w:eastAsia="zh-CN"/>
                    </w:rPr>
                    <w:t>全厂</w:t>
                  </w:r>
                  <w:r>
                    <w:rPr>
                      <w:rFonts w:hint="default" w:ascii="Times New Roman" w:hAnsi="Times New Roman" w:cs="Times New Roman"/>
                      <w:b/>
                      <w:bCs/>
                      <w:color w:val="auto"/>
                      <w:szCs w:val="21"/>
                      <w:highlight w:val="none"/>
                      <w:u w:val="single" w:color="auto"/>
                    </w:rPr>
                    <w:t>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53" w:type="pct"/>
                  <w:vMerge w:val="restart"/>
                  <w:noWrap w:val="0"/>
                  <w:vAlign w:val="center"/>
                </w:tcPr>
                <w:p>
                  <w:pPr>
                    <w:pStyle w:val="38"/>
                    <w:spacing w:line="240" w:lineRule="auto"/>
                    <w:rPr>
                      <w:rFonts w:hint="default" w:ascii="Times New Roman" w:hAnsi="Times New Roman" w:cs="Times New Roman"/>
                      <w:b/>
                      <w:bCs/>
                      <w:color w:val="auto"/>
                      <w:szCs w:val="21"/>
                      <w:highlight w:val="none"/>
                      <w:u w:val="single" w:color="auto"/>
                    </w:rPr>
                  </w:pPr>
                  <w:r>
                    <w:rPr>
                      <w:rFonts w:hint="default" w:ascii="Times New Roman" w:hAnsi="Times New Roman" w:cs="Times New Roman"/>
                      <w:b/>
                      <w:bCs/>
                      <w:color w:val="auto"/>
                      <w:szCs w:val="21"/>
                      <w:highlight w:val="none"/>
                      <w:u w:val="single" w:color="auto"/>
                    </w:rPr>
                    <w:t>废气</w:t>
                  </w:r>
                </w:p>
              </w:tc>
              <w:tc>
                <w:tcPr>
                  <w:tcW w:w="732" w:type="pct"/>
                  <w:noWrap w:val="0"/>
                  <w:vAlign w:val="center"/>
                </w:tcPr>
                <w:p>
                  <w:pPr>
                    <w:pStyle w:val="55"/>
                    <w:bidi w:val="0"/>
                    <w:spacing w:line="240" w:lineRule="auto"/>
                    <w:jc w:val="center"/>
                    <w:rPr>
                      <w:rFonts w:hint="default" w:ascii="Times New Roman" w:hAnsi="Times New Roman" w:eastAsia="宋体" w:cs="Times New Roman"/>
                      <w:color w:val="auto"/>
                      <w:szCs w:val="21"/>
                      <w:highlight w:val="none"/>
                      <w:u w:val="single" w:color="auto"/>
                      <w:lang w:eastAsia="zh-CN"/>
                    </w:rPr>
                  </w:pPr>
                  <w:r>
                    <w:rPr>
                      <w:rFonts w:hint="default" w:ascii="Times New Roman" w:hAnsi="Times New Roman" w:cs="Times New Roman"/>
                      <w:color w:val="auto"/>
                      <w:szCs w:val="21"/>
                      <w:highlight w:val="none"/>
                      <w:u w:val="single" w:color="auto"/>
                      <w:lang w:eastAsia="zh-CN"/>
                    </w:rPr>
                    <w:t>酸雾废气</w:t>
                  </w:r>
                </w:p>
              </w:tc>
              <w:tc>
                <w:tcPr>
                  <w:tcW w:w="761" w:type="pct"/>
                  <w:noWrap w:val="0"/>
                  <w:vAlign w:val="center"/>
                </w:tcPr>
                <w:p>
                  <w:pPr>
                    <w:pStyle w:val="55"/>
                    <w:bidi w:val="0"/>
                    <w:spacing w:line="240" w:lineRule="auto"/>
                    <w:jc w:val="center"/>
                    <w:rPr>
                      <w:rFonts w:hint="default" w:ascii="Times New Roman" w:hAnsi="Times New Roman" w:eastAsia="宋体" w:cs="Times New Roman"/>
                      <w:color w:val="auto"/>
                      <w:szCs w:val="21"/>
                      <w:highlight w:val="none"/>
                      <w:u w:val="single" w:color="auto"/>
                      <w:lang w:eastAsia="zh-CN"/>
                    </w:rPr>
                  </w:pPr>
                  <w:r>
                    <w:rPr>
                      <w:rFonts w:hint="default" w:ascii="Times New Roman" w:hAnsi="Times New Roman" w:cs="Times New Roman"/>
                      <w:bCs/>
                      <w:color w:val="auto"/>
                      <w:kern w:val="2"/>
                      <w:sz w:val="21"/>
                      <w:szCs w:val="21"/>
                      <w:highlight w:val="none"/>
                      <w:u w:val="single" w:color="auto"/>
                      <w:lang w:val="en-US" w:eastAsia="zh-CN" w:bidi="ar"/>
                    </w:rPr>
                    <w:t>硫酸雾</w:t>
                  </w:r>
                </w:p>
              </w:tc>
              <w:tc>
                <w:tcPr>
                  <w:tcW w:w="5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0.433</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r>
                    <w:rPr>
                      <w:rFonts w:hint="eastAsia" w:cs="Times New Roman"/>
                      <w:i w:val="0"/>
                      <w:iCs w:val="0"/>
                      <w:color w:val="auto"/>
                      <w:kern w:val="0"/>
                      <w:sz w:val="21"/>
                      <w:szCs w:val="21"/>
                      <w:highlight w:val="none"/>
                      <w:u w:val="single" w:color="auto"/>
                      <w:lang w:val="en-US" w:eastAsia="zh-CN" w:bidi="ar"/>
                    </w:rPr>
                    <w:t>164</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597</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noWrap w:val="0"/>
                  <w:vAlign w:val="center"/>
                </w:tcPr>
                <w:p>
                  <w:pPr>
                    <w:pStyle w:val="55"/>
                    <w:bidi w:val="0"/>
                    <w:spacing w:line="240" w:lineRule="auto"/>
                    <w:jc w:val="center"/>
                    <w:rPr>
                      <w:rFonts w:hint="default" w:ascii="Times New Roman" w:hAnsi="Times New Roman" w:cs="Times New Roman"/>
                      <w:color w:val="auto"/>
                      <w:szCs w:val="21"/>
                      <w:highlight w:val="none"/>
                      <w:u w:val="single" w:color="auto"/>
                      <w:lang w:eastAsia="zh-CN"/>
                    </w:rPr>
                  </w:pPr>
                  <w:r>
                    <w:rPr>
                      <w:rFonts w:hint="default" w:ascii="Times New Roman" w:hAnsi="Times New Roman" w:cs="Times New Roman"/>
                      <w:color w:val="auto"/>
                      <w:szCs w:val="21"/>
                      <w:highlight w:val="none"/>
                      <w:u w:val="single" w:color="auto"/>
                      <w:lang w:eastAsia="zh-CN"/>
                    </w:rPr>
                    <w:t>酸雾</w:t>
                  </w:r>
                  <w:r>
                    <w:rPr>
                      <w:rFonts w:hint="eastAsia" w:cs="Times New Roman"/>
                      <w:color w:val="auto"/>
                      <w:szCs w:val="21"/>
                      <w:highlight w:val="none"/>
                      <w:u w:val="single" w:color="auto"/>
                      <w:lang w:eastAsia="zh-CN"/>
                    </w:rPr>
                    <w:t>无组织</w:t>
                  </w:r>
                </w:p>
              </w:tc>
              <w:tc>
                <w:tcPr>
                  <w:tcW w:w="761" w:type="pct"/>
                  <w:noWrap w:val="0"/>
                  <w:vAlign w:val="center"/>
                </w:tcPr>
                <w:p>
                  <w:pPr>
                    <w:pStyle w:val="55"/>
                    <w:bidi w:val="0"/>
                    <w:spacing w:line="240" w:lineRule="auto"/>
                    <w:jc w:val="center"/>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2"/>
                      <w:sz w:val="21"/>
                      <w:szCs w:val="21"/>
                      <w:highlight w:val="none"/>
                      <w:u w:val="single" w:color="auto"/>
                      <w:lang w:val="en-US" w:eastAsia="zh-CN" w:bidi="ar"/>
                    </w:rPr>
                    <w:t>硫酸雾</w:t>
                  </w:r>
                </w:p>
              </w:tc>
              <w:tc>
                <w:tcPr>
                  <w:tcW w:w="5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0.0078</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0.00004</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0.00784</w:t>
                  </w:r>
                </w:p>
              </w:tc>
              <w:tc>
                <w:tcPr>
                  <w:tcW w:w="1357"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single" w:color="auto"/>
                      <w:lang w:val="en-US" w:eastAsia="zh-CN" w:bidi="ar"/>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noWrap w:val="0"/>
                  <w:vAlign w:val="center"/>
                </w:tcPr>
                <w:p>
                  <w:pPr>
                    <w:pStyle w:val="55"/>
                    <w:bidi w:val="0"/>
                    <w:spacing w:line="240" w:lineRule="auto"/>
                    <w:jc w:val="center"/>
                    <w:rPr>
                      <w:rFonts w:hint="default" w:ascii="Times New Roman" w:hAnsi="Times New Roman" w:cs="Times New Roman"/>
                      <w:color w:val="auto"/>
                      <w:szCs w:val="21"/>
                      <w:highlight w:val="none"/>
                      <w:u w:val="single" w:color="auto"/>
                      <w:lang w:eastAsia="zh-CN"/>
                    </w:rPr>
                  </w:pPr>
                  <w:r>
                    <w:rPr>
                      <w:rFonts w:hint="default" w:ascii="Times New Roman" w:hAnsi="Times New Roman" w:cs="Times New Roman"/>
                      <w:color w:val="auto"/>
                      <w:szCs w:val="21"/>
                      <w:highlight w:val="none"/>
                      <w:u w:val="single" w:color="auto"/>
                      <w:lang w:eastAsia="zh-CN"/>
                    </w:rPr>
                    <w:t>配粉粉尘</w:t>
                  </w:r>
                </w:p>
              </w:tc>
              <w:tc>
                <w:tcPr>
                  <w:tcW w:w="761" w:type="pct"/>
                  <w:noWrap w:val="0"/>
                  <w:vAlign w:val="center"/>
                </w:tcPr>
                <w:p>
                  <w:pPr>
                    <w:pStyle w:val="55"/>
                    <w:bidi w:val="0"/>
                    <w:spacing w:line="240" w:lineRule="auto"/>
                    <w:jc w:val="center"/>
                    <w:rPr>
                      <w:rFonts w:hint="default" w:ascii="Times New Roman" w:hAnsi="Times New Roman" w:cs="Times New Roman"/>
                      <w:color w:val="auto"/>
                      <w:kern w:val="2"/>
                      <w:sz w:val="21"/>
                      <w:szCs w:val="21"/>
                      <w:highlight w:val="none"/>
                      <w:u w:val="single" w:color="auto"/>
                      <w:lang w:val="en-US" w:eastAsia="zh-CN"/>
                    </w:rPr>
                  </w:pPr>
                  <w:r>
                    <w:rPr>
                      <w:rFonts w:hint="default" w:ascii="Times New Roman" w:hAnsi="Times New Roman" w:cs="Times New Roman"/>
                      <w:bCs/>
                      <w:color w:val="auto"/>
                      <w:kern w:val="2"/>
                      <w:sz w:val="21"/>
                      <w:szCs w:val="21"/>
                      <w:highlight w:val="none"/>
                      <w:u w:val="single" w:color="auto"/>
                      <w:lang w:val="en-US" w:eastAsia="zh-CN" w:bidi="ar"/>
                    </w:rPr>
                    <w:t>颗粒物</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1.434</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1.434</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vMerge w:val="restart"/>
                  <w:noWrap w:val="0"/>
                  <w:vAlign w:val="center"/>
                </w:tcPr>
                <w:p>
                  <w:pPr>
                    <w:spacing w:line="240" w:lineRule="auto"/>
                    <w:jc w:val="center"/>
                    <w:rPr>
                      <w:rFonts w:hint="default" w:ascii="Times New Roman" w:hAnsi="Times New Roman" w:eastAsia="宋体" w:cs="Times New Roman"/>
                      <w:color w:val="auto"/>
                      <w:szCs w:val="21"/>
                      <w:highlight w:val="none"/>
                      <w:u w:val="single" w:color="auto"/>
                      <w:lang w:eastAsia="zh-CN"/>
                    </w:rPr>
                  </w:pPr>
                  <w:r>
                    <w:rPr>
                      <w:rFonts w:hint="default" w:ascii="Times New Roman" w:hAnsi="Times New Roman" w:cs="Times New Roman"/>
                      <w:color w:val="auto"/>
                      <w:szCs w:val="21"/>
                      <w:highlight w:val="none"/>
                      <w:u w:val="single" w:color="auto"/>
                      <w:lang w:eastAsia="zh-CN"/>
                    </w:rPr>
                    <w:t>注塑废气</w:t>
                  </w:r>
                </w:p>
              </w:tc>
              <w:tc>
                <w:tcPr>
                  <w:tcW w:w="761" w:type="pct"/>
                  <w:noWrap w:val="0"/>
                  <w:vAlign w:val="center"/>
                </w:tcPr>
                <w:p>
                  <w:pPr>
                    <w:spacing w:line="240" w:lineRule="auto"/>
                    <w:jc w:val="center"/>
                    <w:rPr>
                      <w:rFonts w:hint="default" w:ascii="Times New Roman" w:hAnsi="Times New Roman" w:cs="Times New Roman"/>
                      <w:color w:val="auto"/>
                      <w:szCs w:val="21"/>
                      <w:highlight w:val="none"/>
                      <w:u w:val="single" w:color="auto"/>
                    </w:rPr>
                  </w:pPr>
                  <w:r>
                    <w:rPr>
                      <w:rFonts w:hint="eastAsia" w:ascii="Times New Roman" w:hAnsi="Times New Roman" w:cs="Times New Roman"/>
                      <w:bCs/>
                      <w:color w:val="auto"/>
                      <w:kern w:val="2"/>
                      <w:sz w:val="21"/>
                      <w:szCs w:val="21"/>
                      <w:highlight w:val="none"/>
                      <w:u w:val="single" w:color="auto"/>
                      <w:lang w:val="en-US" w:eastAsia="zh-CN" w:bidi="ar"/>
                    </w:rPr>
                    <w:t>非甲烷总烃</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eastAsia" w:cs="Times New Roman"/>
                      <w:i w:val="0"/>
                      <w:iCs w:val="0"/>
                      <w:color w:val="auto"/>
                      <w:kern w:val="0"/>
                      <w:sz w:val="21"/>
                      <w:szCs w:val="21"/>
                      <w:highlight w:val="none"/>
                      <w:u w:val="none"/>
                      <w:lang w:val="en-US" w:eastAsia="zh-CN" w:bidi="ar"/>
                    </w:rPr>
                    <w:t>2.04</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eastAsia" w:cs="Times New Roman"/>
                      <w:i w:val="0"/>
                      <w:iCs w:val="0"/>
                      <w:color w:val="auto"/>
                      <w:kern w:val="0"/>
                      <w:sz w:val="21"/>
                      <w:szCs w:val="21"/>
                      <w:highlight w:val="none"/>
                      <w:u w:val="none"/>
                      <w:lang w:val="en-US" w:eastAsia="zh-CN" w:bidi="ar"/>
                    </w:rPr>
                    <w:t>2.04</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w:t>
                  </w:r>
                  <w:r>
                    <w:rPr>
                      <w:rFonts w:hint="eastAsia" w:cs="Times New Roman"/>
                      <w:i w:val="0"/>
                      <w:iCs w:val="0"/>
                      <w:color w:val="auto"/>
                      <w:kern w:val="0"/>
                      <w:sz w:val="21"/>
                      <w:szCs w:val="21"/>
                      <w:highlight w:val="none"/>
                      <w:u w:val="none"/>
                      <w:lang w:val="en-US" w:eastAsia="zh-CN" w:bidi="ar"/>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vMerge w:val="continue"/>
                  <w:noWrap w:val="0"/>
                  <w:vAlign w:val="center"/>
                </w:tcPr>
                <w:p>
                  <w:pPr>
                    <w:spacing w:line="240" w:lineRule="auto"/>
                    <w:jc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adjustRightInd w:val="0"/>
                    <w:snapToGrid w:val="0"/>
                    <w:jc w:val="center"/>
                    <w:rPr>
                      <w:rFonts w:hint="eastAsia" w:ascii="Times New Roman" w:hAnsi="Times New Roman" w:cs="Times New Roman"/>
                      <w:bCs/>
                      <w:color w:val="auto"/>
                      <w:kern w:val="2"/>
                      <w:sz w:val="21"/>
                      <w:szCs w:val="21"/>
                      <w:highlight w:val="none"/>
                      <w:u w:val="single" w:color="auto"/>
                      <w:lang w:val="en-US" w:eastAsia="zh-CN" w:bidi="ar"/>
                    </w:rPr>
                  </w:pPr>
                  <w:r>
                    <w:rPr>
                      <w:rFonts w:hint="eastAsia" w:cs="Times New Roman"/>
                      <w:color w:val="auto"/>
                      <w:szCs w:val="21"/>
                      <w:highlight w:val="none"/>
                      <w:u w:val="single" w:color="auto"/>
                      <w:lang w:val="en-US" w:eastAsia="zh-CN"/>
                    </w:rPr>
                    <w:t>苯</w:t>
                  </w:r>
                </w:p>
              </w:tc>
              <w:tc>
                <w:tcPr>
                  <w:tcW w:w="5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0.41</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0.41</w:t>
                  </w:r>
                </w:p>
              </w:tc>
              <w:tc>
                <w:tcPr>
                  <w:tcW w:w="746"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53" w:type="pct"/>
                  <w:vMerge w:val="continue"/>
                  <w:noWrap w:val="0"/>
                  <w:vAlign w:val="center"/>
                </w:tcPr>
                <w:p>
                  <w:pPr>
                    <w:keepNext w:val="0"/>
                    <w:keepLines w:val="0"/>
                    <w:widowControl/>
                    <w:suppressLineNumbers w:val="0"/>
                    <w:jc w:val="center"/>
                    <w:textAlignment w:val="center"/>
                    <w:rPr>
                      <w:color w:val="auto"/>
                      <w:highlight w:val="none"/>
                      <w:u w:val="single" w:color="auto"/>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adjustRightInd w:val="0"/>
                    <w:snapToGrid w:val="0"/>
                    <w:jc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val="en-US" w:eastAsia="zh-CN"/>
                    </w:rPr>
                    <w:t>甲苯</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0.207</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0.207</w:t>
                  </w:r>
                </w:p>
              </w:tc>
              <w:tc>
                <w:tcPr>
                  <w:tcW w:w="74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53"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adjustRightInd w:val="0"/>
                    <w:snapToGrid w:val="0"/>
                    <w:jc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val="en-US" w:eastAsia="zh-CN"/>
                    </w:rPr>
                    <w:t>二甲苯</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1.216</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1.216</w:t>
                  </w:r>
                </w:p>
              </w:tc>
              <w:tc>
                <w:tcPr>
                  <w:tcW w:w="74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53"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adjustRightInd w:val="0"/>
                    <w:snapToGrid w:val="0"/>
                    <w:jc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val="en-US" w:eastAsia="zh-CN"/>
                    </w:rPr>
                    <w:t>乙苯</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0.079</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0.079</w:t>
                  </w:r>
                </w:p>
              </w:tc>
              <w:tc>
                <w:tcPr>
                  <w:tcW w:w="74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53"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32"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adjustRightInd w:val="0"/>
                    <w:snapToGrid w:val="0"/>
                    <w:jc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val="en-US" w:eastAsia="zh-CN"/>
                    </w:rPr>
                    <w:t>苯乙烯</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0.068</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0.068</w:t>
                  </w:r>
                </w:p>
              </w:tc>
              <w:tc>
                <w:tcPr>
                  <w:tcW w:w="74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53" w:type="pct"/>
                  <w:vMerge w:val="continue"/>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p>
              </w:tc>
              <w:tc>
                <w:tcPr>
                  <w:tcW w:w="732"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eastAsia="zh-CN"/>
                    </w:rPr>
                    <w:t>液氨挥发</w:t>
                  </w:r>
                </w:p>
              </w:tc>
              <w:tc>
                <w:tcPr>
                  <w:tcW w:w="761"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eastAsia="zh-CN"/>
                    </w:rPr>
                    <w:t>氨气</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74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lang w:eastAsia="zh-CN"/>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noWrap w:val="0"/>
                  <w:vAlign w:val="center"/>
                </w:tcPr>
                <w:p>
                  <w:pPr>
                    <w:spacing w:line="240" w:lineRule="auto"/>
                    <w:jc w:val="center"/>
                    <w:rPr>
                      <w:rFonts w:hint="default" w:ascii="Times New Roman" w:hAnsi="Times New Roman" w:cs="Times New Roman"/>
                      <w:color w:val="auto"/>
                      <w:szCs w:val="21"/>
                      <w:highlight w:val="none"/>
                      <w:u w:val="single" w:color="auto"/>
                      <w:lang w:eastAsia="zh-CN"/>
                    </w:rPr>
                  </w:pPr>
                  <w:r>
                    <w:rPr>
                      <w:rFonts w:hint="default" w:ascii="Times New Roman" w:hAnsi="Times New Roman" w:cs="Times New Roman"/>
                      <w:color w:val="auto"/>
                      <w:szCs w:val="21"/>
                      <w:highlight w:val="none"/>
                      <w:u w:val="single" w:color="auto"/>
                      <w:lang w:eastAsia="zh-CN"/>
                    </w:rPr>
                    <w:t>食堂油烟</w:t>
                  </w:r>
                </w:p>
              </w:tc>
              <w:tc>
                <w:tcPr>
                  <w:tcW w:w="761" w:type="pct"/>
                  <w:noWrap w:val="0"/>
                  <w:vAlign w:val="center"/>
                </w:tcPr>
                <w:p>
                  <w:pPr>
                    <w:spacing w:line="240" w:lineRule="auto"/>
                    <w:jc w:val="center"/>
                    <w:rPr>
                      <w:rFonts w:hint="default" w:ascii="Times New Roman" w:hAnsi="Times New Roman" w:cs="Times New Roman"/>
                      <w:bCs/>
                      <w:color w:val="auto"/>
                      <w:kern w:val="2"/>
                      <w:sz w:val="21"/>
                      <w:szCs w:val="21"/>
                      <w:highlight w:val="none"/>
                      <w:u w:val="single" w:color="auto"/>
                      <w:lang w:val="en-US" w:eastAsia="zh-CN" w:bidi="ar"/>
                    </w:rPr>
                  </w:pPr>
                  <w:r>
                    <w:rPr>
                      <w:rFonts w:hint="eastAsia" w:ascii="Times New Roman" w:hAnsi="Times New Roman" w:cs="Times New Roman"/>
                      <w:bCs/>
                      <w:color w:val="auto"/>
                      <w:kern w:val="2"/>
                      <w:sz w:val="21"/>
                      <w:szCs w:val="21"/>
                      <w:highlight w:val="none"/>
                      <w:u w:val="single" w:color="auto"/>
                      <w:lang w:val="en-US" w:eastAsia="zh-CN" w:bidi="ar"/>
                    </w:rPr>
                    <w:t>油烟</w:t>
                  </w:r>
                </w:p>
              </w:tc>
              <w:tc>
                <w:tcPr>
                  <w:tcW w:w="5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r>
                    <w:rPr>
                      <w:rFonts w:hint="eastAsia" w:cs="Times New Roman"/>
                      <w:i w:val="0"/>
                      <w:iCs w:val="0"/>
                      <w:color w:val="auto"/>
                      <w:kern w:val="0"/>
                      <w:sz w:val="21"/>
                      <w:szCs w:val="21"/>
                      <w:highlight w:val="none"/>
                      <w:u w:val="single" w:color="auto"/>
                      <w:lang w:val="en-US" w:eastAsia="zh-CN" w:bidi="ar"/>
                    </w:rPr>
                    <w:t>4</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r>
                    <w:rPr>
                      <w:rFonts w:hint="eastAsia" w:cs="Times New Roman"/>
                      <w:i w:val="0"/>
                      <w:iCs w:val="0"/>
                      <w:color w:val="auto"/>
                      <w:kern w:val="0"/>
                      <w:sz w:val="21"/>
                      <w:szCs w:val="21"/>
                      <w:highlight w:val="none"/>
                      <w:u w:val="single" w:color="auto"/>
                      <w:lang w:val="en-US" w:eastAsia="zh-CN" w:bidi="ar"/>
                    </w:rPr>
                    <w:t>4</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r>
                    <w:rPr>
                      <w:rFonts w:hint="eastAsia" w:cs="Times New Roman"/>
                      <w:i w:val="0"/>
                      <w:iCs w:val="0"/>
                      <w:color w:val="auto"/>
                      <w:kern w:val="0"/>
                      <w:sz w:val="21"/>
                      <w:szCs w:val="21"/>
                      <w:highlight w:val="none"/>
                      <w:u w:val="single" w:color="auto"/>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vMerge w:val="restart"/>
                  <w:noWrap w:val="0"/>
                  <w:vAlign w:val="center"/>
                </w:tcPr>
                <w:p>
                  <w:pPr>
                    <w:spacing w:line="240" w:lineRule="auto"/>
                    <w:jc w:val="center"/>
                    <w:rPr>
                      <w:rFonts w:hint="default" w:ascii="Times New Roman" w:hAnsi="Times New Roman" w:cs="Times New Roman"/>
                      <w:color w:val="auto"/>
                      <w:szCs w:val="21"/>
                      <w:highlight w:val="none"/>
                      <w:u w:val="single" w:color="auto"/>
                      <w:lang w:eastAsia="zh-CN"/>
                    </w:rPr>
                  </w:pPr>
                  <w:r>
                    <w:rPr>
                      <w:rFonts w:hint="eastAsia" w:cs="Times New Roman"/>
                      <w:color w:val="auto"/>
                      <w:szCs w:val="21"/>
                      <w:highlight w:val="none"/>
                      <w:u w:val="single" w:color="auto"/>
                      <w:lang w:eastAsia="zh-CN"/>
                    </w:rPr>
                    <w:t>锅炉废气</w:t>
                  </w:r>
                </w:p>
              </w:tc>
              <w:tc>
                <w:tcPr>
                  <w:tcW w:w="761"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cs="Times New Roman"/>
                      <w:bCs/>
                      <w:color w:val="auto"/>
                      <w:kern w:val="2"/>
                      <w:sz w:val="21"/>
                      <w:szCs w:val="21"/>
                      <w:highlight w:val="none"/>
                      <w:u w:val="single" w:color="auto"/>
                      <w:lang w:val="en-US" w:eastAsia="zh-CN" w:bidi="ar"/>
                    </w:rPr>
                  </w:pPr>
                  <w:r>
                    <w:rPr>
                      <w:rFonts w:hint="eastAsia" w:ascii="宋体" w:hAnsi="宋体" w:eastAsia="宋体" w:cs="宋体"/>
                      <w:color w:val="auto"/>
                      <w:kern w:val="2"/>
                      <w:sz w:val="21"/>
                      <w:szCs w:val="21"/>
                      <w:highlight w:val="none"/>
                      <w:u w:val="single"/>
                      <w:lang w:val="en-US" w:eastAsia="zh-CN" w:bidi="ar"/>
                    </w:rPr>
                    <w:t>二氧化硫</w:t>
                  </w:r>
                </w:p>
              </w:tc>
              <w:tc>
                <w:tcPr>
                  <w:tcW w:w="526"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0.57</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0.57</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vMerge w:val="continue"/>
                  <w:noWrap w:val="0"/>
                  <w:vAlign w:val="center"/>
                </w:tcPr>
                <w:p>
                  <w:pPr>
                    <w:spacing w:line="240" w:lineRule="auto"/>
                    <w:jc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cs="Times New Roman"/>
                      <w:bCs/>
                      <w:color w:val="auto"/>
                      <w:kern w:val="2"/>
                      <w:sz w:val="21"/>
                      <w:szCs w:val="21"/>
                      <w:highlight w:val="none"/>
                      <w:u w:val="single" w:color="auto"/>
                      <w:lang w:val="en-US" w:eastAsia="zh-CN" w:bidi="ar"/>
                    </w:rPr>
                  </w:pPr>
                  <w:r>
                    <w:rPr>
                      <w:rFonts w:hint="eastAsia" w:ascii="宋体" w:hAnsi="宋体" w:eastAsia="宋体" w:cs="宋体"/>
                      <w:color w:val="auto"/>
                      <w:kern w:val="2"/>
                      <w:sz w:val="21"/>
                      <w:szCs w:val="21"/>
                      <w:highlight w:val="none"/>
                      <w:u w:val="single"/>
                      <w:lang w:val="en-US" w:eastAsia="zh-CN" w:bidi="ar"/>
                    </w:rPr>
                    <w:t>氮氧化物</w:t>
                  </w:r>
                </w:p>
              </w:tc>
              <w:tc>
                <w:tcPr>
                  <w:tcW w:w="526"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0.81</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0.81</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b/>
                      <w:bCs/>
                      <w:color w:val="auto"/>
                      <w:szCs w:val="21"/>
                      <w:highlight w:val="none"/>
                      <w:u w:val="single" w:color="auto"/>
                    </w:rPr>
                  </w:pPr>
                </w:p>
              </w:tc>
              <w:tc>
                <w:tcPr>
                  <w:tcW w:w="732" w:type="pct"/>
                  <w:vMerge w:val="continue"/>
                  <w:noWrap w:val="0"/>
                  <w:vAlign w:val="center"/>
                </w:tcPr>
                <w:p>
                  <w:pPr>
                    <w:spacing w:line="240" w:lineRule="auto"/>
                    <w:jc w:val="center"/>
                    <w:rPr>
                      <w:rFonts w:hint="default" w:ascii="Times New Roman" w:hAnsi="Times New Roman" w:cs="Times New Roman"/>
                      <w:color w:val="auto"/>
                      <w:szCs w:val="21"/>
                      <w:highlight w:val="none"/>
                      <w:u w:val="single" w:color="auto"/>
                      <w:lang w:eastAsia="zh-CN"/>
                    </w:rPr>
                  </w:pPr>
                </w:p>
              </w:tc>
              <w:tc>
                <w:tcPr>
                  <w:tcW w:w="761" w:type="pct"/>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ascii="Times New Roman" w:hAnsi="Times New Roman" w:cs="Times New Roman"/>
                      <w:bCs/>
                      <w:color w:val="auto"/>
                      <w:kern w:val="2"/>
                      <w:sz w:val="21"/>
                      <w:szCs w:val="21"/>
                      <w:highlight w:val="none"/>
                      <w:u w:val="single" w:color="auto"/>
                      <w:lang w:val="en-US" w:eastAsia="zh-CN" w:bidi="ar"/>
                    </w:rPr>
                  </w:pPr>
                  <w:r>
                    <w:rPr>
                      <w:rFonts w:hint="eastAsia" w:ascii="宋体" w:hAnsi="宋体" w:cs="宋体"/>
                      <w:color w:val="auto"/>
                      <w:kern w:val="2"/>
                      <w:sz w:val="21"/>
                      <w:szCs w:val="21"/>
                      <w:highlight w:val="none"/>
                      <w:u w:val="single"/>
                      <w:lang w:val="en-US" w:eastAsia="zh-CN" w:bidi="ar"/>
                    </w:rPr>
                    <w:t>烟尘</w:t>
                  </w:r>
                </w:p>
              </w:tc>
              <w:tc>
                <w:tcPr>
                  <w:tcW w:w="526" w:type="pct"/>
                  <w:noWrap w:val="0"/>
                  <w:vAlign w:val="center"/>
                </w:tcPr>
                <w:p>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0.12</w:t>
                  </w:r>
                </w:p>
              </w:tc>
              <w:tc>
                <w:tcPr>
                  <w:tcW w:w="5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0.12</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restart"/>
                  <w:noWrap w:val="0"/>
                  <w:vAlign w:val="center"/>
                </w:tcPr>
                <w:p>
                  <w:pPr>
                    <w:pStyle w:val="38"/>
                    <w:spacing w:line="240" w:lineRule="auto"/>
                    <w:rPr>
                      <w:rFonts w:hint="default" w:ascii="Times New Roman" w:hAnsi="Times New Roman" w:eastAsia="宋体" w:cs="Times New Roman"/>
                      <w:b/>
                      <w:bCs/>
                      <w:color w:val="auto"/>
                      <w:szCs w:val="21"/>
                      <w:highlight w:val="none"/>
                      <w:u w:val="single" w:color="auto"/>
                      <w:lang w:eastAsia="zh-CN"/>
                    </w:rPr>
                  </w:pPr>
                  <w:r>
                    <w:rPr>
                      <w:rFonts w:hint="default" w:ascii="Times New Roman" w:hAnsi="Times New Roman" w:cs="Times New Roman"/>
                      <w:b/>
                      <w:bCs/>
                      <w:color w:val="auto"/>
                      <w:szCs w:val="21"/>
                      <w:highlight w:val="none"/>
                      <w:u w:val="single" w:color="auto"/>
                      <w:lang w:eastAsia="zh-CN"/>
                    </w:rPr>
                    <w:t>废水</w:t>
                  </w:r>
                </w:p>
              </w:tc>
              <w:tc>
                <w:tcPr>
                  <w:tcW w:w="1493" w:type="pct"/>
                  <w:gridSpan w:val="2"/>
                  <w:noWrap w:val="0"/>
                  <w:vAlign w:val="center"/>
                </w:tcPr>
                <w:p>
                  <w:pPr>
                    <w:spacing w:line="240" w:lineRule="auto"/>
                    <w:jc w:val="center"/>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2"/>
                      <w:sz w:val="21"/>
                      <w:szCs w:val="21"/>
                      <w:highlight w:val="none"/>
                      <w:u w:val="single" w:color="auto"/>
                      <w:lang w:val="en-US" w:eastAsia="zh-CN" w:bidi="ar"/>
                    </w:rPr>
                    <w:t>废水量</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pacing w:val="-11"/>
                      <w:kern w:val="0"/>
                      <w:szCs w:val="21"/>
                      <w:highlight w:val="none"/>
                      <w:u w:val="single" w:color="auto"/>
                      <w:lang w:val="en-US"/>
                    </w:rPr>
                  </w:pPr>
                  <w:r>
                    <w:rPr>
                      <w:rFonts w:hint="eastAsia" w:cs="Times New Roman"/>
                      <w:i w:val="0"/>
                      <w:iCs w:val="0"/>
                      <w:color w:val="auto"/>
                      <w:kern w:val="0"/>
                      <w:sz w:val="21"/>
                      <w:szCs w:val="21"/>
                      <w:highlight w:val="none"/>
                      <w:u w:val="single" w:color="auto"/>
                      <w:lang w:val="en-US" w:eastAsia="zh-CN" w:bidi="ar"/>
                    </w:rPr>
                    <w:t>10580</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6608</w:t>
                  </w:r>
                </w:p>
              </w:tc>
              <w:tc>
                <w:tcPr>
                  <w:tcW w:w="10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2327.68</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14860.32</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4280.32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eastAsia="宋体" w:cs="Times New Roman"/>
                      <w:color w:val="auto"/>
                      <w:szCs w:val="21"/>
                      <w:highlight w:val="none"/>
                      <w:u w:val="single" w:color="auto"/>
                      <w:lang w:eastAsia="zh-CN"/>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ascii="Times New Roman" w:hAnsi="Times New Roman" w:cs="Times New Roman"/>
                      <w:bCs/>
                      <w:color w:val="auto"/>
                      <w:kern w:val="0"/>
                      <w:sz w:val="21"/>
                      <w:szCs w:val="21"/>
                      <w:highlight w:val="none"/>
                      <w:u w:val="single" w:color="auto"/>
                    </w:rPr>
                    <w:t>悬浮物</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2.33</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1.454</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0.51</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3.272</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adjustRightInd w:val="0"/>
                    <w:jc w:val="center"/>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eastAsia="宋体" w:cs="Times New Roman"/>
                      <w:bCs/>
                      <w:color w:val="auto"/>
                      <w:kern w:val="0"/>
                      <w:sz w:val="21"/>
                      <w:szCs w:val="21"/>
                      <w:highlight w:val="none"/>
                      <w:u w:val="single" w:color="auto"/>
                      <w:lang w:val="en-US" w:eastAsia="zh-CN"/>
                    </w:rPr>
                    <w:t>COD</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5.29</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2.294</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eastAsia="宋体" w:cs="Times New Roman"/>
                      <w:b w:val="0"/>
                      <w:bCs/>
                      <w:color w:val="auto"/>
                      <w:kern w:val="28"/>
                      <w:sz w:val="21"/>
                      <w:szCs w:val="21"/>
                      <w:highlight w:val="none"/>
                      <w:u w:val="single" w:color="auto"/>
                      <w:lang w:val="en-US" w:eastAsia="zh-CN" w:bidi="ar"/>
                    </w:rPr>
                    <w:t>BOD</w:t>
                  </w:r>
                  <w:r>
                    <w:rPr>
                      <w:rFonts w:hint="default" w:ascii="Times New Roman" w:hAnsi="Times New Roman" w:eastAsia="宋体" w:cs="Times New Roman"/>
                      <w:b w:val="0"/>
                      <w:bCs/>
                      <w:color w:val="auto"/>
                      <w:kern w:val="28"/>
                      <w:sz w:val="21"/>
                      <w:szCs w:val="21"/>
                      <w:highlight w:val="none"/>
                      <w:u w:val="single" w:color="auto"/>
                      <w:vertAlign w:val="subscript"/>
                      <w:lang w:val="en-US" w:eastAsia="zh-CN" w:bidi="ar"/>
                    </w:rPr>
                    <w:t>5</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1.90</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2.531</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ascii="Times New Roman" w:hAnsi="Times New Roman" w:cs="Times New Roman"/>
                      <w:bCs/>
                      <w:color w:val="auto"/>
                      <w:kern w:val="0"/>
                      <w:sz w:val="21"/>
                      <w:szCs w:val="21"/>
                      <w:highlight w:val="none"/>
                      <w:u w:val="single" w:color="auto"/>
                    </w:rPr>
                    <w:t>氨氮</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0.32</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0.198</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0.448</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eastAsia="zh-CN"/>
                    </w:rPr>
                    <w:t>石油类</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0.32</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0.057</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0.33</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eastAsia="zh-CN"/>
                    </w:rPr>
                    <w:t>总铜</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0.02</w:t>
                  </w:r>
                </w:p>
              </w:tc>
              <w:tc>
                <w:tcPr>
                  <w:tcW w:w="1009" w:type="dxa"/>
                  <w:noWrap w:val="0"/>
                  <w:vAlign w:val="bottom"/>
                </w:tcPr>
                <w:p>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w:t>
                  </w:r>
                </w:p>
              </w:tc>
              <w:tc>
                <w:tcPr>
                  <w:tcW w:w="10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eastAsia="zh-CN"/>
                    </w:rPr>
                    <w:t>总铁</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0.11</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0.178</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eastAsia="zh-CN"/>
                    </w:rPr>
                    <w:t>总磷</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0.48</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widowControl/>
                    <w:jc w:val="center"/>
                    <w:textAlignment w:val="bottom"/>
                    <w:rPr>
                      <w:rFonts w:hint="default" w:ascii="Times New Roman" w:hAnsi="Times New Roman" w:cs="Times New Roman"/>
                      <w:bCs/>
                      <w:color w:val="auto"/>
                      <w:kern w:val="2"/>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eastAsia="zh-CN"/>
                    </w:rPr>
                    <w:t>总氮</w:t>
                  </w:r>
                </w:p>
              </w:tc>
              <w:tc>
                <w:tcPr>
                  <w:tcW w:w="526" w:type="pct"/>
                  <w:noWrap w:val="0"/>
                  <w:vAlign w:val="bottom"/>
                </w:tcPr>
                <w:p>
                  <w:pPr>
                    <w:keepNext w:val="0"/>
                    <w:keepLines w:val="0"/>
                    <w:widowControl/>
                    <w:suppressLineNumbers w:val="0"/>
                    <w:jc w:val="center"/>
                    <w:textAlignment w:val="bottom"/>
                    <w:rPr>
                      <w:rFonts w:hint="default" w:ascii="Times New Roman" w:hAnsi="Times New Roman"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lang w:val="en-US" w:eastAsia="zh-CN" w:bidi="ar"/>
                    </w:rPr>
                    <w:t>0.04</w:t>
                  </w:r>
                </w:p>
              </w:tc>
              <w:tc>
                <w:tcPr>
                  <w:tcW w:w="10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103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10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u w:val="none"/>
                      <w:lang w:val="en-US" w:eastAsia="zh-CN" w:bidi="ar"/>
                    </w:rPr>
                    <w:t>0.259</w:t>
                  </w:r>
                </w:p>
              </w:tc>
              <w:tc>
                <w:tcPr>
                  <w:tcW w:w="13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restart"/>
                  <w:noWrap w:val="0"/>
                  <w:vAlign w:val="center"/>
                </w:tcPr>
                <w:p>
                  <w:pPr>
                    <w:pStyle w:val="38"/>
                    <w:spacing w:line="240" w:lineRule="auto"/>
                    <w:rPr>
                      <w:rFonts w:hint="default" w:ascii="Times New Roman" w:hAnsi="Times New Roman" w:eastAsia="宋体" w:cs="Times New Roman"/>
                      <w:color w:val="auto"/>
                      <w:szCs w:val="21"/>
                      <w:highlight w:val="none"/>
                      <w:u w:val="single" w:color="auto"/>
                      <w:lang w:eastAsia="zh-CN"/>
                    </w:rPr>
                  </w:pPr>
                  <w:r>
                    <w:rPr>
                      <w:rFonts w:hint="default" w:ascii="Times New Roman" w:hAnsi="Times New Roman" w:eastAsia="宋体" w:cs="Times New Roman"/>
                      <w:b/>
                      <w:bCs w:val="0"/>
                      <w:snapToGrid w:val="0"/>
                      <w:color w:val="auto"/>
                      <w:kern w:val="0"/>
                      <w:szCs w:val="21"/>
                      <w:highlight w:val="none"/>
                      <w:u w:val="single" w:color="auto"/>
                    </w:rPr>
                    <w:t>固废</w:t>
                  </w:r>
                  <w:r>
                    <w:rPr>
                      <w:rFonts w:hint="default" w:ascii="Times New Roman" w:hAnsi="Times New Roman" w:eastAsia="宋体" w:cs="Times New Roman"/>
                      <w:b/>
                      <w:bCs w:val="0"/>
                      <w:snapToGrid w:val="0"/>
                      <w:color w:val="auto"/>
                      <w:kern w:val="0"/>
                      <w:szCs w:val="21"/>
                      <w:highlight w:val="none"/>
                      <w:u w:val="single" w:color="auto"/>
                      <w:lang w:eastAsia="zh-CN"/>
                    </w:rPr>
                    <w:t>（产生量）</w:t>
                  </w:r>
                </w:p>
              </w:tc>
              <w:tc>
                <w:tcPr>
                  <w:tcW w:w="1493" w:type="pct"/>
                  <w:gridSpan w:val="2"/>
                  <w:noWrap w:val="0"/>
                  <w:vAlign w:val="center"/>
                </w:tcPr>
                <w:p>
                  <w:pPr>
                    <w:topLinePunct/>
                    <w:adjustRightInd w:val="0"/>
                    <w:snapToGrid w:val="0"/>
                    <w:jc w:val="center"/>
                    <w:rPr>
                      <w:rFonts w:hint="default" w:ascii="Times New Roman" w:hAnsi="Times New Roman" w:cs="Times New Roman"/>
                      <w:snapToGrid w:val="0"/>
                      <w:color w:val="auto"/>
                      <w:kern w:val="0"/>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bidi="ar"/>
                    </w:rPr>
                    <w:t>废金属丝</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13.5</w:t>
                  </w:r>
                </w:p>
              </w:tc>
              <w:tc>
                <w:tcPr>
                  <w:tcW w:w="555" w:type="pct"/>
                  <w:noWrap w:val="0"/>
                  <w:vAlign w:val="center"/>
                </w:tcPr>
                <w:p>
                  <w:pPr>
                    <w:topLinePunct/>
                    <w:adjustRightInd w:val="0"/>
                    <w:snapToGrid w:val="0"/>
                    <w:jc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bidi="ar"/>
                    </w:rPr>
                    <w:t>3.</w:t>
                  </w:r>
                  <w:r>
                    <w:rPr>
                      <w:rFonts w:hint="eastAsia" w:cs="Times New Roman"/>
                      <w:color w:val="auto"/>
                      <w:sz w:val="21"/>
                      <w:szCs w:val="21"/>
                      <w:highlight w:val="none"/>
                      <w:u w:val="single" w:color="auto"/>
                      <w:lang w:val="en-US" w:eastAsia="zh-CN" w:bidi="ar"/>
                    </w:rPr>
                    <w:t>6</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eastAsia" w:cs="Times New Roman"/>
                      <w:color w:val="auto"/>
                      <w:sz w:val="21"/>
                      <w:szCs w:val="21"/>
                      <w:highlight w:val="none"/>
                      <w:u w:val="single" w:color="auto"/>
                      <w:lang w:val="en-US" w:eastAsia="zh-CN" w:bidi="ar"/>
                    </w:rPr>
                    <w:t>0.1</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17</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color w:val="auto"/>
                      <w:spacing w:val="-11"/>
                      <w:kern w:val="0"/>
                      <w:szCs w:val="21"/>
                      <w:highlight w:val="none"/>
                      <w:u w:val="single" w:color="auto"/>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topLinePunct/>
                    <w:adjustRightInd w:val="0"/>
                    <w:snapToGrid w:val="0"/>
                    <w:jc w:val="center"/>
                    <w:rPr>
                      <w:rFonts w:hint="default" w:ascii="Times New Roman" w:hAnsi="Times New Roman" w:cs="Times New Roman"/>
                      <w:color w:val="auto"/>
                      <w:szCs w:val="21"/>
                      <w:highlight w:val="none"/>
                      <w:u w:val="single" w:color="auto"/>
                    </w:rPr>
                  </w:pPr>
                  <w:r>
                    <w:rPr>
                      <w:rFonts w:hint="default" w:ascii="Times New Roman" w:hAnsi="Times New Roman" w:eastAsia="宋体" w:cs="Times New Roman"/>
                      <w:color w:val="auto"/>
                      <w:sz w:val="21"/>
                      <w:szCs w:val="21"/>
                      <w:highlight w:val="none"/>
                      <w:u w:val="single" w:color="auto"/>
                      <w:lang w:bidi="zh-CN"/>
                    </w:rPr>
                    <w:t>除尘灰</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5" w:type="pct"/>
                  <w:noWrap w:val="0"/>
                  <w:vAlign w:val="center"/>
                </w:tcPr>
                <w:p>
                  <w:pPr>
                    <w:topLinePunct/>
                    <w:adjustRightInd w:val="0"/>
                    <w:snapToGrid w:val="0"/>
                    <w:jc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bCs/>
                      <w:color w:val="auto"/>
                      <w:kern w:val="0"/>
                      <w:sz w:val="21"/>
                      <w:szCs w:val="21"/>
                      <w:highlight w:val="none"/>
                      <w:u w:val="single" w:color="auto"/>
                      <w:lang w:val="en-US" w:eastAsia="zh-CN" w:bidi="ar"/>
                    </w:rPr>
                    <w:t>10.715</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cs="Times New Roman"/>
                      <w:bCs/>
                      <w:color w:val="auto"/>
                      <w:kern w:val="0"/>
                      <w:sz w:val="21"/>
                      <w:szCs w:val="21"/>
                      <w:highlight w:val="none"/>
                      <w:u w:val="single" w:color="auto"/>
                      <w:lang w:val="en-US" w:eastAsia="zh-CN" w:bidi="ar"/>
                    </w:rPr>
                    <w:t>10.715</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eastAsia" w:cs="Times New Roman"/>
                      <w:bCs/>
                      <w:color w:val="auto"/>
                      <w:kern w:val="0"/>
                      <w:sz w:val="21"/>
                      <w:szCs w:val="21"/>
                      <w:highlight w:val="none"/>
                      <w:u w:val="single" w:color="auto"/>
                      <w:lang w:val="en-US" w:eastAsia="zh-CN" w:bidi="ar"/>
                    </w:rPr>
                    <w:t>10.715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bidi="zh-CN"/>
                    </w:rPr>
                  </w:pPr>
                  <w:r>
                    <w:rPr>
                      <w:rFonts w:hint="eastAsia" w:ascii="Times New Roman" w:hAnsi="Times New Roman" w:cs="Times New Roman"/>
                      <w:color w:val="auto"/>
                      <w:sz w:val="21"/>
                      <w:szCs w:val="21"/>
                      <w:highlight w:val="none"/>
                      <w:u w:val="single" w:color="auto"/>
                      <w:lang w:bidi="zh-CN"/>
                    </w:rPr>
                    <w:t>废塑料边角</w:t>
                  </w:r>
                </w:p>
              </w:tc>
              <w:tc>
                <w:tcPr>
                  <w:tcW w:w="5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555" w:type="pct"/>
                  <w:noWrap w:val="0"/>
                  <w:vAlign w:val="center"/>
                </w:tcPr>
                <w:p>
                  <w:pPr>
                    <w:topLinePunct/>
                    <w:adjustRightInd w:val="0"/>
                    <w:snapToGrid w:val="0"/>
                    <w:jc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val="en-US" w:eastAsia="zh-CN" w:bidi="ar"/>
                    </w:rPr>
                    <w:t>0.01</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topLinePunct/>
                    <w:adjustRightInd w:val="0"/>
                    <w:snapToGrid w:val="0"/>
                    <w:jc w:val="center"/>
                    <w:rPr>
                      <w:rFonts w:hint="default" w:ascii="Times New Roman" w:hAnsi="Times New Roman" w:cs="Times New Roman"/>
                      <w:snapToGrid w:val="0"/>
                      <w:color w:val="auto"/>
                      <w:kern w:val="0"/>
                      <w:szCs w:val="21"/>
                      <w:highlight w:val="none"/>
                      <w:u w:val="single" w:color="auto"/>
                    </w:rPr>
                  </w:pPr>
                  <w:r>
                    <w:rPr>
                      <w:rFonts w:hint="default" w:ascii="Times New Roman" w:hAnsi="Times New Roman" w:eastAsia="宋体" w:cs="Times New Roman"/>
                      <w:color w:val="auto"/>
                      <w:sz w:val="21"/>
                      <w:szCs w:val="21"/>
                      <w:highlight w:val="none"/>
                      <w:u w:val="single" w:color="auto"/>
                      <w:lang w:bidi="zh-CN"/>
                    </w:rPr>
                    <w:t>涂膜渣</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w:t>
                  </w:r>
                </w:p>
              </w:tc>
              <w:tc>
                <w:tcPr>
                  <w:tcW w:w="555" w:type="pct"/>
                  <w:noWrap w:val="0"/>
                  <w:vAlign w:val="center"/>
                </w:tcPr>
                <w:p>
                  <w:pPr>
                    <w:topLinePunct/>
                    <w:adjustRightInd w:val="0"/>
                    <w:snapToGrid w:val="0"/>
                    <w:jc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cs="Times New Roman"/>
                      <w:bCs/>
                      <w:color w:val="auto"/>
                      <w:kern w:val="0"/>
                      <w:sz w:val="21"/>
                      <w:szCs w:val="21"/>
                      <w:highlight w:val="none"/>
                      <w:u w:val="single" w:color="auto"/>
                      <w:lang w:val="en-US" w:eastAsia="zh-CN" w:bidi="ar"/>
                    </w:rPr>
                    <w:t>0.01</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snapToGrid w:val="0"/>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bidi="ar"/>
                    </w:rPr>
                    <w:t>废抹布、废机油</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5</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spacing w:val="-11"/>
                      <w:kern w:val="0"/>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bidi="ar"/>
                    </w:rPr>
                    <w:t>0.12</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r>
                    <w:rPr>
                      <w:rFonts w:hint="eastAsia" w:ascii="Times New Roman" w:hAnsi="Times New Roman" w:cs="Times New Roman"/>
                      <w:i w:val="0"/>
                      <w:iCs w:val="0"/>
                      <w:color w:val="auto"/>
                      <w:kern w:val="0"/>
                      <w:sz w:val="21"/>
                      <w:szCs w:val="21"/>
                      <w:highlight w:val="none"/>
                      <w:u w:val="single" w:color="auto"/>
                      <w:lang w:val="en-US" w:eastAsia="zh-CN" w:bidi="ar"/>
                    </w:rPr>
                    <w:t>12</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5</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bidi="ar"/>
                    </w:rPr>
                  </w:pPr>
                  <w:r>
                    <w:rPr>
                      <w:rFonts w:hint="default" w:ascii="Times New Roman" w:hAnsi="Times New Roman" w:cs="Times New Roman"/>
                      <w:color w:val="auto"/>
                      <w:sz w:val="21"/>
                      <w:szCs w:val="21"/>
                      <w:highlight w:val="none"/>
                      <w:u w:val="single" w:color="auto"/>
                      <w:lang w:val="en-US" w:eastAsia="zh-CN" w:bidi="ar"/>
                    </w:rPr>
                    <w:t>污泥</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lang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200</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spacing w:val="-11"/>
                      <w:kern w:val="0"/>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43.6</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5.3</w:t>
                  </w:r>
                  <w:r>
                    <w:rPr>
                      <w:rFonts w:hint="eastAsia" w:cs="Times New Roman"/>
                      <w:i w:val="0"/>
                      <w:iCs w:val="0"/>
                      <w:color w:val="auto"/>
                      <w:kern w:val="0"/>
                      <w:sz w:val="21"/>
                      <w:szCs w:val="21"/>
                      <w:highlight w:val="none"/>
                      <w:u w:val="single" w:color="auto"/>
                      <w:lang w:val="en-US" w:eastAsia="zh-CN" w:bidi="ar"/>
                    </w:rPr>
                    <w:t>92</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238.2</w:t>
                  </w:r>
                  <w:r>
                    <w:rPr>
                      <w:rFonts w:hint="eastAsia" w:cs="Times New Roman"/>
                      <w:i w:val="0"/>
                      <w:iCs w:val="0"/>
                      <w:color w:val="auto"/>
                      <w:kern w:val="0"/>
                      <w:sz w:val="21"/>
                      <w:szCs w:val="21"/>
                      <w:highlight w:val="none"/>
                      <w:u w:val="single" w:color="auto"/>
                      <w:lang w:val="en-US" w:eastAsia="zh-CN" w:bidi="ar"/>
                    </w:rPr>
                    <w:t>08</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1"/>
                      <w:kern w:val="0"/>
                      <w:szCs w:val="21"/>
                      <w:highlight w:val="none"/>
                      <w:u w:val="single" w:color="auto"/>
                      <w:lang w:val="en-US"/>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38.2</w:t>
                  </w:r>
                  <w:r>
                    <w:rPr>
                      <w:rFonts w:hint="eastAsia" w:cs="Times New Roman"/>
                      <w:i w:val="0"/>
                      <w:iCs w:val="0"/>
                      <w:color w:val="auto"/>
                      <w:kern w:val="0"/>
                      <w:sz w:val="21"/>
                      <w:szCs w:val="21"/>
                      <w:highlight w:val="none"/>
                      <w:u w:val="single" w:color="auto"/>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废活性炭</w:t>
                  </w:r>
                </w:p>
              </w:tc>
              <w:tc>
                <w:tcPr>
                  <w:tcW w:w="52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u w:val="none"/>
                      <w:lang w:val="en-US" w:eastAsia="zh-CN" w:bidi="ar"/>
                    </w:rPr>
                    <w:t>8.4</w:t>
                  </w:r>
                </w:p>
              </w:tc>
              <w:tc>
                <w:tcPr>
                  <w:tcW w:w="5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55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u w:val="none"/>
                      <w:lang w:val="en-US" w:eastAsia="zh-CN" w:bidi="ar"/>
                    </w:rPr>
                    <w:t>8.4</w:t>
                  </w:r>
                </w:p>
              </w:tc>
              <w:tc>
                <w:tcPr>
                  <w:tcW w:w="746"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eastAsia" w:ascii="Times New Roman" w:hAnsi="Times New Roman" w:cs="Times New Roman"/>
                      <w:i w:val="0"/>
                      <w:iCs w:val="0"/>
                      <w:color w:val="auto"/>
                      <w:kern w:val="0"/>
                      <w:sz w:val="21"/>
                      <w:szCs w:val="21"/>
                      <w:u w:val="none"/>
                      <w:lang w:val="en-US" w:eastAsia="zh-CN" w:bidi="ar"/>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废催化剂</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0.1</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7"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c>
                <w:tcPr>
                  <w:tcW w:w="746"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废分子筛</w:t>
                  </w:r>
                </w:p>
              </w:tc>
              <w:tc>
                <w:tcPr>
                  <w:tcW w:w="526"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0.1</w:t>
                  </w:r>
                </w:p>
              </w:tc>
              <w:tc>
                <w:tcPr>
                  <w:tcW w:w="567" w:type="pct"/>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557"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c>
                <w:tcPr>
                  <w:tcW w:w="746"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single" w:color="auto"/>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金属氧化皮</w:t>
                  </w:r>
                </w:p>
              </w:tc>
              <w:tc>
                <w:tcPr>
                  <w:tcW w:w="526"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10</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c>
                <w:tcPr>
                  <w:tcW w:w="567" w:type="pct"/>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w:t>
                  </w:r>
                </w:p>
              </w:tc>
              <w:tc>
                <w:tcPr>
                  <w:tcW w:w="557"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10</w:t>
                  </w:r>
                </w:p>
              </w:tc>
              <w:tc>
                <w:tcPr>
                  <w:tcW w:w="746"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宋体" w:hAnsi="宋体" w:eastAsia="宋体" w:cs="宋体"/>
                      <w:color w:val="auto"/>
                      <w:kern w:val="0"/>
                      <w:sz w:val="21"/>
                      <w:szCs w:val="21"/>
                      <w:highlight w:val="none"/>
                      <w:u w:val="single"/>
                      <w:vertAlign w:val="baseline"/>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硼化渣</w:t>
                  </w:r>
                </w:p>
              </w:tc>
              <w:tc>
                <w:tcPr>
                  <w:tcW w:w="526"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0.1</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c>
                <w:tcPr>
                  <w:tcW w:w="567" w:type="pct"/>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w:t>
                  </w:r>
                </w:p>
              </w:tc>
              <w:tc>
                <w:tcPr>
                  <w:tcW w:w="557"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0.1</w:t>
                  </w:r>
                </w:p>
              </w:tc>
              <w:tc>
                <w:tcPr>
                  <w:tcW w:w="746"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宋体" w:hAnsi="宋体" w:eastAsia="宋体" w:cs="宋体"/>
                      <w:color w:val="auto"/>
                      <w:kern w:val="0"/>
                      <w:sz w:val="21"/>
                      <w:szCs w:val="21"/>
                      <w:highlight w:val="none"/>
                      <w:u w:val="single"/>
                      <w:vertAlign w:val="baseline"/>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生活垃圾</w:t>
                  </w:r>
                </w:p>
              </w:tc>
              <w:tc>
                <w:tcPr>
                  <w:tcW w:w="526"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6</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c>
                <w:tcPr>
                  <w:tcW w:w="567" w:type="pct"/>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w:t>
                  </w:r>
                </w:p>
              </w:tc>
              <w:tc>
                <w:tcPr>
                  <w:tcW w:w="557"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6</w:t>
                  </w:r>
                </w:p>
              </w:tc>
              <w:tc>
                <w:tcPr>
                  <w:tcW w:w="746"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宋体" w:hAnsi="宋体" w:eastAsia="宋体" w:cs="宋体"/>
                      <w:color w:val="auto"/>
                      <w:kern w:val="0"/>
                      <w:sz w:val="21"/>
                      <w:szCs w:val="21"/>
                      <w:highlight w:val="none"/>
                      <w:u w:val="single"/>
                      <w:vertAlign w:val="baseline"/>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炉渣</w:t>
                  </w:r>
                </w:p>
              </w:tc>
              <w:tc>
                <w:tcPr>
                  <w:tcW w:w="526"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69</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c>
                <w:tcPr>
                  <w:tcW w:w="567" w:type="pct"/>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w:t>
                  </w:r>
                </w:p>
              </w:tc>
              <w:tc>
                <w:tcPr>
                  <w:tcW w:w="557"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cs="Times New Roman"/>
                      <w:i w:val="0"/>
                      <w:iCs w:val="0"/>
                      <w:color w:val="auto"/>
                      <w:kern w:val="0"/>
                      <w:sz w:val="21"/>
                      <w:szCs w:val="21"/>
                      <w:highlight w:val="none"/>
                      <w:u w:val="single" w:color="auto"/>
                      <w:lang w:val="en-US" w:eastAsia="zh-CN" w:bidi="ar"/>
                    </w:rPr>
                    <w:t>69</w:t>
                  </w:r>
                </w:p>
              </w:tc>
              <w:tc>
                <w:tcPr>
                  <w:tcW w:w="746" w:type="pct"/>
                  <w:noWrap w:val="0"/>
                  <w:vAlign w:val="center"/>
                </w:tcPr>
                <w:p>
                  <w:pPr>
                    <w:keepNext w:val="0"/>
                    <w:keepLines w:val="0"/>
                    <w:widowControl/>
                    <w:suppressLineNumbers w:val="0"/>
                    <w:jc w:val="center"/>
                    <w:textAlignment w:val="center"/>
                    <w:rPr>
                      <w:rFonts w:hint="eastAsia"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Merge w:val="continue"/>
                  <w:noWrap w:val="0"/>
                  <w:vAlign w:val="center"/>
                </w:tcPr>
                <w:p>
                  <w:pPr>
                    <w:pStyle w:val="38"/>
                    <w:spacing w:line="240" w:lineRule="auto"/>
                    <w:rPr>
                      <w:rFonts w:hint="default" w:ascii="Times New Roman" w:hAnsi="Times New Roman" w:cs="Times New Roman"/>
                      <w:color w:val="auto"/>
                      <w:szCs w:val="21"/>
                      <w:highlight w:val="none"/>
                      <w:u w:val="single" w:color="auto"/>
                    </w:rPr>
                  </w:pPr>
                </w:p>
              </w:tc>
              <w:tc>
                <w:tcPr>
                  <w:tcW w:w="1493" w:type="pct"/>
                  <w:gridSpan w:val="2"/>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宋体" w:hAnsi="宋体" w:eastAsia="宋体" w:cs="宋体"/>
                      <w:color w:val="auto"/>
                      <w:kern w:val="0"/>
                      <w:sz w:val="21"/>
                      <w:szCs w:val="21"/>
                      <w:highlight w:val="none"/>
                      <w:u w:val="single"/>
                      <w:vertAlign w:val="baseline"/>
                      <w:lang w:val="en-US" w:eastAsia="zh-CN" w:bidi="ar"/>
                    </w:rPr>
                  </w:pPr>
                  <w:r>
                    <w:rPr>
                      <w:rFonts w:hint="eastAsia" w:ascii="宋体" w:hAnsi="宋体" w:cs="宋体"/>
                      <w:color w:val="auto"/>
                      <w:kern w:val="0"/>
                      <w:sz w:val="21"/>
                      <w:szCs w:val="21"/>
                      <w:highlight w:val="none"/>
                      <w:u w:val="single"/>
                      <w:vertAlign w:val="baseline"/>
                      <w:lang w:val="en-US" w:eastAsia="zh-CN" w:bidi="ar"/>
                    </w:rPr>
                    <w:t>废乳化液</w:t>
                  </w:r>
                </w:p>
              </w:tc>
              <w:tc>
                <w:tcPr>
                  <w:tcW w:w="526"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0.05</w:t>
                  </w:r>
                </w:p>
              </w:tc>
              <w:tc>
                <w:tcPr>
                  <w:tcW w:w="555"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c>
                <w:tcPr>
                  <w:tcW w:w="567" w:type="pct"/>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0.05</w:t>
                  </w:r>
                </w:p>
              </w:tc>
              <w:tc>
                <w:tcPr>
                  <w:tcW w:w="557"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w:t>
                  </w:r>
                </w:p>
              </w:tc>
              <w:tc>
                <w:tcPr>
                  <w:tcW w:w="746" w:type="pct"/>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-0.05</w:t>
                  </w:r>
                </w:p>
              </w:tc>
            </w:tr>
          </w:tbl>
          <w:p>
            <w:pPr>
              <w:pStyle w:val="56"/>
              <w:bidi w:val="0"/>
              <w:rPr>
                <w:rFonts w:hint="default"/>
                <w:color w:val="auto"/>
                <w:sz w:val="24"/>
                <w:szCs w:val="24"/>
                <w:u w:val="none" w:color="auto"/>
                <w:lang w:val="en-US" w:eastAsia="zh-CN"/>
              </w:rPr>
            </w:pPr>
            <w:r>
              <w:rPr>
                <w:rFonts w:hint="eastAsia"/>
                <w:color w:val="auto"/>
                <w:sz w:val="24"/>
                <w:szCs w:val="24"/>
                <w:u w:val="none" w:color="auto"/>
                <w:lang w:val="en-US" w:eastAsia="zh-CN"/>
              </w:rPr>
              <w:t>4.10环保投资估算</w:t>
            </w:r>
          </w:p>
          <w:p>
            <w:pPr>
              <w:pStyle w:val="6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color w:val="auto"/>
                <w:sz w:val="24"/>
                <w:szCs w:val="24"/>
                <w:u w:val="none" w:color="auto"/>
              </w:rPr>
            </w:pPr>
            <w:r>
              <w:rPr>
                <w:rFonts w:hint="default"/>
                <w:color w:val="auto"/>
                <w:sz w:val="24"/>
                <w:szCs w:val="24"/>
                <w:u w:val="none" w:color="auto"/>
                <w:lang w:val="en-US" w:eastAsia="zh-CN"/>
              </w:rPr>
              <w:t>本项目总投资</w:t>
            </w:r>
            <w:r>
              <w:rPr>
                <w:rFonts w:hint="eastAsia"/>
                <w:color w:val="auto"/>
                <w:sz w:val="24"/>
                <w:szCs w:val="24"/>
                <w:u w:val="none" w:color="auto"/>
                <w:lang w:val="en-US" w:eastAsia="zh-CN"/>
              </w:rPr>
              <w:t>5</w:t>
            </w:r>
            <w:r>
              <w:rPr>
                <w:rFonts w:hint="default"/>
                <w:color w:val="auto"/>
                <w:sz w:val="24"/>
                <w:szCs w:val="24"/>
                <w:u w:val="none" w:color="auto"/>
                <w:lang w:val="en-US" w:eastAsia="zh-CN"/>
              </w:rPr>
              <w:t>00万元，环保投资</w:t>
            </w:r>
            <w:r>
              <w:rPr>
                <w:rFonts w:hint="eastAsia"/>
                <w:color w:val="auto"/>
                <w:sz w:val="24"/>
                <w:szCs w:val="24"/>
                <w:u w:val="none" w:color="auto"/>
                <w:lang w:val="en-US" w:eastAsia="zh-CN"/>
              </w:rPr>
              <w:t>93</w:t>
            </w:r>
            <w:r>
              <w:rPr>
                <w:rFonts w:hint="default"/>
                <w:color w:val="auto"/>
                <w:sz w:val="24"/>
                <w:szCs w:val="24"/>
                <w:u w:val="none" w:color="auto"/>
                <w:lang w:val="en-US" w:eastAsia="zh-CN"/>
              </w:rPr>
              <w:t>万元，占工程总投资的</w:t>
            </w:r>
            <w:r>
              <w:rPr>
                <w:rFonts w:hint="eastAsia"/>
                <w:color w:val="auto"/>
                <w:sz w:val="24"/>
                <w:szCs w:val="24"/>
                <w:u w:val="none" w:color="auto"/>
                <w:lang w:val="en-US" w:eastAsia="zh-CN"/>
              </w:rPr>
              <w:t>18.6</w:t>
            </w:r>
            <w:r>
              <w:rPr>
                <w:rFonts w:hint="default"/>
                <w:color w:val="auto"/>
                <w:sz w:val="24"/>
                <w:szCs w:val="24"/>
                <w:u w:val="none" w:color="auto"/>
                <w:lang w:val="en-US" w:eastAsia="zh-CN"/>
              </w:rPr>
              <w:t>%，</w:t>
            </w:r>
            <w:r>
              <w:rPr>
                <w:rFonts w:hint="default"/>
                <w:color w:val="auto"/>
                <w:sz w:val="24"/>
                <w:szCs w:val="24"/>
                <w:u w:val="none" w:color="auto"/>
              </w:rPr>
              <w:t>本项目环保投资见下表。</w:t>
            </w:r>
          </w:p>
          <w:p>
            <w:pPr>
              <w:pStyle w:val="41"/>
              <w:bidi w:val="0"/>
              <w:rPr>
                <w:rFonts w:hint="default"/>
                <w:color w:val="auto"/>
                <w:sz w:val="24"/>
                <w:szCs w:val="24"/>
                <w:u w:val="none"/>
              </w:rPr>
            </w:pPr>
            <w:r>
              <w:rPr>
                <w:rFonts w:hint="default"/>
                <w:color w:val="auto"/>
                <w:sz w:val="24"/>
                <w:szCs w:val="24"/>
                <w:u w:val="none"/>
              </w:rPr>
              <w:t>表</w:t>
            </w:r>
            <w:r>
              <w:rPr>
                <w:rFonts w:hint="eastAsia"/>
                <w:color w:val="auto"/>
                <w:sz w:val="24"/>
                <w:szCs w:val="24"/>
                <w:u w:val="none"/>
                <w:lang w:val="en-US" w:eastAsia="zh-CN"/>
              </w:rPr>
              <w:t>4.10-1</w:t>
            </w:r>
            <w:r>
              <w:rPr>
                <w:rFonts w:hint="default"/>
                <w:color w:val="auto"/>
                <w:sz w:val="24"/>
                <w:szCs w:val="24"/>
                <w:u w:val="none"/>
              </w:rPr>
              <w:t>环境保护投资估算表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513"/>
              <w:gridCol w:w="5893"/>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noWrap w:val="0"/>
                  <w:vAlign w:val="center"/>
                </w:tcPr>
                <w:p>
                  <w:pPr>
                    <w:pStyle w:val="25"/>
                    <w:widowControl w:val="0"/>
                    <w:wordWrap w:val="0"/>
                    <w:snapToGrid w:val="0"/>
                    <w:spacing w:before="0" w:beforeAutospacing="0" w:after="0" w:afterAutospacing="0"/>
                    <w:jc w:val="center"/>
                    <w:rPr>
                      <w:rFonts w:ascii="Times New Roman" w:hAnsi="Times New Roman"/>
                      <w:b/>
                      <w:color w:val="auto"/>
                      <w:sz w:val="21"/>
                      <w:szCs w:val="21"/>
                      <w:u w:val="none"/>
                      <w:lang w:val="en-US" w:eastAsia="zh-CN"/>
                    </w:rPr>
                  </w:pPr>
                  <w:r>
                    <w:rPr>
                      <w:rFonts w:ascii="Times New Roman" w:hAnsi="Times New Roman"/>
                      <w:b/>
                      <w:color w:val="auto"/>
                      <w:sz w:val="21"/>
                      <w:szCs w:val="21"/>
                      <w:u w:val="none"/>
                      <w:lang w:val="en-US" w:eastAsia="zh-CN" w:bidi="ar"/>
                    </w:rPr>
                    <w:t>项目</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b/>
                      <w:color w:val="auto"/>
                      <w:sz w:val="21"/>
                      <w:szCs w:val="21"/>
                      <w:u w:val="none"/>
                      <w:lang w:val="en-US" w:eastAsia="zh-CN"/>
                    </w:rPr>
                  </w:pPr>
                  <w:r>
                    <w:rPr>
                      <w:rFonts w:ascii="Times New Roman" w:hAnsi="Times New Roman"/>
                      <w:b/>
                      <w:color w:val="auto"/>
                      <w:sz w:val="21"/>
                      <w:szCs w:val="21"/>
                      <w:u w:val="none"/>
                      <w:lang w:val="en-US" w:eastAsia="zh-CN" w:bidi="ar"/>
                    </w:rPr>
                    <w:t>防治措施</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b/>
                      <w:color w:val="auto"/>
                      <w:sz w:val="21"/>
                      <w:szCs w:val="21"/>
                      <w:u w:val="none"/>
                      <w:lang w:val="en-US" w:eastAsia="zh-CN"/>
                    </w:rPr>
                  </w:pPr>
                  <w:r>
                    <w:rPr>
                      <w:rFonts w:ascii="Times New Roman" w:hAnsi="Times New Roman"/>
                      <w:b/>
                      <w:color w:val="auto"/>
                      <w:sz w:val="21"/>
                      <w:szCs w:val="21"/>
                      <w:u w:val="none"/>
                      <w:lang w:val="en-US" w:eastAsia="zh-CN" w:bidi="ar"/>
                    </w:rPr>
                    <w:t>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rPr>
                  </w:pPr>
                  <w:r>
                    <w:rPr>
                      <w:rFonts w:ascii="Times New Roman" w:hAnsi="Times New Roman"/>
                      <w:color w:val="auto"/>
                      <w:sz w:val="21"/>
                      <w:szCs w:val="21"/>
                      <w:u w:val="none"/>
                      <w:lang w:val="en-US" w:eastAsia="zh-CN" w:bidi="ar"/>
                    </w:rPr>
                    <w:t>废气</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bidi="ar"/>
                    </w:rPr>
                    <w:t>配料粉尘</w:t>
                  </w:r>
                </w:p>
              </w:tc>
              <w:tc>
                <w:tcPr>
                  <w:tcW w:w="0" w:type="auto"/>
                  <w:noWrap w:val="0"/>
                  <w:vAlign w:val="center"/>
                </w:tcPr>
                <w:p>
                  <w:pPr>
                    <w:spacing w:line="240" w:lineRule="auto"/>
                    <w:ind w:firstLine="0" w:firstLineChars="0"/>
                    <w:jc w:val="center"/>
                    <w:rPr>
                      <w:rFonts w:ascii="Times New Roman" w:hAnsi="Times New Roman"/>
                      <w:color w:val="auto"/>
                      <w:sz w:val="21"/>
                      <w:szCs w:val="21"/>
                      <w:highlight w:val="none"/>
                      <w:u w:val="none"/>
                      <w:lang w:val="en-US" w:eastAsia="zh-CN"/>
                    </w:rPr>
                  </w:pPr>
                  <w:r>
                    <w:rPr>
                      <w:rFonts w:hint="eastAsia" w:eastAsia="宋体" w:cs="Times New Roman"/>
                      <w:color w:val="auto"/>
                      <w:sz w:val="21"/>
                      <w:szCs w:val="21"/>
                      <w:u w:val="none"/>
                      <w:lang w:val="en-US" w:eastAsia="zh-CN"/>
                    </w:rPr>
                    <w:t>布袋除尘系统</w:t>
                  </w:r>
                  <w:r>
                    <w:rPr>
                      <w:rFonts w:hint="eastAsia" w:cs="Times New Roman"/>
                      <w:color w:val="auto"/>
                      <w:sz w:val="21"/>
                      <w:szCs w:val="21"/>
                      <w:u w:val="none"/>
                      <w:lang w:val="en-US" w:eastAsia="zh-CN"/>
                    </w:rPr>
                    <w:t>+15m高排气筒</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rPr>
                      <w:color w:val="auto"/>
                      <w:szCs w:val="21"/>
                      <w:u w:val="none"/>
                    </w:rPr>
                  </w:pP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酸雾废气</w:t>
                  </w:r>
                </w:p>
              </w:tc>
              <w:tc>
                <w:tcPr>
                  <w:tcW w:w="0" w:type="auto"/>
                  <w:noWrap w:val="0"/>
                  <w:vAlign w:val="center"/>
                </w:tcPr>
                <w:p>
                  <w:pPr>
                    <w:spacing w:line="240" w:lineRule="auto"/>
                    <w:ind w:firstLine="0" w:firstLineChars="0"/>
                    <w:jc w:val="center"/>
                    <w:rPr>
                      <w:rFonts w:hint="eastAsia" w:ascii="Times New Roman" w:hAnsi="Times New Roman"/>
                      <w:color w:val="auto"/>
                      <w:sz w:val="21"/>
                      <w:szCs w:val="21"/>
                      <w:highlight w:val="none"/>
                      <w:u w:val="none"/>
                      <w:lang w:val="en-US" w:eastAsia="zh-CN"/>
                    </w:rPr>
                  </w:pPr>
                  <w:r>
                    <w:rPr>
                      <w:rFonts w:hint="eastAsia" w:cs="Times New Roman"/>
                      <w:color w:val="auto"/>
                      <w:sz w:val="21"/>
                      <w:szCs w:val="21"/>
                      <w:u w:val="none"/>
                      <w:lang w:val="en-US" w:eastAsia="zh-CN"/>
                    </w:rPr>
                    <w:t>加盖密闭+碱喷淋装置+15m高排气筒</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rPr>
                      <w:color w:val="auto"/>
                      <w:szCs w:val="21"/>
                      <w:u w:val="none"/>
                    </w:rPr>
                  </w:pP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注塑废气</w:t>
                  </w:r>
                </w:p>
              </w:tc>
              <w:tc>
                <w:tcPr>
                  <w:tcW w:w="0" w:type="auto"/>
                  <w:noWrap w:val="0"/>
                  <w:vAlign w:val="center"/>
                </w:tcPr>
                <w:p>
                  <w:pPr>
                    <w:spacing w:line="240" w:lineRule="auto"/>
                    <w:ind w:firstLine="0" w:firstLine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密闭设施+两级活性炭吸附+15m高排气筒</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rPr>
                  </w:pPr>
                  <w:r>
                    <w:rPr>
                      <w:rFonts w:ascii="Times New Roman" w:hAnsi="Times New Roman"/>
                      <w:color w:val="auto"/>
                      <w:sz w:val="21"/>
                      <w:szCs w:val="21"/>
                      <w:u w:val="none"/>
                      <w:lang w:val="en-US" w:eastAsia="zh-CN" w:bidi="ar"/>
                    </w:rPr>
                    <w:t>废水</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生产废水</w:t>
                  </w:r>
                </w:p>
              </w:tc>
              <w:tc>
                <w:tcPr>
                  <w:tcW w:w="0" w:type="auto"/>
                  <w:noWrap w:val="0"/>
                  <w:vAlign w:val="center"/>
                </w:tcPr>
                <w:p>
                  <w:pPr>
                    <w:pStyle w:val="25"/>
                    <w:widowControl w:val="0"/>
                    <w:snapToGrid w:val="0"/>
                    <w:spacing w:before="0" w:beforeAutospacing="0" w:after="0" w:afterAutospacing="0"/>
                    <w:jc w:val="center"/>
                    <w:rPr>
                      <w:rFonts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依托现有污水处理设施</w:t>
                  </w: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bidi="ar"/>
                    </w:rPr>
                  </w:pP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间接冷却水</w:t>
                  </w:r>
                </w:p>
              </w:tc>
              <w:tc>
                <w:tcPr>
                  <w:tcW w:w="0" w:type="auto"/>
                  <w:noWrap w:val="0"/>
                  <w:vAlign w:val="center"/>
                </w:tcPr>
                <w:p>
                  <w:pPr>
                    <w:pStyle w:val="25"/>
                    <w:widowControl w:val="0"/>
                    <w:snapToGrid w:val="0"/>
                    <w:spacing w:before="0" w:beforeAutospacing="0" w:after="0" w:afterAutospacing="0"/>
                    <w:jc w:val="center"/>
                    <w:rPr>
                      <w:rFonts w:hint="eastAsia"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依托现有循环水池</w:t>
                  </w: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bidi="ar"/>
                    </w:rPr>
                  </w:pP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碱喷淋水</w:t>
                  </w:r>
                </w:p>
              </w:tc>
              <w:tc>
                <w:tcPr>
                  <w:tcW w:w="0" w:type="auto"/>
                  <w:noWrap w:val="0"/>
                  <w:vAlign w:val="center"/>
                </w:tcPr>
                <w:p>
                  <w:pPr>
                    <w:pStyle w:val="25"/>
                    <w:widowControl w:val="0"/>
                    <w:snapToGrid w:val="0"/>
                    <w:spacing w:before="0" w:beforeAutospacing="0" w:after="0" w:afterAutospacing="0"/>
                    <w:jc w:val="center"/>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新建1</w:t>
                  </w:r>
                  <w:r>
                    <w:rPr>
                      <w:rFonts w:hint="eastAsia" w:ascii="微软雅黑" w:hAnsi="微软雅黑" w:eastAsia="微软雅黑" w:cs="微软雅黑"/>
                      <w:color w:val="auto"/>
                      <w:sz w:val="21"/>
                      <w:szCs w:val="21"/>
                      <w:highlight w:val="none"/>
                      <w:u w:val="none"/>
                      <w:lang w:val="en-US" w:eastAsia="zh-CN" w:bidi="ar"/>
                    </w:rPr>
                    <w:t>㎥</w:t>
                  </w:r>
                  <w:r>
                    <w:rPr>
                      <w:rFonts w:hint="eastAsia" w:ascii="Times New Roman" w:hAnsi="Times New Roman"/>
                      <w:color w:val="auto"/>
                      <w:sz w:val="21"/>
                      <w:szCs w:val="21"/>
                      <w:highlight w:val="none"/>
                      <w:u w:val="none"/>
                      <w:lang w:val="en-US" w:eastAsia="zh-CN" w:bidi="ar"/>
                    </w:rPr>
                    <w:t>循环水池</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bidi="ar"/>
                    </w:rPr>
                  </w:pP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single"/>
                      <w:lang w:val="en-US" w:eastAsia="zh-CN" w:bidi="ar"/>
                    </w:rPr>
                  </w:pPr>
                  <w:r>
                    <w:rPr>
                      <w:rFonts w:hint="eastAsia" w:ascii="Times New Roman" w:hAnsi="Times New Roman"/>
                      <w:color w:val="auto"/>
                      <w:sz w:val="21"/>
                      <w:szCs w:val="21"/>
                      <w:highlight w:val="none"/>
                      <w:u w:val="single"/>
                      <w:lang w:val="en-US" w:eastAsia="zh-CN" w:bidi="ar"/>
                    </w:rPr>
                    <w:t>办公食堂废水</w:t>
                  </w:r>
                </w:p>
              </w:tc>
              <w:tc>
                <w:tcPr>
                  <w:tcW w:w="0" w:type="auto"/>
                  <w:noWrap w:val="0"/>
                  <w:vAlign w:val="center"/>
                </w:tcPr>
                <w:p>
                  <w:pPr>
                    <w:pStyle w:val="25"/>
                    <w:widowControl w:val="0"/>
                    <w:snapToGrid w:val="0"/>
                    <w:spacing w:before="0" w:beforeAutospacing="0" w:after="0" w:afterAutospacing="0"/>
                    <w:jc w:val="center"/>
                    <w:rPr>
                      <w:rFonts w:hint="eastAsia" w:ascii="Times New Roman" w:hAnsi="Times New Roman"/>
                      <w:color w:val="auto"/>
                      <w:sz w:val="21"/>
                      <w:szCs w:val="21"/>
                      <w:highlight w:val="none"/>
                      <w:u w:val="single"/>
                      <w:lang w:val="en-US" w:eastAsia="zh-CN" w:bidi="ar"/>
                    </w:rPr>
                  </w:pPr>
                  <w:r>
                    <w:rPr>
                      <w:rFonts w:hint="eastAsia" w:ascii="Times New Roman" w:hAnsi="Times New Roman"/>
                      <w:color w:val="auto"/>
                      <w:sz w:val="21"/>
                      <w:szCs w:val="21"/>
                      <w:highlight w:val="none"/>
                      <w:u w:val="single"/>
                      <w:lang w:val="en-US" w:eastAsia="zh-CN" w:bidi="ar"/>
                    </w:rPr>
                    <w:t>新建化粪池、隔油池</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single"/>
                      <w:lang w:val="en-US" w:eastAsia="zh-CN" w:bidi="ar"/>
                    </w:rPr>
                  </w:pPr>
                  <w:r>
                    <w:rPr>
                      <w:rFonts w:hint="eastAsia" w:ascii="Times New Roman" w:hAnsi="Times New Roman"/>
                      <w:color w:val="auto"/>
                      <w:sz w:val="21"/>
                      <w:szCs w:val="21"/>
                      <w:highlight w:val="none"/>
                      <w:u w:val="singl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rPr>
                  </w:pPr>
                  <w:r>
                    <w:rPr>
                      <w:rFonts w:ascii="Times New Roman" w:hAnsi="Times New Roman"/>
                      <w:color w:val="auto"/>
                      <w:sz w:val="21"/>
                      <w:szCs w:val="21"/>
                      <w:u w:val="none"/>
                      <w:lang w:val="en-US" w:eastAsia="zh-CN" w:bidi="ar"/>
                    </w:rPr>
                    <w:t>噪声</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ascii="Times New Roman" w:hAnsi="Times New Roman"/>
                      <w:color w:val="auto"/>
                      <w:sz w:val="21"/>
                      <w:szCs w:val="21"/>
                      <w:highlight w:val="none"/>
                      <w:u w:val="none"/>
                      <w:lang w:val="en-US" w:eastAsia="zh-CN" w:bidi="ar"/>
                    </w:rPr>
                    <w:t>机械噪声</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ascii="Times New Roman" w:hAnsi="Times New Roman"/>
                      <w:color w:val="auto"/>
                      <w:sz w:val="21"/>
                      <w:szCs w:val="21"/>
                      <w:highlight w:val="none"/>
                      <w:u w:val="none"/>
                      <w:lang w:val="en-US" w:eastAsia="zh-CN" w:bidi="ar"/>
                    </w:rPr>
                    <w:t>选用低噪声设备、消声等；设备隔声减振；车间隔音</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u w:val="none"/>
                      <w:lang w:val="en-US" w:eastAsia="zh-CN"/>
                    </w:rPr>
                  </w:pPr>
                  <w:r>
                    <w:rPr>
                      <w:rFonts w:ascii="Times New Roman" w:hAnsi="Times New Roman"/>
                      <w:color w:val="auto"/>
                      <w:sz w:val="21"/>
                      <w:szCs w:val="21"/>
                      <w:u w:val="none"/>
                      <w:lang w:val="en-US" w:eastAsia="zh-CN" w:bidi="ar"/>
                    </w:rPr>
                    <w:t>固废</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ascii="Times New Roman" w:hAnsi="Times New Roman"/>
                      <w:color w:val="auto"/>
                      <w:sz w:val="21"/>
                      <w:szCs w:val="21"/>
                      <w:highlight w:val="none"/>
                      <w:u w:val="none"/>
                      <w:lang w:val="en-US" w:eastAsia="zh-CN" w:bidi="ar"/>
                    </w:rPr>
                    <w:t>一般工业固废</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hint="eastAsia" w:cs="宋体"/>
                      <w:color w:val="auto"/>
                      <w:sz w:val="21"/>
                      <w:szCs w:val="21"/>
                      <w:highlight w:val="none"/>
                      <w:u w:val="none"/>
                      <w:lang w:val="en-US" w:eastAsia="zh-CN"/>
                    </w:rPr>
                    <w:t>依托西北角</w:t>
                  </w:r>
                  <w:r>
                    <w:rPr>
                      <w:rFonts w:hint="eastAsia" w:ascii="Times New Roman" w:hAnsi="Times New Roman"/>
                      <w:color w:val="auto"/>
                      <w:sz w:val="21"/>
                      <w:szCs w:val="21"/>
                      <w:highlight w:val="none"/>
                      <w:u w:val="none"/>
                      <w:lang w:val="en-US" w:eastAsia="zh-CN" w:bidi="ar"/>
                    </w:rPr>
                    <w:t>已建</w:t>
                  </w:r>
                  <w:r>
                    <w:rPr>
                      <w:rFonts w:hint="eastAsia" w:cs="宋体"/>
                      <w:color w:val="auto"/>
                      <w:sz w:val="21"/>
                      <w:szCs w:val="21"/>
                      <w:highlight w:val="none"/>
                      <w:u w:val="none"/>
                      <w:lang w:val="en-US" w:eastAsia="zh-CN"/>
                    </w:rPr>
                    <w:t>一般固废暂存堆场</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rPr>
                      <w:color w:val="auto"/>
                      <w:szCs w:val="21"/>
                      <w:u w:val="none"/>
                    </w:rPr>
                  </w:pPr>
                </w:p>
              </w:tc>
              <w:tc>
                <w:tcPr>
                  <w:tcW w:w="0" w:type="auto"/>
                  <w:vMerge w:val="restart"/>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ascii="Times New Roman" w:hAnsi="Times New Roman"/>
                      <w:color w:val="auto"/>
                      <w:sz w:val="21"/>
                      <w:szCs w:val="21"/>
                      <w:highlight w:val="none"/>
                      <w:u w:val="none"/>
                      <w:lang w:val="en-US" w:eastAsia="zh-CN" w:bidi="ar"/>
                    </w:rPr>
                    <w:t>危险废物</w:t>
                  </w:r>
                </w:p>
              </w:tc>
              <w:tc>
                <w:tcPr>
                  <w:tcW w:w="0" w:type="auto"/>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bidi="ar"/>
                    </w:rPr>
                    <w:t>依托</w:t>
                  </w:r>
                  <w:r>
                    <w:rPr>
                      <w:rFonts w:hint="eastAsia" w:cs="宋体"/>
                      <w:color w:val="auto"/>
                      <w:sz w:val="21"/>
                      <w:szCs w:val="21"/>
                      <w:highlight w:val="none"/>
                      <w:u w:val="none"/>
                      <w:lang w:val="en-US" w:eastAsia="zh-CN"/>
                    </w:rPr>
                    <w:t>西北角</w:t>
                  </w:r>
                  <w:r>
                    <w:rPr>
                      <w:rFonts w:hint="eastAsia" w:ascii="Times New Roman" w:hAnsi="Times New Roman"/>
                      <w:color w:val="auto"/>
                      <w:sz w:val="21"/>
                      <w:szCs w:val="21"/>
                      <w:highlight w:val="none"/>
                      <w:u w:val="none"/>
                      <w:lang w:val="en-US" w:eastAsia="zh-CN" w:bidi="ar"/>
                    </w:rPr>
                    <w:t>已建危废暂存间和北侧已经污泥暂存间</w:t>
                  </w: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noWrap w:val="0"/>
                  <w:vAlign w:val="center"/>
                </w:tcPr>
                <w:p>
                  <w:pPr>
                    <w:rPr>
                      <w:color w:val="auto"/>
                      <w:szCs w:val="21"/>
                      <w:u w:val="none"/>
                    </w:rPr>
                  </w:pPr>
                </w:p>
              </w:tc>
              <w:tc>
                <w:tcPr>
                  <w:tcW w:w="0" w:type="auto"/>
                  <w:vMerge w:val="continue"/>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bidi="ar"/>
                    </w:rPr>
                  </w:pP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危险废物定期</w:t>
                  </w:r>
                  <w:r>
                    <w:rPr>
                      <w:rFonts w:ascii="Times New Roman" w:hAnsi="Times New Roman"/>
                      <w:color w:val="auto"/>
                      <w:sz w:val="21"/>
                      <w:szCs w:val="21"/>
                      <w:highlight w:val="none"/>
                      <w:u w:val="none"/>
                      <w:lang w:val="en-US" w:eastAsia="zh-CN" w:bidi="ar"/>
                    </w:rPr>
                    <w:t>交由有资质单位处置</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bidi="ar"/>
                    </w:rPr>
                  </w:pPr>
                  <w:r>
                    <w:rPr>
                      <w:rFonts w:hint="eastAsia"/>
                      <w:color w:val="auto"/>
                      <w:sz w:val="21"/>
                      <w:szCs w:val="21"/>
                      <w:u w:val="none"/>
                      <w:lang w:eastAsia="zh-CN"/>
                    </w:rPr>
                    <w:t>环境风险</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硫酸罐依托现有5m*5m*1m的围堰，依托现有300</w:t>
                  </w:r>
                  <w:r>
                    <w:rPr>
                      <w:rFonts w:hint="eastAsia" w:ascii="微软雅黑" w:hAnsi="微软雅黑" w:eastAsia="微软雅黑" w:cs="微软雅黑"/>
                      <w:color w:val="auto"/>
                      <w:sz w:val="21"/>
                      <w:szCs w:val="21"/>
                      <w:highlight w:val="none"/>
                      <w:u w:val="none"/>
                      <w:lang w:val="en-US" w:eastAsia="zh-CN" w:bidi="ar"/>
                    </w:rPr>
                    <w:t>㎥</w:t>
                  </w:r>
                  <w:r>
                    <w:rPr>
                      <w:rFonts w:hint="eastAsia" w:ascii="Times New Roman" w:hAnsi="Times New Roman"/>
                      <w:color w:val="auto"/>
                      <w:sz w:val="21"/>
                      <w:szCs w:val="21"/>
                      <w:highlight w:val="none"/>
                      <w:u w:val="none"/>
                      <w:lang w:val="en-US" w:eastAsia="zh-CN" w:bidi="ar"/>
                    </w:rPr>
                    <w:t>应急池</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color="auto"/>
                      <w:lang w:val="en-US" w:eastAsia="zh-CN" w:bidi="ar"/>
                    </w:rPr>
                  </w:pPr>
                  <w:r>
                    <w:rPr>
                      <w:rFonts w:hint="eastAsia"/>
                      <w:color w:val="auto"/>
                      <w:sz w:val="21"/>
                      <w:szCs w:val="21"/>
                      <w:u w:val="none" w:color="auto"/>
                      <w:lang w:val="en-US" w:eastAsia="zh-CN"/>
                    </w:rPr>
                    <w:t>地下水、土壤</w:t>
                  </w:r>
                </w:p>
              </w:tc>
              <w:tc>
                <w:tcPr>
                  <w:tcW w:w="0" w:type="auto"/>
                  <w:noWrap w:val="0"/>
                  <w:vAlign w:val="center"/>
                </w:tcPr>
                <w:p>
                  <w:pPr>
                    <w:pStyle w:val="25"/>
                    <w:widowControl w:val="0"/>
                    <w:wordWrap w:val="0"/>
                    <w:snapToGrid w:val="0"/>
                    <w:spacing w:before="0" w:beforeAutospacing="0" w:after="0" w:afterAutospacing="0"/>
                    <w:jc w:val="center"/>
                    <w:rPr>
                      <w:rFonts w:hint="eastAsia" w:ascii="Times New Roman" w:hAnsi="Times New Roman"/>
                      <w:color w:val="auto"/>
                      <w:sz w:val="21"/>
                      <w:szCs w:val="21"/>
                      <w:highlight w:val="none"/>
                      <w:u w:val="none" w:color="auto"/>
                      <w:lang w:val="en-US" w:eastAsia="zh-CN" w:bidi="ar"/>
                    </w:rPr>
                  </w:pPr>
                  <w:r>
                    <w:rPr>
                      <w:rFonts w:hint="eastAsia" w:ascii="Times New Roman" w:hAnsi="Times New Roman" w:cs="Times New Roman"/>
                      <w:color w:val="auto"/>
                      <w:kern w:val="2"/>
                      <w:sz w:val="21"/>
                      <w:szCs w:val="21"/>
                      <w:highlight w:val="none"/>
                      <w:u w:val="none" w:color="auto"/>
                      <w:lang w:val="en-US" w:eastAsia="zh-CN" w:bidi="ar-SA"/>
                    </w:rPr>
                    <w:t>分区</w:t>
                  </w:r>
                  <w:r>
                    <w:rPr>
                      <w:rFonts w:hint="default" w:ascii="Times New Roman" w:hAnsi="Times New Roman" w:cs="Times New Roman"/>
                      <w:color w:val="auto"/>
                      <w:kern w:val="2"/>
                      <w:sz w:val="21"/>
                      <w:szCs w:val="21"/>
                      <w:highlight w:val="none"/>
                      <w:u w:val="none" w:color="auto"/>
                      <w:lang w:val="en-US" w:bidi="ar-SA"/>
                    </w:rPr>
                    <w:t>防渗</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bidi="ar"/>
                    </w:rPr>
                  </w:pPr>
                  <w:r>
                    <w:rPr>
                      <w:rFonts w:hint="eastAsia" w:ascii="Times New Roman" w:hAnsi="Times New Roman"/>
                      <w:color w:val="auto"/>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3"/>
                  <w:noWrap w:val="0"/>
                  <w:vAlign w:val="center"/>
                </w:tcPr>
                <w:p>
                  <w:pPr>
                    <w:pStyle w:val="25"/>
                    <w:widowControl w:val="0"/>
                    <w:wordWrap w:val="0"/>
                    <w:snapToGrid w:val="0"/>
                    <w:spacing w:before="0" w:beforeAutospacing="0" w:after="0" w:afterAutospacing="0"/>
                    <w:jc w:val="center"/>
                    <w:rPr>
                      <w:rFonts w:ascii="Times New Roman" w:hAnsi="Times New Roman"/>
                      <w:color w:val="auto"/>
                      <w:sz w:val="21"/>
                      <w:szCs w:val="21"/>
                      <w:highlight w:val="none"/>
                      <w:u w:val="none"/>
                      <w:lang w:val="en-US" w:eastAsia="zh-CN"/>
                    </w:rPr>
                  </w:pPr>
                  <w:r>
                    <w:rPr>
                      <w:rFonts w:ascii="Times New Roman" w:hAnsi="Times New Roman"/>
                      <w:color w:val="auto"/>
                      <w:sz w:val="21"/>
                      <w:szCs w:val="21"/>
                      <w:highlight w:val="none"/>
                      <w:u w:val="none"/>
                      <w:lang w:val="en-US" w:eastAsia="zh-CN" w:bidi="ar"/>
                    </w:rPr>
                    <w:t>总计</w:t>
                  </w:r>
                </w:p>
              </w:tc>
              <w:tc>
                <w:tcPr>
                  <w:tcW w:w="0" w:type="auto"/>
                  <w:noWrap w:val="0"/>
                  <w:vAlign w:val="center"/>
                </w:tcPr>
                <w:p>
                  <w:pPr>
                    <w:pStyle w:val="25"/>
                    <w:widowControl w:val="0"/>
                    <w:wordWrap w:val="0"/>
                    <w:snapToGrid w:val="0"/>
                    <w:spacing w:before="0" w:beforeAutospacing="0" w:after="0" w:afterAutospacing="0"/>
                    <w:jc w:val="center"/>
                    <w:rPr>
                      <w:rFonts w:hint="default" w:ascii="Times New Roman" w:hAnsi="Times New Roman"/>
                      <w:color w:val="auto"/>
                      <w:sz w:val="21"/>
                      <w:szCs w:val="21"/>
                      <w:highlight w:val="none"/>
                      <w:u w:val="none"/>
                      <w:lang w:val="en-US" w:eastAsia="zh-CN"/>
                    </w:rPr>
                  </w:pPr>
                  <w:r>
                    <w:rPr>
                      <w:rFonts w:hint="eastAsia" w:ascii="Times New Roman" w:hAnsi="Times New Roman"/>
                      <w:color w:val="auto"/>
                      <w:sz w:val="21"/>
                      <w:szCs w:val="21"/>
                      <w:highlight w:val="none"/>
                      <w:u w:val="none"/>
                      <w:lang w:val="en-US" w:eastAsia="zh-CN"/>
                    </w:rPr>
                    <w:t>93</w:t>
                  </w:r>
                </w:p>
              </w:tc>
            </w:tr>
          </w:tbl>
          <w:p>
            <w:pPr>
              <w:pStyle w:val="25"/>
              <w:spacing w:line="360" w:lineRule="auto"/>
              <w:jc w:val="both"/>
              <w:outlineLvl w:val="9"/>
              <w:rPr>
                <w:rFonts w:ascii="Times New Roman" w:hAnsi="Times New Roman"/>
                <w:snapToGrid w:val="0"/>
                <w:color w:val="auto"/>
                <w:sz w:val="30"/>
                <w:szCs w:val="30"/>
                <w:highlight w:val="none"/>
                <w:u w:val="none"/>
                <w:vertAlign w:val="baseline"/>
              </w:rPr>
            </w:pPr>
          </w:p>
        </w:tc>
      </w:tr>
    </w:tbl>
    <w:p>
      <w:pPr>
        <w:pStyle w:val="25"/>
        <w:spacing w:line="360" w:lineRule="auto"/>
        <w:jc w:val="center"/>
        <w:outlineLvl w:val="9"/>
        <w:rPr>
          <w:rFonts w:ascii="Times New Roman" w:hAnsi="Times New Roman"/>
          <w:snapToGrid w:val="0"/>
          <w:color w:val="auto"/>
          <w:sz w:val="30"/>
          <w:szCs w:val="30"/>
          <w:highlight w:val="none"/>
          <w:u w:val="none"/>
        </w:rPr>
        <w:sectPr>
          <w:pgSz w:w="11906" w:h="16838"/>
          <w:pgMar w:top="1440" w:right="1080" w:bottom="1440" w:left="1080" w:header="851" w:footer="992" w:gutter="0"/>
          <w:pgNumType w:fmt="decimal"/>
          <w:cols w:space="425" w:num="1"/>
          <w:docGrid w:type="lines" w:linePitch="312" w:charSpace="0"/>
        </w:sectPr>
      </w:pPr>
    </w:p>
    <w:p>
      <w:pPr>
        <w:pStyle w:val="61"/>
        <w:bidi w:val="0"/>
        <w:rPr>
          <w:rFonts w:hint="eastAsia"/>
          <w:color w:val="auto"/>
          <w:highlight w:val="none"/>
          <w:u w:val="none"/>
          <w:lang w:val="en-US" w:eastAsia="zh-CN"/>
        </w:rPr>
      </w:pPr>
      <w:bookmarkStart w:id="71" w:name="_Toc8890"/>
      <w:r>
        <w:rPr>
          <w:color w:val="auto"/>
          <w:highlight w:val="none"/>
          <w:u w:val="none"/>
        </w:rPr>
        <w:t>五、</w:t>
      </w:r>
      <w:bookmarkStart w:id="72" w:name="_Hlk54167917"/>
      <w:r>
        <w:rPr>
          <w:color w:val="auto"/>
          <w:highlight w:val="none"/>
          <w:u w:val="none"/>
        </w:rPr>
        <w:t>环境保护措施监督检查清单</w:t>
      </w:r>
      <w:bookmarkEnd w:id="68"/>
      <w:bookmarkEnd w:id="71"/>
      <w:bookmarkEnd w:id="72"/>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61"/>
        <w:gridCol w:w="941"/>
        <w:gridCol w:w="1558"/>
        <w:gridCol w:w="1895"/>
        <w:gridCol w:w="2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883" w:type="dxa"/>
            <w:tcBorders>
              <w:tl2br w:val="single" w:color="auto" w:sz="4" w:space="0"/>
            </w:tcBorders>
            <w:noWrap w:val="0"/>
            <w:vAlign w:val="top"/>
          </w:tcPr>
          <w:p>
            <w:pPr>
              <w:pStyle w:val="55"/>
              <w:bidi w:val="0"/>
              <w:rPr>
                <w:rFonts w:ascii="Times New Roman" w:hAnsi="Times New Roman" w:eastAsia="宋体" w:cs="Times New Roman"/>
                <w:b/>
                <w:bCs w:val="0"/>
                <w:color w:val="auto"/>
                <w:sz w:val="21"/>
                <w:szCs w:val="21"/>
                <w:u w:val="none"/>
              </w:rPr>
            </w:pPr>
            <w:r>
              <w:rPr>
                <w:rFonts w:ascii="Times New Roman" w:hAnsi="Times New Roman" w:eastAsia="宋体" w:cs="Times New Roman"/>
                <w:b/>
                <w:bCs w:val="0"/>
                <w:color w:val="auto"/>
                <w:sz w:val="21"/>
                <w:szCs w:val="21"/>
                <w:u w:val="none"/>
              </w:rPr>
              <w:t>内容</w:t>
            </w:r>
          </w:p>
          <w:p>
            <w:pPr>
              <w:pStyle w:val="55"/>
              <w:bidi w:val="0"/>
              <w:rPr>
                <w:rFonts w:ascii="Times New Roman" w:hAnsi="Times New Roman" w:eastAsia="宋体" w:cs="Times New Roman"/>
                <w:b/>
                <w:bCs w:val="0"/>
                <w:color w:val="auto"/>
                <w:sz w:val="21"/>
                <w:szCs w:val="21"/>
                <w:u w:val="none"/>
              </w:rPr>
            </w:pPr>
            <w:r>
              <w:rPr>
                <w:rFonts w:ascii="Times New Roman" w:hAnsi="Times New Roman" w:eastAsia="宋体" w:cs="Times New Roman"/>
                <w:b/>
                <w:bCs w:val="0"/>
                <w:color w:val="auto"/>
                <w:sz w:val="21"/>
                <w:szCs w:val="21"/>
                <w:u w:val="none"/>
              </w:rPr>
              <w:t>要素</w:t>
            </w:r>
          </w:p>
        </w:tc>
        <w:tc>
          <w:tcPr>
            <w:tcW w:w="1902" w:type="dxa"/>
            <w:gridSpan w:val="2"/>
            <w:noWrap w:val="0"/>
            <w:vAlign w:val="center"/>
          </w:tcPr>
          <w:p>
            <w:pPr>
              <w:pStyle w:val="55"/>
              <w:bidi w:val="0"/>
              <w:rPr>
                <w:rFonts w:ascii="Times New Roman" w:hAnsi="Times New Roman" w:eastAsia="宋体" w:cs="Times New Roman"/>
                <w:b/>
                <w:bCs w:val="0"/>
                <w:color w:val="auto"/>
                <w:sz w:val="21"/>
                <w:szCs w:val="21"/>
                <w:u w:val="none"/>
              </w:rPr>
            </w:pPr>
            <w:r>
              <w:rPr>
                <w:rFonts w:ascii="Times New Roman" w:hAnsi="Times New Roman" w:eastAsia="宋体" w:cs="Times New Roman"/>
                <w:b/>
                <w:bCs w:val="0"/>
                <w:color w:val="auto"/>
                <w:sz w:val="21"/>
                <w:szCs w:val="21"/>
                <w:u w:val="none"/>
              </w:rPr>
              <w:t>排放口</w:t>
            </w:r>
            <w:r>
              <w:rPr>
                <w:rFonts w:hint="eastAsia" w:ascii="Times New Roman" w:hAnsi="Times New Roman" w:eastAsia="宋体" w:cs="Times New Roman"/>
                <w:b/>
                <w:bCs w:val="0"/>
                <w:color w:val="auto"/>
                <w:sz w:val="21"/>
                <w:szCs w:val="21"/>
                <w:u w:val="none"/>
              </w:rPr>
              <w:t>（</w:t>
            </w:r>
            <w:r>
              <w:rPr>
                <w:rFonts w:ascii="Times New Roman" w:hAnsi="Times New Roman" w:eastAsia="宋体" w:cs="Times New Roman"/>
                <w:b/>
                <w:bCs w:val="0"/>
                <w:color w:val="auto"/>
                <w:sz w:val="21"/>
                <w:szCs w:val="21"/>
                <w:u w:val="none"/>
              </w:rPr>
              <w:t>编号、名称</w:t>
            </w:r>
            <w:r>
              <w:rPr>
                <w:rFonts w:hint="eastAsia" w:ascii="Times New Roman" w:hAnsi="Times New Roman" w:eastAsia="宋体" w:cs="Times New Roman"/>
                <w:b/>
                <w:bCs w:val="0"/>
                <w:color w:val="auto"/>
                <w:sz w:val="21"/>
                <w:szCs w:val="21"/>
                <w:u w:val="none"/>
              </w:rPr>
              <w:t>）</w:t>
            </w:r>
            <w:r>
              <w:rPr>
                <w:rFonts w:ascii="Times New Roman" w:hAnsi="Times New Roman" w:eastAsia="宋体" w:cs="Times New Roman"/>
                <w:b/>
                <w:bCs w:val="0"/>
                <w:color w:val="auto"/>
                <w:sz w:val="21"/>
                <w:szCs w:val="21"/>
                <w:u w:val="none"/>
              </w:rPr>
              <w:t>/污染源</w:t>
            </w:r>
          </w:p>
        </w:tc>
        <w:tc>
          <w:tcPr>
            <w:tcW w:w="1558" w:type="dxa"/>
            <w:noWrap w:val="0"/>
            <w:vAlign w:val="center"/>
          </w:tcPr>
          <w:p>
            <w:pPr>
              <w:pStyle w:val="55"/>
              <w:bidi w:val="0"/>
              <w:rPr>
                <w:rFonts w:ascii="Times New Roman" w:hAnsi="Times New Roman" w:eastAsia="宋体" w:cs="Times New Roman"/>
                <w:b/>
                <w:bCs w:val="0"/>
                <w:color w:val="auto"/>
                <w:sz w:val="21"/>
                <w:szCs w:val="21"/>
                <w:u w:val="none"/>
              </w:rPr>
            </w:pPr>
            <w:r>
              <w:rPr>
                <w:rFonts w:ascii="Times New Roman" w:hAnsi="Times New Roman" w:eastAsia="宋体" w:cs="Times New Roman"/>
                <w:b/>
                <w:bCs w:val="0"/>
                <w:color w:val="auto"/>
                <w:sz w:val="21"/>
                <w:szCs w:val="21"/>
                <w:u w:val="none"/>
              </w:rPr>
              <w:t>污染物项目</w:t>
            </w:r>
          </w:p>
        </w:tc>
        <w:tc>
          <w:tcPr>
            <w:tcW w:w="1895" w:type="dxa"/>
            <w:noWrap w:val="0"/>
            <w:vAlign w:val="center"/>
          </w:tcPr>
          <w:p>
            <w:pPr>
              <w:pStyle w:val="55"/>
              <w:bidi w:val="0"/>
              <w:rPr>
                <w:rFonts w:ascii="Times New Roman" w:hAnsi="Times New Roman" w:eastAsia="宋体" w:cs="Times New Roman"/>
                <w:b/>
                <w:bCs w:val="0"/>
                <w:color w:val="auto"/>
                <w:sz w:val="21"/>
                <w:szCs w:val="21"/>
                <w:u w:val="none"/>
              </w:rPr>
            </w:pPr>
            <w:r>
              <w:rPr>
                <w:rFonts w:ascii="Times New Roman" w:hAnsi="Times New Roman" w:eastAsia="宋体" w:cs="Times New Roman"/>
                <w:b/>
                <w:bCs w:val="0"/>
                <w:color w:val="auto"/>
                <w:sz w:val="21"/>
                <w:szCs w:val="21"/>
                <w:u w:val="none"/>
              </w:rPr>
              <w:t>环境保护措施</w:t>
            </w:r>
          </w:p>
        </w:tc>
        <w:tc>
          <w:tcPr>
            <w:tcW w:w="2822" w:type="dxa"/>
            <w:noWrap w:val="0"/>
            <w:vAlign w:val="center"/>
          </w:tcPr>
          <w:p>
            <w:pPr>
              <w:pStyle w:val="55"/>
              <w:bidi w:val="0"/>
              <w:rPr>
                <w:rFonts w:ascii="Times New Roman" w:hAnsi="Times New Roman" w:eastAsia="宋体" w:cs="Times New Roman"/>
                <w:b/>
                <w:bCs w:val="0"/>
                <w:color w:val="auto"/>
                <w:sz w:val="21"/>
                <w:szCs w:val="21"/>
                <w:u w:val="none"/>
              </w:rPr>
            </w:pPr>
            <w:r>
              <w:rPr>
                <w:rFonts w:ascii="Times New Roman" w:hAnsi="Times New Roman" w:eastAsia="宋体" w:cs="Times New Roman"/>
                <w:b/>
                <w:bCs w:val="0"/>
                <w:color w:val="auto"/>
                <w:sz w:val="21"/>
                <w:szCs w:val="21"/>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83" w:type="dxa"/>
            <w:vMerge w:val="restart"/>
            <w:noWrap w:val="0"/>
            <w:vAlign w:val="center"/>
          </w:tcPr>
          <w:p>
            <w:pPr>
              <w:pStyle w:val="55"/>
              <w:bidi w:val="0"/>
              <w:rPr>
                <w:b/>
                <w:bCs w:val="0"/>
                <w:color w:val="auto"/>
                <w:sz w:val="21"/>
                <w:szCs w:val="21"/>
                <w:u w:val="none"/>
              </w:rPr>
            </w:pPr>
            <w:r>
              <w:rPr>
                <w:b/>
                <w:bCs w:val="0"/>
                <w:color w:val="auto"/>
                <w:sz w:val="21"/>
                <w:szCs w:val="21"/>
                <w:u w:val="none"/>
              </w:rPr>
              <w:t>大气环境</w:t>
            </w:r>
          </w:p>
        </w:tc>
        <w:tc>
          <w:tcPr>
            <w:tcW w:w="961" w:type="dxa"/>
            <w:noWrap w:val="0"/>
            <w:vAlign w:val="center"/>
          </w:tcPr>
          <w:p>
            <w:pPr>
              <w:pStyle w:val="55"/>
              <w:bidi w:val="0"/>
              <w:rPr>
                <w:rFonts w:hint="eastAsia" w:eastAsia="宋体"/>
                <w:color w:val="auto"/>
                <w:sz w:val="21"/>
                <w:szCs w:val="21"/>
                <w:u w:val="none"/>
                <w:lang w:eastAsia="zh-CN"/>
              </w:rPr>
            </w:pPr>
            <w:r>
              <w:rPr>
                <w:color w:val="auto"/>
                <w:sz w:val="21"/>
                <w:szCs w:val="21"/>
                <w:u w:val="none"/>
              </w:rPr>
              <w:t>DA00</w:t>
            </w:r>
            <w:r>
              <w:rPr>
                <w:rFonts w:hint="eastAsia"/>
                <w:color w:val="auto"/>
                <w:sz w:val="21"/>
                <w:szCs w:val="21"/>
                <w:u w:val="none"/>
                <w:lang w:val="en-US" w:eastAsia="zh-CN"/>
              </w:rPr>
              <w:t>7</w:t>
            </w:r>
          </w:p>
        </w:tc>
        <w:tc>
          <w:tcPr>
            <w:tcW w:w="941" w:type="dxa"/>
            <w:noWrap w:val="0"/>
            <w:vAlign w:val="center"/>
          </w:tcPr>
          <w:p>
            <w:pPr>
              <w:tabs>
                <w:tab w:val="left" w:pos="2587"/>
              </w:tabs>
              <w:jc w:val="center"/>
              <w:rPr>
                <w:color w:val="auto"/>
                <w:sz w:val="21"/>
                <w:szCs w:val="21"/>
                <w:u w:val="none"/>
              </w:rPr>
            </w:pPr>
            <w:r>
              <w:rPr>
                <w:rFonts w:hint="eastAsia" w:cs="Times New Roman"/>
                <w:color w:val="auto"/>
                <w:sz w:val="21"/>
                <w:szCs w:val="21"/>
                <w:highlight w:val="none"/>
                <w:u w:val="none"/>
                <w:lang w:val="en-US" w:eastAsia="zh-CN"/>
              </w:rPr>
              <w:t>酸雾</w:t>
            </w:r>
            <w:r>
              <w:rPr>
                <w:rFonts w:hint="eastAsia" w:ascii="Times New Roman" w:hAnsi="Times New Roman" w:cs="Times New Roman"/>
                <w:color w:val="auto"/>
                <w:sz w:val="21"/>
                <w:szCs w:val="21"/>
                <w:highlight w:val="none"/>
                <w:u w:val="none"/>
                <w:lang w:val="en-US" w:eastAsia="zh-CN"/>
              </w:rPr>
              <w:t>废气</w:t>
            </w:r>
          </w:p>
        </w:tc>
        <w:tc>
          <w:tcPr>
            <w:tcW w:w="1558" w:type="dxa"/>
            <w:noWrap w:val="0"/>
            <w:vAlign w:val="center"/>
          </w:tcPr>
          <w:p>
            <w:pPr>
              <w:pStyle w:val="55"/>
              <w:bidi w:val="0"/>
              <w:rPr>
                <w:color w:val="auto"/>
                <w:sz w:val="21"/>
                <w:szCs w:val="21"/>
                <w:u w:val="none"/>
              </w:rPr>
            </w:pPr>
            <w:r>
              <w:rPr>
                <w:rFonts w:hint="eastAsia"/>
                <w:color w:val="auto"/>
                <w:sz w:val="21"/>
                <w:szCs w:val="21"/>
                <w:u w:val="none"/>
                <w:lang w:val="en-US" w:eastAsia="zh-CN"/>
              </w:rPr>
              <w:t>硫酸雾</w:t>
            </w:r>
          </w:p>
        </w:tc>
        <w:tc>
          <w:tcPr>
            <w:tcW w:w="1895" w:type="dxa"/>
            <w:noWrap w:val="0"/>
            <w:vAlign w:val="center"/>
          </w:tcPr>
          <w:p>
            <w:pPr>
              <w:pStyle w:val="55"/>
              <w:bidi w:val="0"/>
              <w:rPr>
                <w:rFonts w:hint="default"/>
                <w:color w:val="auto"/>
                <w:sz w:val="21"/>
                <w:szCs w:val="21"/>
                <w:u w:val="none"/>
                <w:lang w:val="en-US" w:eastAsia="zh-CN"/>
              </w:rPr>
            </w:pPr>
            <w:r>
              <w:rPr>
                <w:rFonts w:hint="eastAsia"/>
                <w:color w:val="auto"/>
                <w:sz w:val="21"/>
                <w:szCs w:val="21"/>
                <w:u w:val="none"/>
                <w:lang w:val="en-US" w:eastAsia="zh-CN"/>
              </w:rPr>
              <w:t>碱喷淋装置+15m高排气筒</w:t>
            </w:r>
          </w:p>
        </w:tc>
        <w:tc>
          <w:tcPr>
            <w:tcW w:w="2822" w:type="dxa"/>
            <w:vMerge w:val="restart"/>
            <w:noWrap w:val="0"/>
            <w:vAlign w:val="center"/>
          </w:tcPr>
          <w:p>
            <w:pPr>
              <w:pStyle w:val="55"/>
              <w:rPr>
                <w:rFonts w:hint="eastAsia"/>
                <w:color w:val="auto"/>
                <w:sz w:val="21"/>
                <w:szCs w:val="21"/>
                <w:u w:val="none"/>
                <w:lang w:val="en-US" w:eastAsia="zh-CN"/>
              </w:rPr>
            </w:pPr>
            <w:r>
              <w:rPr>
                <w:rFonts w:hint="eastAsia"/>
                <w:color w:val="auto"/>
                <w:sz w:val="21"/>
                <w:szCs w:val="21"/>
                <w:u w:val="none"/>
                <w:lang w:val="en-US" w:eastAsia="zh-CN"/>
              </w:rPr>
              <w:t>《大气污染物综合排放标准》（GB16297-1996）表2中二级排放标准限值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83" w:type="dxa"/>
            <w:vMerge w:val="continue"/>
            <w:noWrap w:val="0"/>
            <w:vAlign w:val="center"/>
          </w:tcPr>
          <w:p>
            <w:pPr>
              <w:pStyle w:val="55"/>
              <w:bidi w:val="0"/>
              <w:rPr>
                <w:b/>
                <w:bCs w:val="0"/>
                <w:color w:val="auto"/>
                <w:sz w:val="21"/>
                <w:szCs w:val="21"/>
                <w:u w:val="none"/>
              </w:rPr>
            </w:pPr>
          </w:p>
        </w:tc>
        <w:tc>
          <w:tcPr>
            <w:tcW w:w="961" w:type="dxa"/>
            <w:noWrap w:val="0"/>
            <w:vAlign w:val="center"/>
          </w:tcPr>
          <w:p>
            <w:pPr>
              <w:pStyle w:val="55"/>
              <w:bidi w:val="0"/>
              <w:rPr>
                <w:rFonts w:hint="default" w:eastAsia="宋体"/>
                <w:color w:val="auto"/>
                <w:sz w:val="21"/>
                <w:szCs w:val="21"/>
                <w:u w:val="none"/>
                <w:lang w:val="en-US" w:eastAsia="zh-CN"/>
              </w:rPr>
            </w:pPr>
            <w:r>
              <w:rPr>
                <w:rFonts w:hint="eastAsia"/>
                <w:color w:val="auto"/>
                <w:sz w:val="21"/>
                <w:szCs w:val="21"/>
                <w:u w:val="none"/>
                <w:lang w:val="en-US" w:eastAsia="zh-CN"/>
              </w:rPr>
              <w:t>DA008</w:t>
            </w:r>
          </w:p>
        </w:tc>
        <w:tc>
          <w:tcPr>
            <w:tcW w:w="941" w:type="dxa"/>
            <w:noWrap w:val="0"/>
            <w:vAlign w:val="center"/>
          </w:tcPr>
          <w:p>
            <w:pPr>
              <w:tabs>
                <w:tab w:val="left" w:pos="2587"/>
              </w:tabs>
              <w:jc w:val="center"/>
              <w:rPr>
                <w:rFonts w:hint="eastAsia"/>
                <w:color w:val="auto"/>
                <w:sz w:val="21"/>
                <w:szCs w:val="21"/>
                <w:u w:val="none"/>
                <w:lang w:val="en-US" w:eastAsia="zh-CN"/>
              </w:rPr>
            </w:pPr>
            <w:r>
              <w:rPr>
                <w:rFonts w:hint="eastAsia" w:cs="Times New Roman"/>
                <w:color w:val="auto"/>
                <w:sz w:val="21"/>
                <w:szCs w:val="21"/>
                <w:highlight w:val="none"/>
                <w:u w:val="none"/>
                <w:lang w:val="en-US" w:eastAsia="zh-CN"/>
              </w:rPr>
              <w:t>配粉粉尘</w:t>
            </w:r>
          </w:p>
        </w:tc>
        <w:tc>
          <w:tcPr>
            <w:tcW w:w="1558" w:type="dxa"/>
            <w:noWrap w:val="0"/>
            <w:vAlign w:val="center"/>
          </w:tcPr>
          <w:p>
            <w:pPr>
              <w:pStyle w:val="55"/>
              <w:bidi w:val="0"/>
              <w:rPr>
                <w:rFonts w:hint="eastAsia"/>
                <w:color w:val="auto"/>
                <w:sz w:val="21"/>
                <w:szCs w:val="21"/>
                <w:u w:val="none"/>
                <w:lang w:val="en-US" w:eastAsia="zh-CN"/>
              </w:rPr>
            </w:pPr>
            <w:r>
              <w:rPr>
                <w:rFonts w:hint="eastAsia"/>
                <w:color w:val="auto"/>
                <w:sz w:val="21"/>
                <w:szCs w:val="21"/>
                <w:u w:val="none"/>
                <w:lang w:val="en-US" w:eastAsia="zh-CN"/>
              </w:rPr>
              <w:t>颗粒物</w:t>
            </w:r>
          </w:p>
        </w:tc>
        <w:tc>
          <w:tcPr>
            <w:tcW w:w="1895" w:type="dxa"/>
            <w:noWrap w:val="0"/>
            <w:vAlign w:val="center"/>
          </w:tcPr>
          <w:p>
            <w:pPr>
              <w:pStyle w:val="55"/>
              <w:bidi w:val="0"/>
              <w:rPr>
                <w:rFonts w:hint="eastAsia"/>
                <w:color w:val="auto"/>
                <w:sz w:val="21"/>
                <w:szCs w:val="21"/>
                <w:u w:val="none"/>
                <w:lang w:val="en-US" w:eastAsia="zh-CN"/>
              </w:rPr>
            </w:pPr>
            <w:r>
              <w:rPr>
                <w:rFonts w:hint="eastAsia"/>
                <w:color w:val="auto"/>
                <w:sz w:val="21"/>
                <w:szCs w:val="21"/>
                <w:u w:val="none"/>
                <w:lang w:val="en-US" w:eastAsia="zh-CN"/>
              </w:rPr>
              <w:t>布袋除尘器+15m高排气筒</w:t>
            </w:r>
          </w:p>
        </w:tc>
        <w:tc>
          <w:tcPr>
            <w:tcW w:w="2822" w:type="dxa"/>
            <w:vMerge w:val="continue"/>
            <w:noWrap w:val="0"/>
            <w:vAlign w:val="center"/>
          </w:tcPr>
          <w:p>
            <w:pPr>
              <w:pStyle w:val="55"/>
              <w:rPr>
                <w:rFonts w:hint="eastAsia"/>
                <w:color w:val="auto"/>
                <w:sz w:val="21"/>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83" w:type="dxa"/>
            <w:vMerge w:val="continue"/>
            <w:noWrap w:val="0"/>
            <w:vAlign w:val="center"/>
          </w:tcPr>
          <w:p>
            <w:pPr>
              <w:pStyle w:val="55"/>
              <w:bidi w:val="0"/>
              <w:rPr>
                <w:b/>
                <w:bCs w:val="0"/>
                <w:color w:val="auto"/>
                <w:sz w:val="21"/>
                <w:szCs w:val="21"/>
                <w:u w:val="none"/>
              </w:rPr>
            </w:pPr>
          </w:p>
        </w:tc>
        <w:tc>
          <w:tcPr>
            <w:tcW w:w="961" w:type="dxa"/>
            <w:noWrap w:val="0"/>
            <w:vAlign w:val="center"/>
          </w:tcPr>
          <w:p>
            <w:pPr>
              <w:pStyle w:val="55"/>
              <w:bidi w:val="0"/>
              <w:rPr>
                <w:rFonts w:hint="default"/>
                <w:color w:val="auto"/>
                <w:sz w:val="21"/>
                <w:szCs w:val="21"/>
                <w:u w:val="none"/>
                <w:lang w:val="en-US" w:eastAsia="zh-CN"/>
              </w:rPr>
            </w:pPr>
            <w:r>
              <w:rPr>
                <w:rFonts w:hint="eastAsia"/>
                <w:color w:val="auto"/>
                <w:sz w:val="21"/>
                <w:szCs w:val="21"/>
                <w:u w:val="none"/>
                <w:lang w:val="en-US" w:eastAsia="zh-CN"/>
              </w:rPr>
              <w:t>DA009</w:t>
            </w:r>
          </w:p>
        </w:tc>
        <w:tc>
          <w:tcPr>
            <w:tcW w:w="941" w:type="dxa"/>
            <w:noWrap w:val="0"/>
            <w:vAlign w:val="center"/>
          </w:tcPr>
          <w:p>
            <w:pPr>
              <w:tabs>
                <w:tab w:val="left" w:pos="2587"/>
              </w:tabs>
              <w:jc w:val="center"/>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注塑废气</w:t>
            </w:r>
          </w:p>
        </w:tc>
        <w:tc>
          <w:tcPr>
            <w:tcW w:w="1558" w:type="dxa"/>
            <w:noWrap w:val="0"/>
            <w:vAlign w:val="center"/>
          </w:tcPr>
          <w:p>
            <w:pPr>
              <w:pStyle w:val="55"/>
              <w:bidi w:val="0"/>
              <w:rPr>
                <w:rFonts w:hint="default"/>
                <w:color w:val="auto"/>
                <w:sz w:val="21"/>
                <w:szCs w:val="21"/>
                <w:u w:val="none"/>
                <w:lang w:val="en-US" w:eastAsia="zh-CN"/>
              </w:rPr>
            </w:pPr>
            <w:r>
              <w:rPr>
                <w:rFonts w:hint="eastAsia"/>
                <w:color w:val="auto"/>
                <w:sz w:val="21"/>
                <w:szCs w:val="21"/>
                <w:u w:val="none"/>
                <w:lang w:val="en-US" w:eastAsia="zh-CN"/>
              </w:rPr>
              <w:t>非甲烷总烃、苯、甲苯、二甲苯、乙苯、苯乙烯、臭气浓度</w:t>
            </w:r>
          </w:p>
        </w:tc>
        <w:tc>
          <w:tcPr>
            <w:tcW w:w="1895" w:type="dxa"/>
            <w:noWrap w:val="0"/>
            <w:vAlign w:val="center"/>
          </w:tcPr>
          <w:p>
            <w:pPr>
              <w:pStyle w:val="55"/>
              <w:bidi w:val="0"/>
              <w:rPr>
                <w:rFonts w:hint="default"/>
                <w:color w:val="auto"/>
                <w:sz w:val="21"/>
                <w:szCs w:val="21"/>
                <w:u w:val="none"/>
                <w:lang w:val="en-US" w:eastAsia="zh-CN"/>
              </w:rPr>
            </w:pPr>
            <w:r>
              <w:rPr>
                <w:rFonts w:hint="eastAsia"/>
                <w:color w:val="auto"/>
                <w:sz w:val="21"/>
                <w:szCs w:val="21"/>
                <w:u w:val="none"/>
                <w:lang w:val="en-US" w:eastAsia="zh-CN"/>
              </w:rPr>
              <w:t>两级活性炭吸附+15m高排气筒</w:t>
            </w:r>
          </w:p>
        </w:tc>
        <w:tc>
          <w:tcPr>
            <w:tcW w:w="2822" w:type="dxa"/>
            <w:noWrap w:val="0"/>
            <w:vAlign w:val="center"/>
          </w:tcPr>
          <w:p>
            <w:pPr>
              <w:pStyle w:val="55"/>
              <w:rPr>
                <w:rFonts w:hint="default"/>
                <w:color w:val="auto"/>
                <w:sz w:val="21"/>
                <w:szCs w:val="21"/>
                <w:u w:val="none"/>
                <w:lang w:val="en-US" w:eastAsia="zh-CN"/>
              </w:rPr>
            </w:pPr>
            <w:r>
              <w:rPr>
                <w:rFonts w:hint="eastAsia"/>
                <w:color w:val="auto"/>
                <w:sz w:val="21"/>
                <w:szCs w:val="21"/>
                <w:u w:val="none"/>
                <w:lang w:val="en-US" w:eastAsia="zh-CN"/>
              </w:rPr>
              <w:t>非甲烷总烃、苯、甲苯、乙苯、苯乙烯执行</w:t>
            </w:r>
            <w:r>
              <w:rPr>
                <w:rFonts w:hint="eastAsia" w:ascii="Times New Roman" w:hAnsi="Times New Roman"/>
                <w:color w:val="auto"/>
                <w:kern w:val="0"/>
                <w:sz w:val="21"/>
                <w:szCs w:val="21"/>
              </w:rPr>
              <w:t>《合成树脂工业污染物排放标准》(GB31572-2015)</w:t>
            </w:r>
            <w:r>
              <w:rPr>
                <w:rFonts w:hint="eastAsia" w:ascii="Times New Roman" w:hAnsi="Times New Roman"/>
                <w:color w:val="auto"/>
                <w:kern w:val="0"/>
                <w:sz w:val="21"/>
                <w:szCs w:val="21"/>
                <w:lang w:val="en-US" w:eastAsia="zh-CN"/>
              </w:rPr>
              <w:t>及2024修改单</w:t>
            </w:r>
            <w:r>
              <w:rPr>
                <w:rFonts w:hint="eastAsia"/>
                <w:color w:val="auto"/>
                <w:kern w:val="0"/>
                <w:sz w:val="21"/>
                <w:szCs w:val="21"/>
                <w:lang w:val="en-US" w:eastAsia="zh-CN"/>
              </w:rPr>
              <w:t>表5中</w:t>
            </w:r>
            <w:r>
              <w:rPr>
                <w:rFonts w:hint="eastAsia"/>
                <w:color w:val="auto"/>
                <w:sz w:val="21"/>
                <w:szCs w:val="21"/>
                <w:u w:val="none"/>
                <w:lang w:val="en-US" w:eastAsia="zh-CN"/>
              </w:rPr>
              <w:t>排放限值；二甲苯执行《大气污染物综合排放标准》（GB16297-1996）表2中二级排放标准限值；臭气浓度执行</w:t>
            </w:r>
            <w:r>
              <w:rPr>
                <w:rFonts w:hint="eastAsia" w:ascii="Times New Roman" w:hAnsi="Times New Roman"/>
                <w:color w:val="auto"/>
                <w:kern w:val="0"/>
                <w:sz w:val="21"/>
                <w:szCs w:val="21"/>
                <w:highlight w:val="none"/>
                <w:lang w:val="en-US" w:eastAsia="zh-CN"/>
              </w:rPr>
              <w:t>《恶臭污染物排放标准》（GB14554-93）表</w:t>
            </w:r>
            <w:r>
              <w:rPr>
                <w:rFonts w:hint="eastAsia"/>
                <w:color w:val="auto"/>
                <w:kern w:val="0"/>
                <w:sz w:val="21"/>
                <w:szCs w:val="21"/>
                <w:highlight w:val="none"/>
                <w:lang w:val="en-US" w:eastAsia="zh-CN"/>
              </w:rPr>
              <w:t>2</w:t>
            </w:r>
            <w:r>
              <w:rPr>
                <w:rFonts w:hint="eastAsia"/>
                <w:color w:val="auto"/>
                <w:sz w:val="21"/>
                <w:szCs w:val="21"/>
                <w:u w:val="none"/>
                <w:lang w:val="en-US" w:eastAsia="zh-CN"/>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continue"/>
            <w:noWrap w:val="0"/>
            <w:vAlign w:val="center"/>
          </w:tcPr>
          <w:p>
            <w:pPr>
              <w:pStyle w:val="55"/>
              <w:bidi w:val="0"/>
              <w:rPr>
                <w:b/>
                <w:bCs w:val="0"/>
                <w:color w:val="auto"/>
                <w:sz w:val="21"/>
                <w:szCs w:val="21"/>
                <w:u w:val="none"/>
              </w:rPr>
            </w:pPr>
          </w:p>
        </w:tc>
        <w:tc>
          <w:tcPr>
            <w:tcW w:w="1902" w:type="dxa"/>
            <w:gridSpan w:val="2"/>
            <w:noWrap w:val="0"/>
            <w:vAlign w:val="center"/>
          </w:tcPr>
          <w:p>
            <w:pPr>
              <w:pStyle w:val="55"/>
              <w:bidi w:val="0"/>
              <w:rPr>
                <w:rFonts w:hint="eastAsia"/>
                <w:color w:val="auto"/>
                <w:sz w:val="21"/>
                <w:szCs w:val="21"/>
                <w:u w:val="none"/>
                <w:lang w:val="en-US" w:eastAsia="zh-CN"/>
              </w:rPr>
            </w:pPr>
            <w:r>
              <w:rPr>
                <w:rFonts w:hint="eastAsia"/>
                <w:color w:val="auto"/>
                <w:sz w:val="21"/>
                <w:szCs w:val="21"/>
                <w:u w:val="none"/>
                <w:lang w:eastAsia="zh-CN"/>
              </w:rPr>
              <w:t>无组织</w:t>
            </w:r>
          </w:p>
        </w:tc>
        <w:tc>
          <w:tcPr>
            <w:tcW w:w="1558" w:type="dxa"/>
            <w:noWrap w:val="0"/>
            <w:vAlign w:val="center"/>
          </w:tcPr>
          <w:p>
            <w:pPr>
              <w:pStyle w:val="55"/>
              <w:bidi w:val="0"/>
              <w:rPr>
                <w:rFonts w:hint="eastAsia"/>
                <w:color w:val="auto"/>
                <w:sz w:val="21"/>
                <w:szCs w:val="21"/>
                <w:u w:val="none"/>
                <w:lang w:val="en-US" w:eastAsia="zh-CN"/>
              </w:rPr>
            </w:pPr>
            <w:r>
              <w:rPr>
                <w:rFonts w:hint="eastAsia"/>
                <w:color w:val="auto"/>
                <w:sz w:val="21"/>
                <w:szCs w:val="21"/>
                <w:u w:val="none"/>
                <w:lang w:val="en-US" w:eastAsia="zh-CN"/>
              </w:rPr>
              <w:t>氨气、臭气浓度、硫酸雾、颗粒物、非甲烷总烃、苯、甲苯</w:t>
            </w:r>
            <w:r>
              <w:rPr>
                <w:rFonts w:hint="eastAsia"/>
                <w:color w:val="auto"/>
                <w:sz w:val="21"/>
                <w:szCs w:val="21"/>
                <w:highlight w:val="none"/>
                <w:u w:val="none"/>
                <w:lang w:val="en-US" w:eastAsia="zh-CN"/>
              </w:rPr>
              <w:t>、乙苯、苯乙烯、二</w:t>
            </w:r>
            <w:r>
              <w:rPr>
                <w:rFonts w:hint="eastAsia"/>
                <w:color w:val="auto"/>
                <w:sz w:val="21"/>
                <w:szCs w:val="21"/>
                <w:u w:val="none"/>
                <w:lang w:val="en-US" w:eastAsia="zh-CN"/>
              </w:rPr>
              <w:t>甲苯</w:t>
            </w:r>
          </w:p>
        </w:tc>
        <w:tc>
          <w:tcPr>
            <w:tcW w:w="1895" w:type="dxa"/>
            <w:noWrap w:val="0"/>
            <w:vAlign w:val="center"/>
          </w:tcPr>
          <w:p>
            <w:pPr>
              <w:pStyle w:val="55"/>
              <w:bidi w:val="0"/>
              <w:rPr>
                <w:rFonts w:hint="eastAsia"/>
                <w:color w:val="auto"/>
                <w:sz w:val="21"/>
                <w:szCs w:val="21"/>
                <w:highlight w:val="none"/>
                <w:u w:val="none"/>
                <w:lang w:val="en-US" w:eastAsia="zh-CN"/>
              </w:rPr>
            </w:pPr>
            <w:r>
              <w:rPr>
                <w:rFonts w:hint="eastAsia"/>
                <w:color w:val="auto"/>
                <w:sz w:val="21"/>
                <w:szCs w:val="21"/>
                <w:highlight w:val="none"/>
                <w:u w:val="none"/>
                <w:lang w:val="en-US" w:eastAsia="zh-CN"/>
              </w:rPr>
              <w:t>加强通风</w:t>
            </w:r>
          </w:p>
        </w:tc>
        <w:tc>
          <w:tcPr>
            <w:tcW w:w="2822" w:type="dxa"/>
            <w:noWrap w:val="0"/>
            <w:vAlign w:val="center"/>
          </w:tcPr>
          <w:p>
            <w:pPr>
              <w:pStyle w:val="55"/>
              <w:rPr>
                <w:rFonts w:hint="default"/>
                <w:color w:val="auto"/>
                <w:sz w:val="21"/>
                <w:szCs w:val="21"/>
                <w:highlight w:val="none"/>
                <w:u w:val="none"/>
                <w:lang w:val="en-US" w:eastAsia="zh-CN"/>
              </w:rPr>
            </w:pPr>
            <w:r>
              <w:rPr>
                <w:rFonts w:hint="eastAsia"/>
                <w:color w:val="auto"/>
                <w:kern w:val="0"/>
                <w:sz w:val="21"/>
                <w:szCs w:val="21"/>
                <w:highlight w:val="none"/>
                <w:lang w:val="en-US" w:eastAsia="zh-CN"/>
              </w:rPr>
              <w:t>氨、臭气浓度执行</w:t>
            </w:r>
            <w:r>
              <w:rPr>
                <w:rFonts w:hint="eastAsia" w:ascii="Times New Roman" w:hAnsi="Times New Roman"/>
                <w:color w:val="auto"/>
                <w:kern w:val="0"/>
                <w:sz w:val="21"/>
                <w:szCs w:val="21"/>
                <w:highlight w:val="none"/>
                <w:lang w:val="en-US" w:eastAsia="zh-CN"/>
              </w:rPr>
              <w:t>《恶臭污染物排放标准》（GB14554-93）表1二级标准</w:t>
            </w:r>
            <w:r>
              <w:rPr>
                <w:rFonts w:hint="eastAsia"/>
                <w:color w:val="auto"/>
                <w:kern w:val="0"/>
                <w:sz w:val="21"/>
                <w:szCs w:val="21"/>
                <w:highlight w:val="none"/>
                <w:lang w:val="en-US" w:eastAsia="zh-CN"/>
              </w:rPr>
              <w:t>；二甲苯、颗粒物、硫酸雾执行</w:t>
            </w:r>
            <w:r>
              <w:rPr>
                <w:rFonts w:hint="eastAsia"/>
                <w:color w:val="auto"/>
                <w:sz w:val="21"/>
                <w:szCs w:val="21"/>
                <w:highlight w:val="none"/>
                <w:u w:val="none"/>
                <w:lang w:val="en-US" w:eastAsia="zh-CN"/>
              </w:rPr>
              <w:t>《大气污染物综合排放标准》（GB16297-1996）表2中无组织排放限值；非甲烷总烃、苯、甲苯执行</w:t>
            </w:r>
            <w:r>
              <w:rPr>
                <w:rFonts w:hint="eastAsia" w:ascii="Times New Roman" w:hAnsi="Times New Roman"/>
                <w:color w:val="auto"/>
                <w:kern w:val="0"/>
                <w:sz w:val="21"/>
                <w:szCs w:val="21"/>
                <w:highlight w:val="none"/>
              </w:rPr>
              <w:t>《合成树脂工业污染物排放标准》(GB31572-2015)</w:t>
            </w:r>
            <w:r>
              <w:rPr>
                <w:rFonts w:hint="eastAsia" w:ascii="Times New Roman" w:hAnsi="Times New Roman"/>
                <w:color w:val="auto"/>
                <w:kern w:val="0"/>
                <w:sz w:val="21"/>
                <w:szCs w:val="21"/>
                <w:highlight w:val="none"/>
                <w:lang w:val="en-US" w:eastAsia="zh-CN"/>
              </w:rPr>
              <w:t>及2024修改单</w:t>
            </w:r>
            <w:r>
              <w:rPr>
                <w:rFonts w:hint="eastAsia"/>
                <w:color w:val="auto"/>
                <w:kern w:val="0"/>
                <w:sz w:val="21"/>
                <w:szCs w:val="21"/>
                <w:highlight w:val="none"/>
                <w:lang w:val="en-US" w:eastAsia="zh-CN"/>
              </w:rPr>
              <w:t>中表9</w:t>
            </w:r>
            <w:r>
              <w:rPr>
                <w:rFonts w:hint="eastAsia"/>
                <w:color w:val="auto"/>
                <w:sz w:val="21"/>
                <w:szCs w:val="21"/>
                <w:highlight w:val="none"/>
                <w:u w:val="none"/>
                <w:lang w:val="en-US" w:eastAsia="zh-CN"/>
              </w:rPr>
              <w:t>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continue"/>
            <w:noWrap w:val="0"/>
            <w:vAlign w:val="center"/>
          </w:tcPr>
          <w:p>
            <w:pPr>
              <w:pStyle w:val="55"/>
              <w:bidi w:val="0"/>
              <w:rPr>
                <w:b/>
                <w:bCs w:val="0"/>
                <w:color w:val="auto"/>
                <w:sz w:val="21"/>
                <w:szCs w:val="21"/>
                <w:u w:val="none"/>
              </w:rPr>
            </w:pPr>
          </w:p>
        </w:tc>
        <w:tc>
          <w:tcPr>
            <w:tcW w:w="1902" w:type="dxa"/>
            <w:gridSpan w:val="2"/>
            <w:noWrap w:val="0"/>
            <w:vAlign w:val="center"/>
          </w:tcPr>
          <w:p>
            <w:pPr>
              <w:pStyle w:val="55"/>
              <w:bidi w:val="0"/>
              <w:rPr>
                <w:rFonts w:hint="eastAsia"/>
                <w:color w:val="auto"/>
                <w:sz w:val="21"/>
                <w:szCs w:val="21"/>
                <w:u w:val="none"/>
                <w:lang w:val="en-US" w:eastAsia="zh-CN"/>
              </w:rPr>
            </w:pPr>
            <w:r>
              <w:rPr>
                <w:rFonts w:hint="eastAsia"/>
                <w:color w:val="auto"/>
                <w:sz w:val="21"/>
                <w:szCs w:val="21"/>
                <w:u w:val="none"/>
                <w:lang w:val="en-US" w:eastAsia="zh-CN"/>
              </w:rPr>
              <w:t>无组织（厂房外）</w:t>
            </w:r>
          </w:p>
        </w:tc>
        <w:tc>
          <w:tcPr>
            <w:tcW w:w="1558" w:type="dxa"/>
            <w:noWrap w:val="0"/>
            <w:vAlign w:val="center"/>
          </w:tcPr>
          <w:p>
            <w:pPr>
              <w:pStyle w:val="55"/>
              <w:bidi w:val="0"/>
              <w:rPr>
                <w:rFonts w:hint="eastAsia"/>
                <w:color w:val="auto"/>
                <w:sz w:val="21"/>
                <w:szCs w:val="21"/>
                <w:u w:val="none"/>
                <w:lang w:val="en-US" w:eastAsia="zh-CN"/>
              </w:rPr>
            </w:pPr>
            <w:r>
              <w:rPr>
                <w:rFonts w:hint="eastAsia"/>
                <w:color w:val="auto"/>
                <w:sz w:val="21"/>
                <w:szCs w:val="21"/>
                <w:u w:val="none"/>
                <w:lang w:val="en-US" w:eastAsia="zh-CN"/>
              </w:rPr>
              <w:t>非甲烷总烃</w:t>
            </w:r>
          </w:p>
        </w:tc>
        <w:tc>
          <w:tcPr>
            <w:tcW w:w="1895" w:type="dxa"/>
            <w:noWrap w:val="0"/>
            <w:vAlign w:val="center"/>
          </w:tcPr>
          <w:p>
            <w:pPr>
              <w:pStyle w:val="55"/>
              <w:bidi w:val="0"/>
              <w:rPr>
                <w:rFonts w:hint="default"/>
                <w:color w:val="auto"/>
                <w:sz w:val="21"/>
                <w:szCs w:val="21"/>
                <w:u w:val="none"/>
                <w:lang w:val="en-US" w:eastAsia="zh-CN"/>
              </w:rPr>
            </w:pPr>
            <w:r>
              <w:rPr>
                <w:rFonts w:hint="eastAsia"/>
                <w:color w:val="auto"/>
                <w:sz w:val="21"/>
                <w:szCs w:val="21"/>
                <w:u w:val="none"/>
                <w:lang w:val="en-US" w:eastAsia="zh-CN"/>
              </w:rPr>
              <w:t>/</w:t>
            </w:r>
          </w:p>
        </w:tc>
        <w:tc>
          <w:tcPr>
            <w:tcW w:w="2822" w:type="dxa"/>
            <w:noWrap w:val="0"/>
            <w:vAlign w:val="center"/>
          </w:tcPr>
          <w:p>
            <w:pPr>
              <w:pStyle w:val="55"/>
              <w:rPr>
                <w:rFonts w:hint="eastAsia" w:ascii="Times New Roman" w:hAnsi="Times New Roman"/>
                <w:color w:val="auto"/>
                <w:kern w:val="0"/>
                <w:sz w:val="21"/>
                <w:szCs w:val="21"/>
                <w:lang w:val="en-US" w:eastAsia="zh-CN"/>
              </w:rPr>
            </w:pPr>
            <w:r>
              <w:rPr>
                <w:rFonts w:hint="eastAsia" w:ascii="Times New Roman" w:hAnsi="Times New Roman" w:eastAsia="宋体" w:cs="Times New Roman"/>
                <w:color w:val="auto"/>
                <w:kern w:val="2"/>
                <w:sz w:val="21"/>
                <w:szCs w:val="21"/>
                <w:u w:val="none" w:color="auto"/>
                <w:lang w:val="en-US" w:eastAsia="zh-CN" w:bidi="ar"/>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3" w:type="dxa"/>
            <w:vMerge w:val="restart"/>
            <w:noWrap w:val="0"/>
            <w:vAlign w:val="center"/>
          </w:tcPr>
          <w:p>
            <w:pPr>
              <w:pStyle w:val="55"/>
              <w:bidi w:val="0"/>
              <w:rPr>
                <w:rFonts w:hint="default" w:eastAsia="宋体"/>
                <w:b/>
                <w:bCs w:val="0"/>
                <w:color w:val="auto"/>
                <w:sz w:val="21"/>
                <w:szCs w:val="21"/>
                <w:highlight w:val="none"/>
                <w:u w:val="none"/>
                <w:lang w:val="en-US" w:eastAsia="zh-CN"/>
              </w:rPr>
            </w:pPr>
            <w:r>
              <w:rPr>
                <w:rFonts w:hint="eastAsia"/>
                <w:b/>
                <w:bCs w:val="0"/>
                <w:color w:val="auto"/>
                <w:sz w:val="21"/>
                <w:szCs w:val="21"/>
                <w:highlight w:val="none"/>
                <w:u w:val="none"/>
                <w:lang w:val="en-US" w:eastAsia="zh-CN"/>
              </w:rPr>
              <w:t>地表水环境</w:t>
            </w:r>
          </w:p>
        </w:tc>
        <w:tc>
          <w:tcPr>
            <w:tcW w:w="961" w:type="dxa"/>
            <w:noWrap w:val="0"/>
            <w:vAlign w:val="center"/>
          </w:tcPr>
          <w:p>
            <w:pPr>
              <w:pStyle w:val="55"/>
              <w:bidi w:val="0"/>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DW001</w:t>
            </w:r>
          </w:p>
        </w:tc>
        <w:tc>
          <w:tcPr>
            <w:tcW w:w="941" w:type="dxa"/>
            <w:noWrap w:val="0"/>
            <w:vAlign w:val="center"/>
          </w:tcPr>
          <w:p>
            <w:pPr>
              <w:pStyle w:val="55"/>
              <w:bidi w:val="0"/>
              <w:rPr>
                <w:rFonts w:hint="default"/>
                <w:color w:val="auto"/>
                <w:sz w:val="21"/>
                <w:szCs w:val="21"/>
                <w:highlight w:val="none"/>
                <w:u w:val="none"/>
                <w:lang w:val="en-US" w:eastAsia="zh-CN"/>
              </w:rPr>
            </w:pPr>
            <w:r>
              <w:rPr>
                <w:rFonts w:hint="eastAsia"/>
                <w:color w:val="auto"/>
                <w:sz w:val="21"/>
                <w:szCs w:val="21"/>
                <w:highlight w:val="none"/>
                <w:u w:val="none"/>
                <w:lang w:val="en-US" w:eastAsia="zh-CN"/>
              </w:rPr>
              <w:t>生产废水排放口</w:t>
            </w:r>
          </w:p>
        </w:tc>
        <w:tc>
          <w:tcPr>
            <w:tcW w:w="1558" w:type="dxa"/>
            <w:noWrap w:val="0"/>
            <w:vAlign w:val="center"/>
          </w:tcPr>
          <w:p>
            <w:pPr>
              <w:pStyle w:val="55"/>
              <w:bidi w:val="0"/>
              <w:rPr>
                <w:rFonts w:hint="eastAsia"/>
                <w:color w:val="auto"/>
                <w:sz w:val="21"/>
                <w:szCs w:val="21"/>
                <w:highlight w:val="none"/>
                <w:u w:val="none"/>
                <w:lang w:val="en-US" w:eastAsia="zh-CN"/>
              </w:rPr>
            </w:pPr>
            <w:r>
              <w:rPr>
                <w:rFonts w:hint="eastAsia"/>
                <w:color w:val="auto"/>
                <w:sz w:val="21"/>
                <w:szCs w:val="21"/>
                <w:highlight w:val="none"/>
                <w:u w:val="none"/>
                <w:lang w:val="en-US" w:eastAsia="zh-CN"/>
              </w:rPr>
              <w:t>pH、SS、CODcr、BOD</w:t>
            </w:r>
            <w:r>
              <w:rPr>
                <w:rFonts w:hint="eastAsia"/>
                <w:color w:val="auto"/>
                <w:sz w:val="21"/>
                <w:szCs w:val="21"/>
                <w:highlight w:val="none"/>
                <w:u w:val="none"/>
                <w:vertAlign w:val="subscript"/>
                <w:lang w:val="en-US" w:eastAsia="zh-CN"/>
              </w:rPr>
              <w:t>5</w:t>
            </w:r>
            <w:r>
              <w:rPr>
                <w:rFonts w:hint="eastAsia"/>
                <w:color w:val="auto"/>
                <w:sz w:val="21"/>
                <w:szCs w:val="21"/>
                <w:highlight w:val="none"/>
                <w:u w:val="none"/>
                <w:lang w:val="en-US" w:eastAsia="zh-CN"/>
              </w:rPr>
              <w:t>、氨氮、总磷、总氮、石油类、总铁</w:t>
            </w:r>
          </w:p>
        </w:tc>
        <w:tc>
          <w:tcPr>
            <w:tcW w:w="1895" w:type="dxa"/>
            <w:noWrap w:val="0"/>
            <w:vAlign w:val="center"/>
          </w:tcPr>
          <w:p>
            <w:pPr>
              <w:pStyle w:val="55"/>
              <w:bidi w:val="0"/>
              <w:rPr>
                <w:rFonts w:hint="default"/>
                <w:color w:val="auto"/>
                <w:sz w:val="21"/>
                <w:szCs w:val="21"/>
                <w:highlight w:val="none"/>
                <w:u w:val="none"/>
                <w:lang w:val="en-US" w:eastAsia="zh-CN"/>
              </w:rPr>
            </w:pPr>
            <w:r>
              <w:rPr>
                <w:rFonts w:hint="eastAsia"/>
                <w:color w:val="auto"/>
                <w:sz w:val="21"/>
                <w:szCs w:val="21"/>
                <w:highlight w:val="none"/>
                <w:u w:val="none"/>
                <w:lang w:val="en-US" w:eastAsia="zh-CN"/>
              </w:rPr>
              <w:t>采用“中和+混凝+沉淀+砂滤”处理后排湘阴县第三污水处理厂</w:t>
            </w:r>
          </w:p>
        </w:tc>
        <w:tc>
          <w:tcPr>
            <w:tcW w:w="2822" w:type="dxa"/>
            <w:vMerge w:val="restart"/>
            <w:noWrap w:val="0"/>
            <w:vAlign w:val="center"/>
          </w:tcPr>
          <w:p>
            <w:pPr>
              <w:pStyle w:val="55"/>
              <w:bidi w:val="0"/>
              <w:rPr>
                <w:color w:val="auto"/>
                <w:sz w:val="21"/>
                <w:szCs w:val="21"/>
                <w:highlight w:val="none"/>
                <w:u w:val="none"/>
              </w:rPr>
            </w:pPr>
            <w:r>
              <w:rPr>
                <w:rFonts w:hint="eastAsia" w:cs="Times New Roman"/>
                <w:color w:val="auto"/>
                <w:kern w:val="2"/>
                <w:sz w:val="21"/>
                <w:szCs w:val="21"/>
                <w:u w:val="none" w:color="auto"/>
                <w:lang w:val="en-US" w:eastAsia="zh-CN" w:bidi="ar"/>
              </w:rPr>
              <w:t>《污水综合排放标准》（GB8978-1996）中三级标准</w:t>
            </w:r>
            <w:r>
              <w:rPr>
                <w:rFonts w:hint="default" w:ascii="Times New Roman" w:hAnsi="Times New Roman" w:eastAsia="宋体" w:cs="Times New Roman"/>
                <w:color w:val="auto"/>
                <w:kern w:val="2"/>
                <w:sz w:val="21"/>
                <w:szCs w:val="21"/>
                <w:u w:val="none" w:color="auto"/>
                <w:lang w:val="en-US" w:eastAsia="zh-CN" w:bidi="ar"/>
              </w:rPr>
              <w:t>和湘阴县第三污水处理厂进水水质要求的较严值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vMerge w:val="continue"/>
            <w:noWrap w:val="0"/>
            <w:vAlign w:val="center"/>
          </w:tcPr>
          <w:p>
            <w:pPr>
              <w:pStyle w:val="55"/>
              <w:bidi w:val="0"/>
              <w:rPr>
                <w:rFonts w:hint="eastAsia"/>
                <w:b/>
                <w:bCs w:val="0"/>
                <w:color w:val="auto"/>
                <w:sz w:val="21"/>
                <w:szCs w:val="21"/>
                <w:highlight w:val="none"/>
                <w:u w:val="none"/>
                <w:lang w:val="en-US" w:eastAsia="zh-CN"/>
              </w:rPr>
            </w:pPr>
          </w:p>
        </w:tc>
        <w:tc>
          <w:tcPr>
            <w:tcW w:w="961" w:type="dxa"/>
            <w:noWrap w:val="0"/>
            <w:vAlign w:val="center"/>
          </w:tcPr>
          <w:p>
            <w:pPr>
              <w:pStyle w:val="55"/>
              <w:bidi w:val="0"/>
              <w:rPr>
                <w:rFonts w:hint="default"/>
                <w:color w:val="auto"/>
                <w:sz w:val="21"/>
                <w:szCs w:val="21"/>
                <w:highlight w:val="none"/>
                <w:u w:val="none"/>
                <w:lang w:val="en-US" w:eastAsia="zh-CN"/>
              </w:rPr>
            </w:pPr>
            <w:r>
              <w:rPr>
                <w:rFonts w:hint="eastAsia"/>
                <w:color w:val="auto"/>
                <w:sz w:val="21"/>
                <w:szCs w:val="21"/>
                <w:highlight w:val="none"/>
                <w:u w:val="none"/>
                <w:lang w:val="en-US" w:eastAsia="zh-CN"/>
              </w:rPr>
              <w:t>DW002</w:t>
            </w:r>
          </w:p>
        </w:tc>
        <w:tc>
          <w:tcPr>
            <w:tcW w:w="941" w:type="dxa"/>
            <w:noWrap w:val="0"/>
            <w:vAlign w:val="center"/>
          </w:tcPr>
          <w:p>
            <w:pPr>
              <w:pStyle w:val="55"/>
              <w:bidi w:val="0"/>
              <w:rPr>
                <w:rFonts w:hint="eastAsia"/>
                <w:color w:val="auto"/>
                <w:sz w:val="21"/>
                <w:szCs w:val="21"/>
                <w:highlight w:val="none"/>
                <w:u w:val="none"/>
                <w:lang w:val="en-US" w:eastAsia="zh-CN"/>
              </w:rPr>
            </w:pPr>
            <w:r>
              <w:rPr>
                <w:rFonts w:hint="eastAsia"/>
                <w:color w:val="auto"/>
                <w:sz w:val="21"/>
                <w:szCs w:val="21"/>
                <w:highlight w:val="none"/>
                <w:u w:val="none"/>
                <w:lang w:val="en-US" w:eastAsia="zh-CN"/>
              </w:rPr>
              <w:t>生活污水废水排放口</w:t>
            </w:r>
          </w:p>
        </w:tc>
        <w:tc>
          <w:tcPr>
            <w:tcW w:w="1558" w:type="dxa"/>
            <w:noWrap w:val="0"/>
            <w:vAlign w:val="center"/>
          </w:tcPr>
          <w:p>
            <w:pPr>
              <w:pStyle w:val="55"/>
              <w:bidi w:val="0"/>
              <w:rPr>
                <w:rFonts w:hint="eastAsia"/>
                <w:color w:val="auto"/>
                <w:sz w:val="21"/>
                <w:szCs w:val="21"/>
                <w:highlight w:val="none"/>
                <w:u w:val="none"/>
                <w:lang w:val="en-US" w:eastAsia="zh-CN"/>
              </w:rPr>
            </w:pPr>
            <w:r>
              <w:rPr>
                <w:rFonts w:hint="eastAsia"/>
                <w:color w:val="auto"/>
                <w:sz w:val="21"/>
                <w:szCs w:val="21"/>
                <w:highlight w:val="none"/>
                <w:u w:val="none"/>
                <w:lang w:val="en-US" w:eastAsia="zh-CN"/>
              </w:rPr>
              <w:t>pH、SS、CODcr、BOD</w:t>
            </w:r>
            <w:r>
              <w:rPr>
                <w:rFonts w:hint="eastAsia"/>
                <w:color w:val="auto"/>
                <w:sz w:val="21"/>
                <w:szCs w:val="21"/>
                <w:highlight w:val="none"/>
                <w:u w:val="none"/>
                <w:vertAlign w:val="subscript"/>
                <w:lang w:val="en-US" w:eastAsia="zh-CN"/>
              </w:rPr>
              <w:t>5</w:t>
            </w:r>
            <w:r>
              <w:rPr>
                <w:rFonts w:hint="eastAsia"/>
                <w:color w:val="auto"/>
                <w:sz w:val="21"/>
                <w:szCs w:val="21"/>
                <w:highlight w:val="none"/>
                <w:u w:val="none"/>
                <w:lang w:val="en-US" w:eastAsia="zh-CN"/>
              </w:rPr>
              <w:t>、氨氮、总氮、石油类</w:t>
            </w:r>
          </w:p>
        </w:tc>
        <w:tc>
          <w:tcPr>
            <w:tcW w:w="1895" w:type="dxa"/>
            <w:noWrap w:val="0"/>
            <w:vAlign w:val="center"/>
          </w:tcPr>
          <w:p>
            <w:pPr>
              <w:pStyle w:val="55"/>
              <w:bidi w:val="0"/>
              <w:rPr>
                <w:rFonts w:hint="eastAsia"/>
                <w:color w:val="auto"/>
                <w:sz w:val="21"/>
                <w:szCs w:val="21"/>
                <w:highlight w:val="none"/>
                <w:u w:val="none"/>
                <w:lang w:val="en-US" w:eastAsia="zh-CN"/>
              </w:rPr>
            </w:pPr>
            <w:r>
              <w:rPr>
                <w:rFonts w:hint="eastAsia"/>
                <w:color w:val="auto"/>
                <w:sz w:val="21"/>
                <w:szCs w:val="21"/>
                <w:highlight w:val="none"/>
                <w:u w:val="none"/>
                <w:lang w:val="en-US" w:eastAsia="zh-CN"/>
              </w:rPr>
              <w:t>化粪池、隔油池，处理后排湘阴县第三污水处理厂</w:t>
            </w:r>
          </w:p>
        </w:tc>
        <w:tc>
          <w:tcPr>
            <w:tcW w:w="2822" w:type="dxa"/>
            <w:vMerge w:val="continue"/>
            <w:noWrap w:val="0"/>
            <w:vAlign w:val="center"/>
          </w:tcPr>
          <w:p>
            <w:pPr>
              <w:pStyle w:val="55"/>
              <w:bidi w:val="0"/>
              <w:rPr>
                <w:rFonts w:hint="eastAsia" w:cs="Times New Roman"/>
                <w:color w:val="auto"/>
                <w:kern w:val="2"/>
                <w:sz w:val="21"/>
                <w:szCs w:val="21"/>
                <w:u w:val="none" w:color="auto"/>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3" w:type="dxa"/>
            <w:noWrap w:val="0"/>
            <w:vAlign w:val="center"/>
          </w:tcPr>
          <w:p>
            <w:pPr>
              <w:pStyle w:val="55"/>
              <w:bidi w:val="0"/>
              <w:rPr>
                <w:b/>
                <w:bCs w:val="0"/>
                <w:color w:val="auto"/>
                <w:sz w:val="21"/>
                <w:szCs w:val="21"/>
                <w:highlight w:val="none"/>
                <w:u w:val="none"/>
              </w:rPr>
            </w:pPr>
            <w:r>
              <w:rPr>
                <w:b/>
                <w:bCs w:val="0"/>
                <w:color w:val="auto"/>
                <w:sz w:val="21"/>
                <w:szCs w:val="21"/>
                <w:highlight w:val="none"/>
                <w:u w:val="none"/>
              </w:rPr>
              <w:t>声环境</w:t>
            </w:r>
          </w:p>
        </w:tc>
        <w:tc>
          <w:tcPr>
            <w:tcW w:w="1902" w:type="dxa"/>
            <w:gridSpan w:val="2"/>
            <w:noWrap w:val="0"/>
            <w:vAlign w:val="center"/>
          </w:tcPr>
          <w:p>
            <w:pPr>
              <w:pStyle w:val="55"/>
              <w:bidi w:val="0"/>
              <w:rPr>
                <w:color w:val="auto"/>
                <w:sz w:val="21"/>
                <w:szCs w:val="21"/>
                <w:highlight w:val="none"/>
                <w:u w:val="none"/>
              </w:rPr>
            </w:pPr>
            <w:r>
              <w:rPr>
                <w:color w:val="auto"/>
                <w:sz w:val="21"/>
                <w:szCs w:val="21"/>
                <w:highlight w:val="none"/>
                <w:u w:val="none"/>
              </w:rPr>
              <w:t>厂界</w:t>
            </w:r>
          </w:p>
        </w:tc>
        <w:tc>
          <w:tcPr>
            <w:tcW w:w="1558" w:type="dxa"/>
            <w:noWrap w:val="0"/>
            <w:vAlign w:val="center"/>
          </w:tcPr>
          <w:p>
            <w:pPr>
              <w:pStyle w:val="55"/>
              <w:bidi w:val="0"/>
              <w:rPr>
                <w:color w:val="auto"/>
                <w:sz w:val="21"/>
                <w:szCs w:val="21"/>
                <w:highlight w:val="none"/>
                <w:u w:val="none"/>
              </w:rPr>
            </w:pPr>
            <w:r>
              <w:rPr>
                <w:color w:val="auto"/>
                <w:sz w:val="21"/>
                <w:szCs w:val="21"/>
                <w:highlight w:val="none"/>
                <w:u w:val="none"/>
              </w:rPr>
              <w:t>等效连续A声级</w:t>
            </w:r>
          </w:p>
        </w:tc>
        <w:tc>
          <w:tcPr>
            <w:tcW w:w="1895" w:type="dxa"/>
            <w:noWrap w:val="0"/>
            <w:vAlign w:val="center"/>
          </w:tcPr>
          <w:p>
            <w:pPr>
              <w:pStyle w:val="55"/>
              <w:bidi w:val="0"/>
              <w:rPr>
                <w:color w:val="auto"/>
                <w:sz w:val="21"/>
                <w:szCs w:val="21"/>
                <w:highlight w:val="none"/>
                <w:u w:val="none"/>
                <w:lang w:val="en-US"/>
              </w:rPr>
            </w:pPr>
            <w:r>
              <w:rPr>
                <w:color w:val="auto"/>
                <w:sz w:val="21"/>
                <w:szCs w:val="21"/>
                <w:highlight w:val="none"/>
                <w:u w:val="none"/>
                <w:lang w:val="en-US"/>
              </w:rPr>
              <w:t>设备基础减震、厂房及建筑材料隔声、吸声等措施</w:t>
            </w:r>
          </w:p>
        </w:tc>
        <w:tc>
          <w:tcPr>
            <w:tcW w:w="2822" w:type="dxa"/>
            <w:noWrap w:val="0"/>
            <w:vAlign w:val="center"/>
          </w:tcPr>
          <w:p>
            <w:pPr>
              <w:pStyle w:val="55"/>
              <w:bidi w:val="0"/>
              <w:rPr>
                <w:rFonts w:hint="eastAsia" w:eastAsia="宋体"/>
                <w:color w:val="auto"/>
                <w:sz w:val="21"/>
                <w:szCs w:val="21"/>
                <w:highlight w:val="none"/>
                <w:u w:val="none"/>
                <w:lang w:eastAsia="zh-CN"/>
              </w:rPr>
            </w:pPr>
            <w:r>
              <w:rPr>
                <w:rFonts w:hint="eastAsia"/>
                <w:color w:val="auto"/>
                <w:sz w:val="21"/>
                <w:szCs w:val="21"/>
                <w:highlight w:val="none"/>
                <w:u w:val="none"/>
                <w:lang w:eastAsia="zh-CN"/>
              </w:rPr>
              <w:t>东侧、南侧厂房执行</w:t>
            </w:r>
            <w:r>
              <w:rPr>
                <w:color w:val="auto"/>
                <w:sz w:val="21"/>
                <w:szCs w:val="21"/>
                <w:highlight w:val="none"/>
                <w:u w:val="none"/>
              </w:rPr>
              <w:t>《工业企业厂界环境噪声排放标准》（GB12348-2008）的</w:t>
            </w:r>
            <w:r>
              <w:rPr>
                <w:rFonts w:hint="eastAsia"/>
                <w:color w:val="auto"/>
                <w:sz w:val="21"/>
                <w:szCs w:val="21"/>
                <w:highlight w:val="none"/>
                <w:u w:val="none"/>
                <w:lang w:val="en-US" w:eastAsia="zh-CN"/>
              </w:rPr>
              <w:t>4</w:t>
            </w:r>
            <w:r>
              <w:rPr>
                <w:color w:val="auto"/>
                <w:sz w:val="21"/>
                <w:szCs w:val="21"/>
                <w:highlight w:val="none"/>
                <w:u w:val="none"/>
              </w:rPr>
              <w:t>类标准</w:t>
            </w:r>
            <w:r>
              <w:rPr>
                <w:rFonts w:hint="eastAsia"/>
                <w:color w:val="auto"/>
                <w:sz w:val="21"/>
                <w:szCs w:val="21"/>
                <w:highlight w:val="none"/>
                <w:u w:val="none"/>
                <w:lang w:eastAsia="zh-CN"/>
              </w:rPr>
              <w:t>；北侧、西侧厂界执行</w:t>
            </w:r>
            <w:r>
              <w:rPr>
                <w:color w:val="auto"/>
                <w:sz w:val="21"/>
                <w:szCs w:val="21"/>
                <w:highlight w:val="none"/>
                <w:u w:val="none"/>
              </w:rPr>
              <w:t>《工业企业厂界环境噪声排放标准》（GB12348-2008）的</w:t>
            </w:r>
            <w:r>
              <w:rPr>
                <w:rFonts w:hint="eastAsia"/>
                <w:color w:val="auto"/>
                <w:sz w:val="21"/>
                <w:szCs w:val="21"/>
                <w:highlight w:val="none"/>
                <w:u w:val="none"/>
                <w:lang w:val="en-US" w:eastAsia="zh-CN"/>
              </w:rPr>
              <w:t>3</w:t>
            </w:r>
            <w:r>
              <w:rPr>
                <w:color w:val="auto"/>
                <w:sz w:val="21"/>
                <w:szCs w:val="21"/>
                <w:highlight w:val="none"/>
                <w:u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vMerge w:val="restart"/>
            <w:noWrap w:val="0"/>
            <w:vAlign w:val="center"/>
          </w:tcPr>
          <w:p>
            <w:pPr>
              <w:pStyle w:val="55"/>
              <w:bidi w:val="0"/>
              <w:rPr>
                <w:b/>
                <w:bCs w:val="0"/>
                <w:color w:val="auto"/>
                <w:sz w:val="21"/>
                <w:szCs w:val="21"/>
                <w:highlight w:val="none"/>
                <w:u w:val="none"/>
              </w:rPr>
            </w:pPr>
            <w:r>
              <w:rPr>
                <w:b/>
                <w:bCs w:val="0"/>
                <w:color w:val="auto"/>
                <w:sz w:val="21"/>
                <w:szCs w:val="21"/>
                <w:highlight w:val="none"/>
                <w:u w:val="none"/>
              </w:rPr>
              <w:t>固体废物</w:t>
            </w:r>
          </w:p>
        </w:tc>
        <w:tc>
          <w:tcPr>
            <w:tcW w:w="1902" w:type="dxa"/>
            <w:gridSpan w:val="2"/>
            <w:noWrap w:val="0"/>
            <w:vAlign w:val="center"/>
          </w:tcPr>
          <w:p>
            <w:pPr>
              <w:pStyle w:val="55"/>
              <w:bidi w:val="0"/>
              <w:rPr>
                <w:rFonts w:hint="eastAsia" w:eastAsia="宋体"/>
                <w:color w:val="auto"/>
                <w:sz w:val="21"/>
                <w:szCs w:val="21"/>
                <w:highlight w:val="none"/>
                <w:u w:val="none"/>
                <w:lang w:eastAsia="zh-CN"/>
              </w:rPr>
            </w:pPr>
            <w:r>
              <w:rPr>
                <w:rFonts w:hint="eastAsia"/>
                <w:color w:val="auto"/>
                <w:sz w:val="21"/>
                <w:szCs w:val="21"/>
                <w:highlight w:val="none"/>
                <w:u w:val="none"/>
                <w:lang w:eastAsia="zh-CN"/>
              </w:rPr>
              <w:t>一般固废</w:t>
            </w:r>
          </w:p>
        </w:tc>
        <w:tc>
          <w:tcPr>
            <w:tcW w:w="1558" w:type="dxa"/>
            <w:noWrap w:val="0"/>
            <w:vAlign w:val="center"/>
          </w:tcPr>
          <w:p>
            <w:pPr>
              <w:pStyle w:val="55"/>
              <w:bidi w:val="0"/>
              <w:rPr>
                <w:color w:val="auto"/>
                <w:sz w:val="21"/>
                <w:szCs w:val="21"/>
                <w:highlight w:val="none"/>
                <w:u w:val="none"/>
              </w:rPr>
            </w:pPr>
            <w:r>
              <w:rPr>
                <w:rFonts w:hint="eastAsia" w:ascii="Times New Roman" w:hAnsi="Times New Roman" w:eastAsia="宋体" w:cs="Times New Roman"/>
                <w:color w:val="auto"/>
                <w:sz w:val="21"/>
                <w:szCs w:val="21"/>
                <w:highlight w:val="none"/>
                <w:u w:val="none" w:color="auto"/>
                <w:lang w:val="en-US" w:eastAsia="zh-CN" w:bidi="ar"/>
              </w:rPr>
              <w:t>废金属丝、</w:t>
            </w:r>
            <w:r>
              <w:rPr>
                <w:rFonts w:hint="eastAsia" w:ascii="Times New Roman" w:hAnsi="Times New Roman" w:eastAsia="宋体" w:cs="Times New Roman"/>
                <w:color w:val="auto"/>
                <w:sz w:val="21"/>
                <w:szCs w:val="21"/>
                <w:highlight w:val="none"/>
                <w:u w:val="none" w:color="auto"/>
                <w:lang w:bidi="zh-CN"/>
              </w:rPr>
              <w:t>涂膜渣</w:t>
            </w:r>
          </w:p>
        </w:tc>
        <w:tc>
          <w:tcPr>
            <w:tcW w:w="1895" w:type="dxa"/>
            <w:noWrap w:val="0"/>
            <w:vAlign w:val="center"/>
          </w:tcPr>
          <w:p>
            <w:pPr>
              <w:pStyle w:val="55"/>
              <w:bidi w:val="0"/>
              <w:rPr>
                <w:color w:val="auto"/>
                <w:sz w:val="21"/>
                <w:szCs w:val="21"/>
                <w:highlight w:val="none"/>
                <w:u w:val="none"/>
              </w:rPr>
            </w:pPr>
            <w:r>
              <w:rPr>
                <w:rFonts w:ascii="宋体" w:hAnsi="宋体" w:cs="宋体"/>
                <w:color w:val="auto"/>
                <w:szCs w:val="21"/>
                <w:highlight w:val="none"/>
                <w:u w:val="none"/>
              </w:rPr>
              <w:t>厂区统一收集后综合处理</w:t>
            </w:r>
          </w:p>
        </w:tc>
        <w:tc>
          <w:tcPr>
            <w:tcW w:w="2822" w:type="dxa"/>
            <w:vMerge w:val="restart"/>
            <w:noWrap w:val="0"/>
            <w:vAlign w:val="center"/>
          </w:tcPr>
          <w:p>
            <w:pPr>
              <w:pStyle w:val="55"/>
              <w:bidi w:val="0"/>
              <w:rPr>
                <w:color w:val="auto"/>
                <w:sz w:val="21"/>
                <w:szCs w:val="21"/>
                <w:highlight w:val="none"/>
                <w:u w:val="none"/>
              </w:rPr>
            </w:pPr>
            <w:r>
              <w:rPr>
                <w:rFonts w:hint="eastAsia"/>
                <w:color w:val="auto"/>
                <w:szCs w:val="21"/>
                <w:u w:val="none"/>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vMerge w:val="continue"/>
            <w:noWrap w:val="0"/>
            <w:vAlign w:val="center"/>
          </w:tcPr>
          <w:p>
            <w:pPr>
              <w:pStyle w:val="55"/>
              <w:bidi w:val="0"/>
              <w:rPr>
                <w:color w:val="auto"/>
                <w:sz w:val="21"/>
                <w:szCs w:val="21"/>
                <w:highlight w:val="yellow"/>
                <w:u w:val="none"/>
              </w:rPr>
            </w:pPr>
          </w:p>
        </w:tc>
        <w:tc>
          <w:tcPr>
            <w:tcW w:w="1902" w:type="dxa"/>
            <w:gridSpan w:val="2"/>
            <w:noWrap w:val="0"/>
            <w:vAlign w:val="center"/>
          </w:tcPr>
          <w:p>
            <w:pPr>
              <w:pStyle w:val="55"/>
              <w:bidi w:val="0"/>
              <w:rPr>
                <w:color w:val="auto"/>
                <w:sz w:val="21"/>
                <w:szCs w:val="21"/>
                <w:highlight w:val="none"/>
                <w:u w:val="none"/>
              </w:rPr>
            </w:pPr>
            <w:r>
              <w:rPr>
                <w:rFonts w:hint="eastAsia"/>
                <w:color w:val="auto"/>
                <w:sz w:val="21"/>
                <w:szCs w:val="21"/>
                <w:highlight w:val="none"/>
                <w:u w:val="none"/>
                <w:lang w:eastAsia="zh-CN"/>
              </w:rPr>
              <w:t>一般固废</w:t>
            </w:r>
          </w:p>
        </w:tc>
        <w:tc>
          <w:tcPr>
            <w:tcW w:w="1558" w:type="dxa"/>
            <w:noWrap w:val="0"/>
            <w:vAlign w:val="center"/>
          </w:tcPr>
          <w:p>
            <w:pPr>
              <w:pStyle w:val="55"/>
              <w:bidi w:val="0"/>
              <w:rPr>
                <w:color w:val="auto"/>
                <w:sz w:val="21"/>
                <w:szCs w:val="21"/>
                <w:highlight w:val="none"/>
                <w:u w:val="none"/>
              </w:rPr>
            </w:pPr>
            <w:r>
              <w:rPr>
                <w:rFonts w:hint="eastAsia" w:ascii="Times New Roman" w:hAnsi="Times New Roman" w:eastAsia="宋体" w:cs="Times New Roman"/>
                <w:color w:val="auto"/>
                <w:sz w:val="21"/>
                <w:szCs w:val="21"/>
                <w:highlight w:val="none"/>
                <w:u w:val="none" w:color="auto"/>
                <w:lang w:bidi="zh-CN"/>
              </w:rPr>
              <w:t>除尘灰</w:t>
            </w:r>
          </w:p>
        </w:tc>
        <w:tc>
          <w:tcPr>
            <w:tcW w:w="1895" w:type="dxa"/>
            <w:noWrap w:val="0"/>
            <w:vAlign w:val="center"/>
          </w:tcPr>
          <w:p>
            <w:pPr>
              <w:pStyle w:val="55"/>
              <w:bidi w:val="0"/>
              <w:rPr>
                <w:color w:val="auto"/>
                <w:sz w:val="21"/>
                <w:szCs w:val="21"/>
                <w:highlight w:val="none"/>
                <w:u w:val="none"/>
              </w:rPr>
            </w:pPr>
            <w:r>
              <w:rPr>
                <w:rFonts w:hint="eastAsia" w:ascii="Times New Roman" w:hAnsi="Times New Roman" w:eastAsia="宋体" w:cs="Times New Roman"/>
                <w:color w:val="auto"/>
                <w:sz w:val="21"/>
                <w:szCs w:val="21"/>
                <w:highlight w:val="none"/>
                <w:u w:val="none" w:color="auto"/>
                <w:lang w:val="en-US" w:eastAsia="zh-CN" w:bidi="ar"/>
              </w:rPr>
              <w:t>回用于生产</w:t>
            </w:r>
          </w:p>
        </w:tc>
        <w:tc>
          <w:tcPr>
            <w:tcW w:w="2822" w:type="dxa"/>
            <w:vMerge w:val="continue"/>
            <w:noWrap w:val="0"/>
            <w:vAlign w:val="center"/>
          </w:tcPr>
          <w:p>
            <w:pPr>
              <w:pStyle w:val="55"/>
              <w:bidi w:val="0"/>
              <w:rPr>
                <w:color w:val="auto"/>
                <w:sz w:val="21"/>
                <w:szCs w:val="21"/>
                <w:highlight w:val="none"/>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vMerge w:val="continue"/>
            <w:noWrap w:val="0"/>
            <w:vAlign w:val="center"/>
          </w:tcPr>
          <w:p>
            <w:pPr>
              <w:pStyle w:val="55"/>
              <w:bidi w:val="0"/>
              <w:rPr>
                <w:color w:val="auto"/>
                <w:sz w:val="21"/>
                <w:szCs w:val="21"/>
                <w:highlight w:val="yellow"/>
                <w:u w:val="none"/>
              </w:rPr>
            </w:pPr>
          </w:p>
        </w:tc>
        <w:tc>
          <w:tcPr>
            <w:tcW w:w="1902" w:type="dxa"/>
            <w:gridSpan w:val="2"/>
            <w:noWrap w:val="0"/>
            <w:vAlign w:val="center"/>
          </w:tcPr>
          <w:p>
            <w:pPr>
              <w:pStyle w:val="55"/>
              <w:bidi w:val="0"/>
              <w:rPr>
                <w:rFonts w:hint="default"/>
                <w:color w:val="auto"/>
                <w:sz w:val="21"/>
                <w:szCs w:val="21"/>
                <w:highlight w:val="none"/>
                <w:u w:val="none"/>
                <w:lang w:val="en-US" w:eastAsia="zh-CN"/>
              </w:rPr>
            </w:pPr>
            <w:r>
              <w:rPr>
                <w:rFonts w:hint="eastAsia"/>
                <w:color w:val="auto"/>
                <w:sz w:val="21"/>
                <w:szCs w:val="21"/>
                <w:highlight w:val="none"/>
                <w:u w:val="none"/>
                <w:lang w:eastAsia="zh-CN"/>
              </w:rPr>
              <w:t>一般固废</w:t>
            </w:r>
          </w:p>
        </w:tc>
        <w:tc>
          <w:tcPr>
            <w:tcW w:w="1558" w:type="dxa"/>
            <w:noWrap w:val="0"/>
            <w:vAlign w:val="center"/>
          </w:tcPr>
          <w:p>
            <w:pPr>
              <w:pStyle w:val="55"/>
              <w:bidi w:val="0"/>
              <w:rPr>
                <w:rFonts w:hint="default" w:ascii="Times New Roman" w:hAnsi="Times New Roman" w:eastAsia="宋体" w:cs="Times New Roman"/>
                <w:color w:val="auto"/>
                <w:sz w:val="21"/>
                <w:szCs w:val="21"/>
                <w:highlight w:val="none"/>
                <w:u w:val="none" w:color="auto"/>
                <w:lang w:val="en-US" w:bidi="zh-CN"/>
              </w:rPr>
            </w:pPr>
            <w:r>
              <w:rPr>
                <w:rFonts w:hint="eastAsia" w:cs="Times New Roman"/>
                <w:color w:val="auto"/>
                <w:sz w:val="21"/>
                <w:szCs w:val="21"/>
                <w:highlight w:val="none"/>
                <w:u w:val="none" w:color="auto"/>
                <w:lang w:val="en-US" w:bidi="zh-CN"/>
              </w:rPr>
              <w:t>废分子筛</w:t>
            </w:r>
          </w:p>
        </w:tc>
        <w:tc>
          <w:tcPr>
            <w:tcW w:w="1895" w:type="dxa"/>
            <w:noWrap w:val="0"/>
            <w:vAlign w:val="center"/>
          </w:tcPr>
          <w:p>
            <w:pPr>
              <w:pStyle w:val="55"/>
              <w:bidi w:val="0"/>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厂家回收利用</w:t>
            </w:r>
          </w:p>
        </w:tc>
        <w:tc>
          <w:tcPr>
            <w:tcW w:w="2822" w:type="dxa"/>
            <w:vMerge w:val="continue"/>
            <w:noWrap w:val="0"/>
            <w:vAlign w:val="center"/>
          </w:tcPr>
          <w:p>
            <w:pPr>
              <w:pStyle w:val="55"/>
              <w:bidi w:val="0"/>
              <w:rPr>
                <w:color w:val="auto"/>
                <w:sz w:val="21"/>
                <w:szCs w:val="21"/>
                <w:highlight w:val="none"/>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vMerge w:val="continue"/>
            <w:noWrap w:val="0"/>
            <w:vAlign w:val="center"/>
          </w:tcPr>
          <w:p>
            <w:pPr>
              <w:pStyle w:val="55"/>
              <w:bidi w:val="0"/>
              <w:rPr>
                <w:color w:val="auto"/>
                <w:sz w:val="21"/>
                <w:szCs w:val="21"/>
                <w:highlight w:val="yellow"/>
                <w:u w:val="none"/>
              </w:rPr>
            </w:pPr>
          </w:p>
        </w:tc>
        <w:tc>
          <w:tcPr>
            <w:tcW w:w="1902" w:type="dxa"/>
            <w:gridSpan w:val="2"/>
            <w:noWrap w:val="0"/>
            <w:vAlign w:val="center"/>
          </w:tcPr>
          <w:p>
            <w:pPr>
              <w:pStyle w:val="55"/>
              <w:bidi w:val="0"/>
              <w:rPr>
                <w:rFonts w:hint="eastAsia"/>
                <w:color w:val="auto"/>
                <w:sz w:val="21"/>
                <w:szCs w:val="21"/>
                <w:highlight w:val="none"/>
                <w:u w:val="none"/>
                <w:lang w:eastAsia="zh-CN"/>
              </w:rPr>
            </w:pPr>
            <w:r>
              <w:rPr>
                <w:rFonts w:hint="eastAsia"/>
                <w:color w:val="auto"/>
                <w:sz w:val="21"/>
                <w:szCs w:val="21"/>
                <w:highlight w:val="none"/>
                <w:u w:val="none"/>
                <w:lang w:eastAsia="zh-CN"/>
              </w:rPr>
              <w:t>一般固废</w:t>
            </w:r>
          </w:p>
        </w:tc>
        <w:tc>
          <w:tcPr>
            <w:tcW w:w="1558" w:type="dxa"/>
            <w:noWrap w:val="0"/>
            <w:vAlign w:val="center"/>
          </w:tcPr>
          <w:p>
            <w:pPr>
              <w:pStyle w:val="55"/>
              <w:bidi w:val="0"/>
              <w:rPr>
                <w:rFonts w:hint="eastAsia" w:ascii="Times New Roman" w:hAnsi="Times New Roman" w:eastAsia="宋体" w:cs="Times New Roman"/>
                <w:color w:val="auto"/>
                <w:sz w:val="21"/>
                <w:szCs w:val="21"/>
                <w:highlight w:val="none"/>
                <w:u w:val="none" w:color="auto"/>
                <w:lang w:bidi="zh-CN"/>
              </w:rPr>
            </w:pPr>
            <w:r>
              <w:rPr>
                <w:rFonts w:hint="eastAsia" w:cs="Times New Roman"/>
                <w:color w:val="auto"/>
                <w:sz w:val="21"/>
                <w:szCs w:val="21"/>
                <w:highlight w:val="none"/>
                <w:u w:val="none" w:color="auto"/>
                <w:lang w:bidi="zh-CN"/>
              </w:rPr>
              <w:t>废塑料边角料</w:t>
            </w:r>
          </w:p>
        </w:tc>
        <w:tc>
          <w:tcPr>
            <w:tcW w:w="1895" w:type="dxa"/>
            <w:noWrap w:val="0"/>
            <w:vAlign w:val="center"/>
          </w:tcPr>
          <w:p>
            <w:pPr>
              <w:pStyle w:val="55"/>
              <w:bidi w:val="0"/>
              <w:rPr>
                <w:rFonts w:hint="eastAsia"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回用于生产</w:t>
            </w:r>
          </w:p>
        </w:tc>
        <w:tc>
          <w:tcPr>
            <w:tcW w:w="2822" w:type="dxa"/>
            <w:vMerge w:val="continue"/>
            <w:noWrap w:val="0"/>
            <w:vAlign w:val="center"/>
          </w:tcPr>
          <w:p>
            <w:pPr>
              <w:pStyle w:val="55"/>
              <w:bidi w:val="0"/>
              <w:rPr>
                <w:color w:val="auto"/>
                <w:sz w:val="21"/>
                <w:szCs w:val="21"/>
                <w:highlight w:val="none"/>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 w:type="dxa"/>
            <w:vMerge w:val="continue"/>
            <w:noWrap w:val="0"/>
            <w:vAlign w:val="center"/>
          </w:tcPr>
          <w:p>
            <w:pPr>
              <w:pStyle w:val="55"/>
              <w:bidi w:val="0"/>
              <w:rPr>
                <w:color w:val="auto"/>
                <w:sz w:val="21"/>
                <w:szCs w:val="21"/>
                <w:highlight w:val="yellow"/>
                <w:u w:val="none"/>
              </w:rPr>
            </w:pPr>
          </w:p>
        </w:tc>
        <w:tc>
          <w:tcPr>
            <w:tcW w:w="1902" w:type="dxa"/>
            <w:gridSpan w:val="2"/>
            <w:noWrap w:val="0"/>
            <w:vAlign w:val="center"/>
          </w:tcPr>
          <w:p>
            <w:pPr>
              <w:pStyle w:val="55"/>
              <w:bidi w:val="0"/>
              <w:rPr>
                <w:rFonts w:hint="eastAsia"/>
                <w:color w:val="auto"/>
                <w:sz w:val="21"/>
                <w:szCs w:val="21"/>
                <w:highlight w:val="none"/>
                <w:u w:val="none"/>
                <w:lang w:eastAsia="zh-CN"/>
              </w:rPr>
            </w:pPr>
            <w:r>
              <w:rPr>
                <w:rFonts w:hint="eastAsia" w:ascii="Times New Roman" w:hAnsi="Times New Roman"/>
                <w:color w:val="auto"/>
                <w:sz w:val="21"/>
                <w:szCs w:val="21"/>
                <w:u w:val="none"/>
                <w:lang w:val="en-US" w:eastAsia="zh-CN"/>
              </w:rPr>
              <w:t>危险废物</w:t>
            </w:r>
          </w:p>
        </w:tc>
        <w:tc>
          <w:tcPr>
            <w:tcW w:w="1558" w:type="dxa"/>
            <w:noWrap w:val="0"/>
            <w:vAlign w:val="center"/>
          </w:tcPr>
          <w:p>
            <w:pPr>
              <w:pStyle w:val="55"/>
              <w:bidi w:val="0"/>
              <w:rPr>
                <w:rFonts w:hint="default" w:cs="Times New Roman"/>
                <w:color w:val="auto"/>
                <w:sz w:val="21"/>
                <w:szCs w:val="21"/>
                <w:highlight w:val="none"/>
                <w:u w:val="none" w:color="auto"/>
                <w:lang w:val="en-US" w:bidi="zh-CN"/>
              </w:rPr>
            </w:pPr>
            <w:r>
              <w:rPr>
                <w:rFonts w:hint="eastAsia"/>
                <w:color w:val="auto"/>
                <w:sz w:val="21"/>
                <w:szCs w:val="21"/>
                <w:highlight w:val="none"/>
                <w:u w:val="none"/>
              </w:rPr>
              <w:t>废抹布</w:t>
            </w:r>
            <w:r>
              <w:rPr>
                <w:rFonts w:hint="eastAsia"/>
                <w:color w:val="auto"/>
                <w:sz w:val="21"/>
                <w:szCs w:val="21"/>
                <w:highlight w:val="none"/>
                <w:u w:val="none"/>
                <w:lang w:eastAsia="zh-CN"/>
              </w:rPr>
              <w:t>、</w:t>
            </w:r>
            <w:r>
              <w:rPr>
                <w:rFonts w:hint="eastAsia"/>
                <w:color w:val="auto"/>
                <w:sz w:val="21"/>
                <w:szCs w:val="21"/>
                <w:highlight w:val="none"/>
                <w:u w:val="none"/>
              </w:rPr>
              <w:t>废机油</w:t>
            </w:r>
            <w:r>
              <w:rPr>
                <w:rFonts w:hint="eastAsia"/>
                <w:color w:val="auto"/>
                <w:sz w:val="21"/>
                <w:szCs w:val="21"/>
                <w:highlight w:val="none"/>
                <w:u w:val="none"/>
                <w:lang w:eastAsia="zh-CN"/>
              </w:rPr>
              <w:t>、</w:t>
            </w:r>
            <w:r>
              <w:rPr>
                <w:rFonts w:hint="eastAsia"/>
                <w:color w:val="auto"/>
                <w:sz w:val="21"/>
                <w:szCs w:val="21"/>
                <w:highlight w:val="none"/>
                <w:u w:val="none"/>
              </w:rPr>
              <w:t>污泥</w:t>
            </w:r>
            <w:r>
              <w:rPr>
                <w:rFonts w:hint="eastAsia"/>
                <w:color w:val="auto"/>
                <w:sz w:val="21"/>
                <w:szCs w:val="21"/>
                <w:highlight w:val="none"/>
                <w:u w:val="none"/>
                <w:lang w:eastAsia="zh-CN"/>
              </w:rPr>
              <w:t>、废活性炭、含镍</w:t>
            </w:r>
            <w:r>
              <w:rPr>
                <w:rFonts w:hint="eastAsia" w:cs="Times New Roman"/>
                <w:color w:val="auto"/>
                <w:sz w:val="21"/>
                <w:szCs w:val="21"/>
                <w:highlight w:val="none"/>
                <w:u w:val="none" w:color="auto"/>
                <w:lang w:val="en-US" w:bidi="zh-CN"/>
              </w:rPr>
              <w:t>废催化剂</w:t>
            </w:r>
          </w:p>
        </w:tc>
        <w:tc>
          <w:tcPr>
            <w:tcW w:w="1895" w:type="dxa"/>
            <w:noWrap w:val="0"/>
            <w:vAlign w:val="center"/>
          </w:tcPr>
          <w:p>
            <w:pPr>
              <w:pStyle w:val="55"/>
              <w:bidi w:val="0"/>
              <w:rPr>
                <w:color w:val="auto"/>
                <w:sz w:val="21"/>
                <w:szCs w:val="21"/>
                <w:highlight w:val="none"/>
                <w:u w:val="none"/>
              </w:rPr>
            </w:pPr>
            <w:r>
              <w:rPr>
                <w:color w:val="auto"/>
                <w:szCs w:val="21"/>
                <w:u w:val="none"/>
              </w:rPr>
              <w:t>严格按照</w:t>
            </w:r>
            <w:r>
              <w:rPr>
                <w:rFonts w:hint="eastAsia"/>
                <w:color w:val="auto"/>
                <w:szCs w:val="21"/>
                <w:u w:val="none"/>
                <w:lang w:val="en-US" w:eastAsia="zh-CN"/>
              </w:rPr>
              <w:t>《危险废物贮存污染控制标准》(GB18597-2023）</w:t>
            </w:r>
            <w:r>
              <w:rPr>
                <w:color w:val="auto"/>
                <w:szCs w:val="21"/>
                <w:u w:val="none"/>
              </w:rPr>
              <w:t>要求对危险废物暂存间</w:t>
            </w:r>
            <w:r>
              <w:rPr>
                <w:rFonts w:hint="eastAsia"/>
                <w:color w:val="auto"/>
                <w:szCs w:val="21"/>
                <w:u w:val="none"/>
              </w:rPr>
              <w:t>进行</w:t>
            </w:r>
            <w:r>
              <w:rPr>
                <w:color w:val="auto"/>
                <w:szCs w:val="21"/>
                <w:u w:val="none"/>
              </w:rPr>
              <w:t>防风、防雨、防渗等措施，并严格按照相关要求进行日常管理与运输；危险废物委托</w:t>
            </w:r>
            <w:r>
              <w:rPr>
                <w:rFonts w:hint="eastAsia"/>
                <w:color w:val="auto"/>
                <w:szCs w:val="21"/>
                <w:u w:val="none"/>
              </w:rPr>
              <w:t>有</w:t>
            </w:r>
            <w:r>
              <w:rPr>
                <w:color w:val="auto"/>
                <w:szCs w:val="21"/>
                <w:u w:val="none"/>
              </w:rPr>
              <w:t>资质的单位处理</w:t>
            </w:r>
          </w:p>
        </w:tc>
        <w:tc>
          <w:tcPr>
            <w:tcW w:w="2822" w:type="dxa"/>
            <w:noWrap w:val="0"/>
            <w:vAlign w:val="center"/>
          </w:tcPr>
          <w:p>
            <w:pPr>
              <w:pStyle w:val="55"/>
              <w:bidi w:val="0"/>
              <w:rPr>
                <w:color w:val="auto"/>
                <w:sz w:val="21"/>
                <w:szCs w:val="21"/>
                <w:highlight w:val="none"/>
                <w:u w:val="none"/>
              </w:rPr>
            </w:pPr>
            <w:r>
              <w:rPr>
                <w:rFonts w:hint="eastAsia"/>
                <w:color w:val="auto"/>
                <w:sz w:val="21"/>
                <w:szCs w:val="21"/>
                <w:highlight w:val="none"/>
                <w:u w:val="none"/>
                <w:lang w:val="en-US" w:eastAsia="zh-CN"/>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3" w:type="dxa"/>
            <w:noWrap w:val="0"/>
            <w:vAlign w:val="center"/>
          </w:tcPr>
          <w:p>
            <w:pPr>
              <w:pStyle w:val="55"/>
              <w:bidi w:val="0"/>
              <w:rPr>
                <w:b/>
                <w:bCs w:val="0"/>
                <w:color w:val="auto"/>
                <w:sz w:val="21"/>
                <w:szCs w:val="21"/>
                <w:highlight w:val="none"/>
                <w:u w:val="none"/>
              </w:rPr>
            </w:pPr>
            <w:r>
              <w:rPr>
                <w:b/>
                <w:bCs w:val="0"/>
                <w:color w:val="auto"/>
                <w:sz w:val="21"/>
                <w:szCs w:val="21"/>
                <w:highlight w:val="none"/>
                <w:u w:val="none"/>
              </w:rPr>
              <w:t>土壤及地下水污染防治措施</w:t>
            </w:r>
          </w:p>
        </w:tc>
        <w:tc>
          <w:tcPr>
            <w:tcW w:w="8177" w:type="dxa"/>
            <w:gridSpan w:val="5"/>
            <w:noWrap w:val="0"/>
            <w:vAlign w:val="center"/>
          </w:tcPr>
          <w:p>
            <w:pPr>
              <w:pStyle w:val="62"/>
              <w:bidi w:val="0"/>
              <w:rPr>
                <w:rFonts w:hint="eastAsia" w:eastAsia="宋体"/>
                <w:color w:val="auto"/>
                <w:sz w:val="21"/>
                <w:szCs w:val="21"/>
                <w:highlight w:val="none"/>
                <w:u w:val="none"/>
                <w:lang w:eastAsia="zh-CN"/>
              </w:rPr>
            </w:pPr>
            <w:r>
              <w:rPr>
                <w:rFonts w:hint="eastAsia" w:eastAsia="宋体"/>
                <w:color w:val="auto"/>
                <w:sz w:val="21"/>
                <w:szCs w:val="21"/>
                <w:highlight w:val="none"/>
                <w:u w:val="none"/>
                <w:lang w:eastAsia="zh-CN"/>
              </w:rPr>
              <w:t>根据可能泄漏至地面区域污染物的性质和生产单元的构筑方式，将厂区划定为重点污染防治区、一般污染防治区和非污染防治区。根据不同区域的防渗要求，严格做好相应的防渗措施。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3" w:type="dxa"/>
            <w:noWrap w:val="0"/>
            <w:vAlign w:val="center"/>
          </w:tcPr>
          <w:p>
            <w:pPr>
              <w:pStyle w:val="55"/>
              <w:bidi w:val="0"/>
              <w:rPr>
                <w:b/>
                <w:bCs w:val="0"/>
                <w:color w:val="auto"/>
                <w:sz w:val="21"/>
                <w:szCs w:val="21"/>
                <w:highlight w:val="none"/>
                <w:u w:val="none"/>
              </w:rPr>
            </w:pPr>
            <w:r>
              <w:rPr>
                <w:b/>
                <w:bCs w:val="0"/>
                <w:color w:val="auto"/>
                <w:sz w:val="21"/>
                <w:szCs w:val="21"/>
                <w:highlight w:val="none"/>
                <w:u w:val="none"/>
              </w:rPr>
              <w:t>生态保护措施</w:t>
            </w:r>
          </w:p>
        </w:tc>
        <w:tc>
          <w:tcPr>
            <w:tcW w:w="8177" w:type="dxa"/>
            <w:gridSpan w:val="5"/>
            <w:noWrap w:val="0"/>
            <w:vAlign w:val="center"/>
          </w:tcPr>
          <w:p>
            <w:pPr>
              <w:pStyle w:val="55"/>
              <w:bidi w:val="0"/>
              <w:rPr>
                <w:rFonts w:hint="eastAsia" w:eastAsia="宋体"/>
                <w:color w:val="auto"/>
                <w:sz w:val="21"/>
                <w:szCs w:val="21"/>
                <w:highlight w:val="none"/>
                <w:u w:val="none"/>
                <w:lang w:eastAsia="zh-CN"/>
              </w:rPr>
            </w:pPr>
            <w:r>
              <w:rPr>
                <w:rFonts w:hint="eastAsia"/>
                <w:color w:val="auto"/>
                <w:sz w:val="21"/>
                <w:szCs w:val="21"/>
                <w:highlight w:val="none"/>
                <w:u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3" w:type="dxa"/>
            <w:noWrap w:val="0"/>
            <w:vAlign w:val="center"/>
          </w:tcPr>
          <w:p>
            <w:pPr>
              <w:pStyle w:val="55"/>
              <w:bidi w:val="0"/>
              <w:rPr>
                <w:b/>
                <w:bCs w:val="0"/>
                <w:color w:val="auto"/>
                <w:sz w:val="21"/>
                <w:szCs w:val="21"/>
                <w:highlight w:val="none"/>
                <w:u w:val="none"/>
              </w:rPr>
            </w:pPr>
            <w:r>
              <w:rPr>
                <w:b/>
                <w:bCs w:val="0"/>
                <w:color w:val="auto"/>
                <w:sz w:val="21"/>
                <w:szCs w:val="21"/>
                <w:highlight w:val="none"/>
                <w:u w:val="none"/>
              </w:rPr>
              <w:t>环境风险防范措施</w:t>
            </w:r>
          </w:p>
        </w:tc>
        <w:tc>
          <w:tcPr>
            <w:tcW w:w="8177" w:type="dxa"/>
            <w:gridSpan w:val="5"/>
            <w:noWrap w:val="0"/>
            <w:vAlign w:val="center"/>
          </w:tcPr>
          <w:p>
            <w:pPr>
              <w:pStyle w:val="62"/>
              <w:bidi w:val="0"/>
              <w:rPr>
                <w:color w:val="auto"/>
                <w:sz w:val="21"/>
                <w:szCs w:val="21"/>
                <w:u w:val="none"/>
              </w:rPr>
            </w:pPr>
            <w:r>
              <w:rPr>
                <w:rFonts w:hint="eastAsia"/>
                <w:color w:val="auto"/>
                <w:sz w:val="21"/>
                <w:szCs w:val="21"/>
                <w:u w:val="none"/>
              </w:rPr>
              <w:t>①</w:t>
            </w:r>
            <w:r>
              <w:rPr>
                <w:color w:val="auto"/>
                <w:sz w:val="21"/>
                <w:szCs w:val="21"/>
              </w:rPr>
              <w:t>火灾发生时应在最短时间内及时通知周边人群疏散，以免对周边人员人身造成伤害</w:t>
            </w:r>
            <w:r>
              <w:rPr>
                <w:rFonts w:hint="eastAsia"/>
                <w:color w:val="auto"/>
                <w:sz w:val="21"/>
                <w:szCs w:val="21"/>
              </w:rPr>
              <w:t>。仓库和危废暂存间</w:t>
            </w:r>
            <w:r>
              <w:rPr>
                <w:color w:val="auto"/>
                <w:sz w:val="21"/>
                <w:szCs w:val="21"/>
              </w:rPr>
              <w:t>做好禁火、禁烟的标志，做好防火设施，设置消防栓、灭火器等。</w:t>
            </w:r>
          </w:p>
          <w:p>
            <w:pPr>
              <w:pStyle w:val="62"/>
              <w:bidi w:val="0"/>
              <w:rPr>
                <w:color w:val="auto"/>
                <w:sz w:val="21"/>
                <w:szCs w:val="21"/>
                <w:u w:val="none"/>
              </w:rPr>
            </w:pPr>
            <w:r>
              <w:rPr>
                <w:rFonts w:hint="eastAsia"/>
                <w:color w:val="auto"/>
                <w:sz w:val="21"/>
                <w:szCs w:val="21"/>
                <w:u w:val="none"/>
                <w:lang w:val="en-US" w:eastAsia="zh-CN"/>
              </w:rPr>
              <w:t>②</w:t>
            </w:r>
            <w:r>
              <w:rPr>
                <w:color w:val="auto"/>
                <w:sz w:val="21"/>
                <w:szCs w:val="21"/>
                <w:u w:val="none"/>
              </w:rPr>
              <w:t>完善安全生产管理制度，加强安全宣传和教育。</w:t>
            </w:r>
          </w:p>
          <w:p>
            <w:pPr>
              <w:pStyle w:val="62"/>
              <w:bidi w:val="0"/>
              <w:rPr>
                <w:color w:val="auto"/>
                <w:sz w:val="21"/>
                <w:szCs w:val="21"/>
                <w:highlight w:val="none"/>
                <w:u w:val="none"/>
              </w:rPr>
            </w:pPr>
            <w:r>
              <w:rPr>
                <w:rFonts w:hint="eastAsia"/>
                <w:color w:val="auto"/>
                <w:sz w:val="21"/>
                <w:szCs w:val="21"/>
                <w:u w:val="none"/>
              </w:rPr>
              <w:t>③定期维护检修</w:t>
            </w:r>
            <w:r>
              <w:rPr>
                <w:rFonts w:hint="eastAsia"/>
                <w:color w:val="auto"/>
                <w:sz w:val="21"/>
                <w:szCs w:val="21"/>
                <w:u w:val="none"/>
                <w:lang w:val="en-US" w:eastAsia="zh-CN"/>
              </w:rPr>
              <w:t>废气处理</w:t>
            </w:r>
            <w:r>
              <w:rPr>
                <w:rFonts w:hint="eastAsia"/>
                <w:color w:val="auto"/>
                <w:sz w:val="21"/>
                <w:szCs w:val="21"/>
                <w:u w:val="none"/>
              </w:rPr>
              <w:t>设备，加强日常维护保养，确保废气处理效率，避免或减少故障发生，确保设备处于正常的工作状态。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83" w:type="dxa"/>
            <w:noWrap w:val="0"/>
            <w:vAlign w:val="center"/>
          </w:tcPr>
          <w:p>
            <w:pPr>
              <w:pStyle w:val="55"/>
              <w:bidi w:val="0"/>
              <w:rPr>
                <w:b/>
                <w:bCs w:val="0"/>
                <w:color w:val="auto"/>
                <w:sz w:val="21"/>
                <w:szCs w:val="21"/>
                <w:highlight w:val="none"/>
                <w:u w:val="none"/>
              </w:rPr>
            </w:pPr>
            <w:r>
              <w:rPr>
                <w:b/>
                <w:bCs w:val="0"/>
                <w:color w:val="auto"/>
                <w:sz w:val="21"/>
                <w:szCs w:val="21"/>
                <w:highlight w:val="none"/>
                <w:u w:val="none"/>
              </w:rPr>
              <w:t>其他环境管理要求</w:t>
            </w:r>
          </w:p>
        </w:tc>
        <w:tc>
          <w:tcPr>
            <w:tcW w:w="8177" w:type="dxa"/>
            <w:gridSpan w:val="5"/>
            <w:noWrap w:val="0"/>
            <w:vAlign w:val="center"/>
          </w:tcPr>
          <w:p>
            <w:pPr>
              <w:pStyle w:val="40"/>
              <w:spacing w:before="120" w:beforeLines="50" w:line="360" w:lineRule="auto"/>
              <w:jc w:val="both"/>
              <w:rPr>
                <w:b/>
                <w:bCs w:val="0"/>
                <w:color w:val="auto"/>
                <w:sz w:val="21"/>
                <w:szCs w:val="21"/>
                <w:u w:val="none"/>
              </w:rPr>
            </w:pPr>
            <w:r>
              <w:rPr>
                <w:b/>
                <w:bCs w:val="0"/>
                <w:color w:val="auto"/>
                <w:sz w:val="21"/>
                <w:szCs w:val="21"/>
                <w:u w:val="none"/>
              </w:rPr>
              <w:t>1、排污许可</w:t>
            </w:r>
          </w:p>
          <w:p>
            <w:pPr>
              <w:pStyle w:val="40"/>
              <w:spacing w:line="360" w:lineRule="auto"/>
              <w:ind w:firstLine="420" w:firstLineChars="200"/>
              <w:jc w:val="both"/>
              <w:rPr>
                <w:color w:val="auto"/>
                <w:sz w:val="21"/>
                <w:szCs w:val="21"/>
                <w:u w:val="none"/>
              </w:rPr>
            </w:pPr>
            <w:r>
              <w:rPr>
                <w:rFonts w:hint="eastAsia" w:cs="Times New Roman"/>
                <w:color w:val="auto"/>
                <w:kern w:val="0"/>
                <w:sz w:val="21"/>
                <w:szCs w:val="21"/>
                <w:highlight w:val="none"/>
                <w:u w:val="single"/>
                <w:lang w:val="en-US" w:eastAsia="zh-CN"/>
              </w:rPr>
              <w:t>现有工程化学置换工序属于化学镀，根据《固定污染源排污许可分类管理名录（2019年版）》，金属表面处理有电镀工序的，排污许可管理类别为重点管理。</w:t>
            </w:r>
            <w:r>
              <w:rPr>
                <w:rFonts w:hint="eastAsia"/>
                <w:color w:val="auto"/>
                <w:sz w:val="21"/>
                <w:szCs w:val="21"/>
                <w:highlight w:val="none"/>
                <w:u w:val="none"/>
              </w:rPr>
              <w:t>在</w:t>
            </w:r>
            <w:r>
              <w:rPr>
                <w:rFonts w:hint="eastAsia"/>
                <w:color w:val="auto"/>
                <w:sz w:val="21"/>
                <w:szCs w:val="21"/>
                <w:highlight w:val="none"/>
                <w:u w:val="none"/>
                <w:lang w:eastAsia="zh-CN"/>
              </w:rPr>
              <w:t>本次改扩建</w:t>
            </w:r>
            <w:r>
              <w:rPr>
                <w:rFonts w:hint="eastAsia"/>
                <w:color w:val="auto"/>
                <w:sz w:val="21"/>
                <w:szCs w:val="21"/>
                <w:highlight w:val="none"/>
                <w:u w:val="none"/>
              </w:rPr>
              <w:t>项目取得环境影响评</w:t>
            </w:r>
            <w:r>
              <w:rPr>
                <w:rFonts w:hint="eastAsia"/>
                <w:color w:val="auto"/>
                <w:sz w:val="21"/>
                <w:szCs w:val="21"/>
                <w:u w:val="none"/>
              </w:rPr>
              <w:t>价审批意见后，建成正式投产前</w:t>
            </w:r>
            <w:r>
              <w:rPr>
                <w:color w:val="auto"/>
                <w:sz w:val="21"/>
                <w:szCs w:val="21"/>
                <w:u w:val="none"/>
              </w:rPr>
              <w:t>30</w:t>
            </w:r>
            <w:r>
              <w:rPr>
                <w:rFonts w:hint="eastAsia"/>
                <w:color w:val="auto"/>
                <w:sz w:val="21"/>
                <w:szCs w:val="21"/>
                <w:u w:val="none"/>
              </w:rPr>
              <w:t>个工作日内，排污单位应向</w:t>
            </w:r>
            <w:r>
              <w:rPr>
                <w:rFonts w:hint="eastAsia"/>
                <w:color w:val="auto"/>
                <w:sz w:val="21"/>
                <w:szCs w:val="21"/>
                <w:u w:val="none"/>
                <w:lang w:val="en-US" w:eastAsia="zh-CN"/>
              </w:rPr>
              <w:t>在全国排污许可证管理信息平台进行排污申报</w:t>
            </w:r>
            <w:r>
              <w:rPr>
                <w:rFonts w:hint="eastAsia"/>
                <w:color w:val="auto"/>
                <w:sz w:val="21"/>
                <w:szCs w:val="21"/>
                <w:u w:val="none"/>
              </w:rPr>
              <w:t>。</w:t>
            </w:r>
          </w:p>
          <w:p>
            <w:pPr>
              <w:pStyle w:val="40"/>
              <w:spacing w:line="360" w:lineRule="auto"/>
              <w:jc w:val="both"/>
              <w:rPr>
                <w:b/>
                <w:bCs w:val="0"/>
                <w:color w:val="auto"/>
                <w:sz w:val="21"/>
                <w:szCs w:val="21"/>
                <w:u w:val="none"/>
              </w:rPr>
            </w:pPr>
            <w:r>
              <w:rPr>
                <w:b/>
                <w:bCs w:val="0"/>
                <w:color w:val="auto"/>
                <w:sz w:val="21"/>
                <w:szCs w:val="21"/>
                <w:u w:val="none"/>
              </w:rPr>
              <w:t>2、排污口规范化设置</w:t>
            </w:r>
          </w:p>
          <w:p>
            <w:pPr>
              <w:pStyle w:val="40"/>
              <w:spacing w:line="360" w:lineRule="auto"/>
              <w:ind w:firstLine="420" w:firstLineChars="200"/>
              <w:jc w:val="both"/>
              <w:rPr>
                <w:color w:val="auto"/>
                <w:sz w:val="21"/>
                <w:szCs w:val="21"/>
                <w:u w:val="none"/>
              </w:rPr>
            </w:pPr>
            <w:r>
              <w:rPr>
                <w:color w:val="auto"/>
                <w:sz w:val="21"/>
                <w:szCs w:val="21"/>
                <w:u w:val="none"/>
              </w:rPr>
              <w:t>按照国家环保总局《排污口规范化整治技术要求》，项目排污口规范化管理具体要求见表5-</w:t>
            </w:r>
            <w:r>
              <w:rPr>
                <w:rFonts w:hint="eastAsia"/>
                <w:color w:val="auto"/>
                <w:sz w:val="21"/>
                <w:szCs w:val="21"/>
                <w:u w:val="none"/>
                <w:lang w:val="en-US" w:eastAsia="zh-CN"/>
              </w:rPr>
              <w:t>1</w:t>
            </w:r>
            <w:r>
              <w:rPr>
                <w:color w:val="auto"/>
                <w:sz w:val="21"/>
                <w:szCs w:val="21"/>
                <w:u w:val="none"/>
              </w:rPr>
              <w:t>，各排污口图形符号键表5-</w:t>
            </w:r>
            <w:r>
              <w:rPr>
                <w:rFonts w:hint="eastAsia"/>
                <w:color w:val="auto"/>
                <w:sz w:val="21"/>
                <w:szCs w:val="21"/>
                <w:u w:val="none"/>
                <w:lang w:val="en-US" w:eastAsia="zh-CN"/>
              </w:rPr>
              <w:t>2</w:t>
            </w:r>
            <w:r>
              <w:rPr>
                <w:color w:val="auto"/>
                <w:sz w:val="21"/>
                <w:szCs w:val="21"/>
                <w:u w:val="none"/>
              </w:rPr>
              <w:t>。</w:t>
            </w:r>
          </w:p>
          <w:p>
            <w:pPr>
              <w:pStyle w:val="39"/>
              <w:spacing w:line="240" w:lineRule="auto"/>
              <w:rPr>
                <w:color w:val="auto"/>
                <w:sz w:val="21"/>
                <w:szCs w:val="21"/>
                <w:u w:val="none"/>
              </w:rPr>
            </w:pPr>
            <w:r>
              <w:rPr>
                <w:color w:val="auto"/>
                <w:sz w:val="21"/>
                <w:szCs w:val="21"/>
                <w:u w:val="none"/>
              </w:rPr>
              <w:t>表5-</w:t>
            </w:r>
            <w:r>
              <w:rPr>
                <w:rFonts w:hint="eastAsia"/>
                <w:color w:val="auto"/>
                <w:sz w:val="21"/>
                <w:szCs w:val="21"/>
                <w:u w:val="none"/>
                <w:lang w:val="en-US" w:eastAsia="zh-CN"/>
              </w:rPr>
              <w:t>1</w:t>
            </w:r>
            <w:r>
              <w:rPr>
                <w:color w:val="auto"/>
                <w:sz w:val="21"/>
                <w:szCs w:val="21"/>
                <w:u w:val="none"/>
              </w:rPr>
              <w:t>排污口规范化管理要求表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6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40"/>
                    <w:rPr>
                      <w:b/>
                      <w:bCs w:val="0"/>
                      <w:color w:val="auto"/>
                      <w:sz w:val="21"/>
                      <w:szCs w:val="21"/>
                      <w:u w:val="none"/>
                    </w:rPr>
                  </w:pPr>
                  <w:r>
                    <w:rPr>
                      <w:b/>
                      <w:bCs w:val="0"/>
                      <w:color w:val="auto"/>
                      <w:sz w:val="21"/>
                      <w:szCs w:val="21"/>
                      <w:u w:val="none"/>
                    </w:rPr>
                    <w:t>项目</w:t>
                  </w:r>
                </w:p>
              </w:tc>
              <w:tc>
                <w:tcPr>
                  <w:tcW w:w="4249" w:type="pct"/>
                  <w:noWrap w:val="0"/>
                  <w:vAlign w:val="center"/>
                </w:tcPr>
                <w:p>
                  <w:pPr>
                    <w:pStyle w:val="40"/>
                    <w:rPr>
                      <w:b/>
                      <w:bCs w:val="0"/>
                      <w:color w:val="auto"/>
                      <w:sz w:val="21"/>
                      <w:szCs w:val="21"/>
                      <w:u w:val="none"/>
                    </w:rPr>
                  </w:pPr>
                  <w:r>
                    <w:rPr>
                      <w:b/>
                      <w:bCs w:val="0"/>
                      <w:color w:val="auto"/>
                      <w:sz w:val="21"/>
                      <w:szCs w:val="21"/>
                      <w:u w:val="none"/>
                    </w:rPr>
                    <w:t>主要要求内容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40"/>
                    <w:rPr>
                      <w:color w:val="auto"/>
                      <w:sz w:val="21"/>
                      <w:szCs w:val="21"/>
                      <w:u w:val="none"/>
                    </w:rPr>
                  </w:pPr>
                  <w:r>
                    <w:rPr>
                      <w:color w:val="auto"/>
                      <w:sz w:val="21"/>
                      <w:szCs w:val="21"/>
                      <w:u w:val="none"/>
                    </w:rPr>
                    <w:t>基本原则</w:t>
                  </w:r>
                </w:p>
              </w:tc>
              <w:tc>
                <w:tcPr>
                  <w:tcW w:w="4249" w:type="pct"/>
                  <w:noWrap w:val="0"/>
                  <w:vAlign w:val="center"/>
                </w:tcPr>
                <w:p>
                  <w:pPr>
                    <w:pStyle w:val="40"/>
                    <w:jc w:val="both"/>
                    <w:rPr>
                      <w:color w:val="auto"/>
                      <w:sz w:val="21"/>
                      <w:szCs w:val="21"/>
                      <w:u w:val="none"/>
                    </w:rPr>
                  </w:pPr>
                  <w:r>
                    <w:rPr>
                      <w:color w:val="auto"/>
                      <w:sz w:val="21"/>
                      <w:szCs w:val="21"/>
                      <w:u w:val="none"/>
                    </w:rPr>
                    <w:t>1、凡向环境排放污染物的一切排污口必须进行规范化管理；</w:t>
                  </w:r>
                </w:p>
                <w:p>
                  <w:pPr>
                    <w:pStyle w:val="40"/>
                    <w:jc w:val="both"/>
                    <w:rPr>
                      <w:color w:val="auto"/>
                      <w:sz w:val="21"/>
                      <w:szCs w:val="21"/>
                      <w:u w:val="none"/>
                    </w:rPr>
                  </w:pPr>
                  <w:r>
                    <w:rPr>
                      <w:color w:val="auto"/>
                      <w:sz w:val="21"/>
                      <w:szCs w:val="21"/>
                      <w:u w:val="none"/>
                    </w:rPr>
                    <w:t>2、将总量控制的污染物排污口及行业特征污染物排放口列为管理的重点；</w:t>
                  </w:r>
                </w:p>
                <w:p>
                  <w:pPr>
                    <w:pStyle w:val="40"/>
                    <w:jc w:val="both"/>
                    <w:rPr>
                      <w:color w:val="auto"/>
                      <w:sz w:val="21"/>
                      <w:szCs w:val="21"/>
                      <w:u w:val="none"/>
                    </w:rPr>
                  </w:pPr>
                  <w:r>
                    <w:rPr>
                      <w:color w:val="auto"/>
                      <w:sz w:val="21"/>
                      <w:szCs w:val="21"/>
                      <w:u w:val="none"/>
                    </w:rPr>
                    <w:t>3、排污口设置应便于采样和计量监测，便于日常现场监督和检查；</w:t>
                  </w:r>
                </w:p>
                <w:p>
                  <w:pPr>
                    <w:pStyle w:val="40"/>
                    <w:jc w:val="both"/>
                    <w:rPr>
                      <w:color w:val="auto"/>
                      <w:sz w:val="21"/>
                      <w:szCs w:val="21"/>
                      <w:u w:val="none"/>
                    </w:rPr>
                  </w:pPr>
                  <w:r>
                    <w:rPr>
                      <w:color w:val="auto"/>
                      <w:sz w:val="21"/>
                      <w:szCs w:val="21"/>
                      <w:u w:val="none"/>
                    </w:rPr>
                    <w:t>4、如实向环保行政主管部门申报排污口位置，排污种类、数量、浓度与排放去向等。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40"/>
                    <w:rPr>
                      <w:color w:val="auto"/>
                      <w:sz w:val="21"/>
                      <w:szCs w:val="21"/>
                      <w:u w:val="none"/>
                    </w:rPr>
                  </w:pPr>
                  <w:r>
                    <w:rPr>
                      <w:color w:val="auto"/>
                      <w:sz w:val="21"/>
                      <w:szCs w:val="21"/>
                      <w:u w:val="none"/>
                    </w:rPr>
                    <w:t>技术要求</w:t>
                  </w:r>
                </w:p>
              </w:tc>
              <w:tc>
                <w:tcPr>
                  <w:tcW w:w="4249" w:type="pct"/>
                  <w:noWrap w:val="0"/>
                  <w:vAlign w:val="center"/>
                </w:tcPr>
                <w:p>
                  <w:pPr>
                    <w:pStyle w:val="40"/>
                    <w:jc w:val="both"/>
                    <w:rPr>
                      <w:color w:val="auto"/>
                      <w:sz w:val="21"/>
                      <w:szCs w:val="21"/>
                      <w:u w:val="none"/>
                    </w:rPr>
                  </w:pPr>
                  <w:r>
                    <w:rPr>
                      <w:color w:val="auto"/>
                      <w:sz w:val="21"/>
                      <w:szCs w:val="21"/>
                      <w:u w:val="none"/>
                    </w:rPr>
                    <w:t>1、排污口位置必须按照环监（1996）470号文要求合理确定，实行规范化管理；</w:t>
                  </w:r>
                </w:p>
                <w:p>
                  <w:pPr>
                    <w:pStyle w:val="40"/>
                    <w:jc w:val="both"/>
                    <w:rPr>
                      <w:color w:val="auto"/>
                      <w:sz w:val="21"/>
                      <w:szCs w:val="21"/>
                      <w:u w:val="none"/>
                    </w:rPr>
                  </w:pPr>
                  <w:r>
                    <w:rPr>
                      <w:color w:val="auto"/>
                      <w:sz w:val="21"/>
                      <w:szCs w:val="21"/>
                      <w:u w:val="none"/>
                    </w:rPr>
                    <w:t>2、具体设置应符合《污染源监测技术规范》的规定与要求。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40"/>
                    <w:rPr>
                      <w:color w:val="auto"/>
                      <w:sz w:val="21"/>
                      <w:szCs w:val="21"/>
                      <w:u w:val="none"/>
                    </w:rPr>
                  </w:pPr>
                  <w:r>
                    <w:rPr>
                      <w:color w:val="auto"/>
                      <w:sz w:val="21"/>
                      <w:szCs w:val="21"/>
                      <w:u w:val="none"/>
                    </w:rPr>
                    <w:t>立标管理</w:t>
                  </w:r>
                </w:p>
              </w:tc>
              <w:tc>
                <w:tcPr>
                  <w:tcW w:w="4249" w:type="pct"/>
                  <w:noWrap w:val="0"/>
                  <w:vAlign w:val="center"/>
                </w:tcPr>
                <w:p>
                  <w:pPr>
                    <w:pStyle w:val="40"/>
                    <w:jc w:val="both"/>
                    <w:rPr>
                      <w:color w:val="auto"/>
                      <w:sz w:val="21"/>
                      <w:szCs w:val="21"/>
                      <w:u w:val="none"/>
                    </w:rPr>
                  </w:pPr>
                  <w:r>
                    <w:rPr>
                      <w:color w:val="auto"/>
                      <w:sz w:val="21"/>
                      <w:szCs w:val="21"/>
                      <w:u w:val="none"/>
                    </w:rPr>
                    <w:t>1、排污口必须按照国家《环境保护图形标志》相关规定，设置环保图形标志牌；</w:t>
                  </w:r>
                </w:p>
                <w:p>
                  <w:pPr>
                    <w:pStyle w:val="40"/>
                    <w:jc w:val="both"/>
                    <w:rPr>
                      <w:color w:val="auto"/>
                      <w:sz w:val="21"/>
                      <w:szCs w:val="21"/>
                      <w:u w:val="none"/>
                    </w:rPr>
                  </w:pPr>
                  <w:r>
                    <w:rPr>
                      <w:color w:val="auto"/>
                      <w:sz w:val="21"/>
                      <w:szCs w:val="21"/>
                      <w:u w:val="none"/>
                    </w:rPr>
                    <w:t>2、标志牌设置位置应距排污口及固体废物贮存（处置）场或采样点较近且醒目处，设置高度一般为标志牌上缘距离地面约2m；</w:t>
                  </w:r>
                </w:p>
                <w:p>
                  <w:pPr>
                    <w:pStyle w:val="40"/>
                    <w:jc w:val="both"/>
                    <w:rPr>
                      <w:color w:val="auto"/>
                      <w:sz w:val="21"/>
                      <w:szCs w:val="21"/>
                      <w:u w:val="none"/>
                    </w:rPr>
                  </w:pPr>
                  <w:r>
                    <w:rPr>
                      <w:color w:val="auto"/>
                      <w:sz w:val="21"/>
                      <w:szCs w:val="21"/>
                      <w:u w:val="none"/>
                    </w:rPr>
                    <w:t>3、重点排污单位排污口设立式标志牌，一般单位排污口可设立式或平面固定式提示性环保图形标志牌；</w:t>
                  </w:r>
                </w:p>
                <w:p>
                  <w:pPr>
                    <w:pStyle w:val="40"/>
                    <w:jc w:val="both"/>
                    <w:rPr>
                      <w:color w:val="auto"/>
                      <w:sz w:val="21"/>
                      <w:szCs w:val="21"/>
                      <w:u w:val="none"/>
                    </w:rPr>
                  </w:pPr>
                  <w:r>
                    <w:rPr>
                      <w:color w:val="auto"/>
                      <w:sz w:val="21"/>
                      <w:szCs w:val="21"/>
                      <w:u w:val="none"/>
                    </w:rPr>
                    <w:t>4、对危险物贮存、处置场所，必须设置警告性环境保护图形标志牌。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40"/>
                    <w:rPr>
                      <w:color w:val="auto"/>
                      <w:sz w:val="21"/>
                      <w:szCs w:val="21"/>
                      <w:u w:val="none"/>
                    </w:rPr>
                  </w:pPr>
                  <w:r>
                    <w:rPr>
                      <w:color w:val="auto"/>
                      <w:sz w:val="21"/>
                      <w:szCs w:val="21"/>
                      <w:u w:val="none"/>
                    </w:rPr>
                    <w:t>建档管理</w:t>
                  </w:r>
                </w:p>
              </w:tc>
              <w:tc>
                <w:tcPr>
                  <w:tcW w:w="4249" w:type="pct"/>
                  <w:noWrap w:val="0"/>
                  <w:vAlign w:val="center"/>
                </w:tcPr>
                <w:p>
                  <w:pPr>
                    <w:pStyle w:val="40"/>
                    <w:jc w:val="both"/>
                    <w:rPr>
                      <w:color w:val="auto"/>
                      <w:sz w:val="21"/>
                      <w:szCs w:val="21"/>
                      <w:u w:val="none"/>
                    </w:rPr>
                  </w:pPr>
                  <w:r>
                    <w:rPr>
                      <w:color w:val="auto"/>
                      <w:sz w:val="21"/>
                      <w:szCs w:val="21"/>
                      <w:u w:val="none"/>
                    </w:rPr>
                    <w:t>1、使用《中华人民共和国规范化排污口标志登记证》，并按要求填写有关内容；</w:t>
                  </w:r>
                </w:p>
                <w:p>
                  <w:pPr>
                    <w:pStyle w:val="40"/>
                    <w:jc w:val="both"/>
                    <w:rPr>
                      <w:color w:val="auto"/>
                      <w:sz w:val="21"/>
                      <w:szCs w:val="21"/>
                      <w:u w:val="none"/>
                    </w:rPr>
                  </w:pPr>
                  <w:r>
                    <w:rPr>
                      <w:color w:val="auto"/>
                      <w:sz w:val="21"/>
                      <w:szCs w:val="21"/>
                      <w:u w:val="none"/>
                    </w:rPr>
                    <w:t>2、严格按照环境管理监控计划及排污口管理内容要求，在工程建成后将主要污染物种类、数量、排放浓度与去向，立标及环保设施运行情况记录在案，并及时上报；</w:t>
                  </w:r>
                </w:p>
                <w:p>
                  <w:pPr>
                    <w:pStyle w:val="40"/>
                    <w:jc w:val="both"/>
                    <w:rPr>
                      <w:color w:val="auto"/>
                      <w:sz w:val="21"/>
                      <w:szCs w:val="21"/>
                      <w:u w:val="none"/>
                    </w:rPr>
                  </w:pPr>
                  <w:r>
                    <w:rPr>
                      <w:color w:val="auto"/>
                      <w:sz w:val="21"/>
                      <w:szCs w:val="21"/>
                      <w:u w:val="none"/>
                    </w:rPr>
                    <w:t>3、选派有专业技能环保人员对排污口进行管理，做到责任明确、奖罚分明。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1" w:type="pct"/>
                  <w:noWrap w:val="0"/>
                  <w:vAlign w:val="center"/>
                </w:tcPr>
                <w:p>
                  <w:pPr>
                    <w:pStyle w:val="40"/>
                    <w:rPr>
                      <w:rFonts w:hint="default" w:eastAsia="宋体"/>
                      <w:color w:val="auto"/>
                      <w:sz w:val="21"/>
                      <w:szCs w:val="21"/>
                      <w:u w:val="none"/>
                      <w:lang w:val="en-US" w:eastAsia="zh-CN"/>
                    </w:rPr>
                  </w:pPr>
                  <w:r>
                    <w:rPr>
                      <w:rFonts w:hint="eastAsia"/>
                      <w:color w:val="auto"/>
                      <w:sz w:val="21"/>
                      <w:szCs w:val="21"/>
                      <w:u w:val="none"/>
                      <w:lang w:val="en-US" w:eastAsia="zh-CN"/>
                    </w:rPr>
                    <w:t>采样口、采用平台设置</w:t>
                  </w:r>
                </w:p>
              </w:tc>
              <w:tc>
                <w:tcPr>
                  <w:tcW w:w="4249" w:type="pct"/>
                  <w:noWrap w:val="0"/>
                  <w:vAlign w:val="center"/>
                </w:tcPr>
                <w:p>
                  <w:pPr>
                    <w:pStyle w:val="40"/>
                    <w:numPr>
                      <w:ilvl w:val="0"/>
                      <w:numId w:val="28"/>
                    </w:numPr>
                    <w:jc w:val="both"/>
                    <w:rPr>
                      <w:rFonts w:hint="eastAsia"/>
                      <w:color w:val="auto"/>
                      <w:sz w:val="21"/>
                      <w:szCs w:val="21"/>
                      <w:u w:val="none"/>
                      <w:lang w:val="en-US" w:eastAsia="zh-CN"/>
                    </w:rPr>
                  </w:pPr>
                  <w:r>
                    <w:rPr>
                      <w:rFonts w:hint="eastAsia"/>
                      <w:color w:val="auto"/>
                      <w:sz w:val="21"/>
                      <w:szCs w:val="21"/>
                      <w:u w:val="none"/>
                      <w:lang w:val="en-US" w:eastAsia="zh-CN"/>
                    </w:rPr>
                    <w:t>采样孔采样孔位置应优先选择在垂直管段和烟道负压区域；</w:t>
                  </w:r>
                </w:p>
                <w:p>
                  <w:pPr>
                    <w:pStyle w:val="40"/>
                    <w:numPr>
                      <w:ilvl w:val="0"/>
                      <w:numId w:val="28"/>
                    </w:numPr>
                    <w:jc w:val="both"/>
                    <w:rPr>
                      <w:rFonts w:hint="eastAsia"/>
                      <w:color w:val="auto"/>
                      <w:sz w:val="21"/>
                      <w:szCs w:val="21"/>
                      <w:u w:val="none"/>
                      <w:lang w:val="en-US" w:eastAsia="zh-CN"/>
                    </w:rPr>
                  </w:pPr>
                  <w:r>
                    <w:rPr>
                      <w:rFonts w:hint="eastAsia"/>
                      <w:color w:val="auto"/>
                      <w:sz w:val="21"/>
                      <w:szCs w:val="21"/>
                      <w:u w:val="none"/>
                      <w:lang w:val="en-US" w:eastAsia="zh-CN"/>
                    </w:rPr>
                    <w:t>采样孔位置应避开烟道弯头和断面急剧变化的部位，设置在距弯头、阀门、变径管下游方向不小于6倍烟道直径处，以及距上述部件上游方向不小于3倍烟道直径处；</w:t>
                  </w:r>
                </w:p>
                <w:p>
                  <w:pPr>
                    <w:pStyle w:val="40"/>
                    <w:numPr>
                      <w:ilvl w:val="0"/>
                      <w:numId w:val="28"/>
                    </w:numPr>
                    <w:jc w:val="both"/>
                    <w:rPr>
                      <w:rFonts w:hint="eastAsia"/>
                      <w:color w:val="auto"/>
                      <w:sz w:val="21"/>
                      <w:szCs w:val="21"/>
                      <w:u w:val="none"/>
                      <w:lang w:val="en-US" w:eastAsia="zh-CN"/>
                    </w:rPr>
                  </w:pPr>
                  <w:r>
                    <w:rPr>
                      <w:rFonts w:hint="eastAsia"/>
                      <w:color w:val="auto"/>
                      <w:sz w:val="21"/>
                      <w:szCs w:val="21"/>
                      <w:u w:val="none"/>
                      <w:lang w:val="en-US" w:eastAsia="zh-CN"/>
                    </w:rPr>
                    <w:t>采样孔内径应不少于80mm，采样孔管长应不大于50mm；</w:t>
                  </w:r>
                </w:p>
                <w:p>
                  <w:pPr>
                    <w:pStyle w:val="40"/>
                    <w:numPr>
                      <w:ilvl w:val="0"/>
                      <w:numId w:val="28"/>
                    </w:numPr>
                    <w:jc w:val="both"/>
                    <w:rPr>
                      <w:rFonts w:hint="eastAsia"/>
                      <w:color w:val="auto"/>
                      <w:sz w:val="21"/>
                      <w:szCs w:val="21"/>
                      <w:u w:val="none"/>
                      <w:lang w:val="en-US" w:eastAsia="zh-CN"/>
                    </w:rPr>
                  </w:pPr>
                  <w:r>
                    <w:rPr>
                      <w:rFonts w:hint="eastAsia"/>
                      <w:color w:val="auto"/>
                      <w:sz w:val="21"/>
                      <w:szCs w:val="21"/>
                      <w:u w:val="none"/>
                      <w:lang w:val="en-US" w:eastAsia="zh-CN"/>
                    </w:rPr>
                    <w:t>不使用时应用盖板、管堵或管帽封闭；</w:t>
                  </w:r>
                </w:p>
                <w:p>
                  <w:pPr>
                    <w:pStyle w:val="40"/>
                    <w:numPr>
                      <w:ilvl w:val="0"/>
                      <w:numId w:val="28"/>
                    </w:numPr>
                    <w:jc w:val="both"/>
                    <w:rPr>
                      <w:rFonts w:hint="eastAsia"/>
                      <w:color w:val="auto"/>
                      <w:sz w:val="21"/>
                      <w:szCs w:val="21"/>
                      <w:u w:val="none"/>
                      <w:lang w:val="en-US" w:eastAsia="zh-CN"/>
                    </w:rPr>
                  </w:pPr>
                  <w:r>
                    <w:rPr>
                      <w:rFonts w:hint="eastAsia"/>
                      <w:color w:val="auto"/>
                      <w:sz w:val="21"/>
                      <w:szCs w:val="21"/>
                      <w:u w:val="none"/>
                      <w:lang w:val="en-US" w:eastAsia="zh-CN"/>
                    </w:rPr>
                    <w:t>采样平台面积应不小于1.5m</w:t>
                  </w:r>
                  <w:r>
                    <w:rPr>
                      <w:rFonts w:hint="eastAsia"/>
                      <w:color w:val="auto"/>
                      <w:sz w:val="21"/>
                      <w:szCs w:val="21"/>
                      <w:u w:val="none"/>
                      <w:vertAlign w:val="superscript"/>
                      <w:lang w:val="en-US" w:eastAsia="zh-CN"/>
                    </w:rPr>
                    <w:t>2</w:t>
                  </w:r>
                  <w:r>
                    <w:rPr>
                      <w:rFonts w:hint="eastAsia"/>
                      <w:color w:val="auto"/>
                      <w:sz w:val="21"/>
                      <w:szCs w:val="21"/>
                      <w:u w:val="none"/>
                      <w:lang w:val="en-US" w:eastAsia="zh-CN"/>
                    </w:rPr>
                    <w:t>（建议2×1.5m</w:t>
                  </w:r>
                  <w:r>
                    <w:rPr>
                      <w:rFonts w:hint="eastAsia"/>
                      <w:color w:val="auto"/>
                      <w:sz w:val="21"/>
                      <w:szCs w:val="21"/>
                      <w:u w:val="none"/>
                      <w:vertAlign w:val="superscript"/>
                      <w:lang w:val="en-US" w:eastAsia="zh-CN"/>
                    </w:rPr>
                    <w:t>2</w:t>
                  </w:r>
                  <w:r>
                    <w:rPr>
                      <w:rFonts w:hint="eastAsia"/>
                      <w:color w:val="auto"/>
                      <w:sz w:val="21"/>
                      <w:szCs w:val="21"/>
                      <w:u w:val="none"/>
                      <w:lang w:val="en-US" w:eastAsia="zh-CN"/>
                    </w:rPr>
                    <w:t>以上），并设有1.2m高的护栏和不低于10cm的脚部挡板，采样平台的承重应不小于200kg/m</w:t>
                  </w:r>
                  <w:r>
                    <w:rPr>
                      <w:rFonts w:hint="eastAsia"/>
                      <w:color w:val="auto"/>
                      <w:sz w:val="21"/>
                      <w:szCs w:val="21"/>
                      <w:u w:val="none"/>
                      <w:vertAlign w:val="superscript"/>
                      <w:lang w:val="en-US" w:eastAsia="zh-CN"/>
                    </w:rPr>
                    <w:t>2</w:t>
                  </w:r>
                  <w:r>
                    <w:rPr>
                      <w:rFonts w:hint="eastAsia"/>
                      <w:color w:val="auto"/>
                      <w:sz w:val="21"/>
                      <w:szCs w:val="21"/>
                      <w:u w:val="none"/>
                      <w:lang w:val="en-US" w:eastAsia="zh-CN"/>
                    </w:rPr>
                    <w:t>，采样平台面距采样孔约为1.2-1.3m；</w:t>
                  </w:r>
                </w:p>
                <w:p>
                  <w:pPr>
                    <w:pStyle w:val="40"/>
                    <w:numPr>
                      <w:ilvl w:val="0"/>
                      <w:numId w:val="28"/>
                    </w:numPr>
                    <w:jc w:val="both"/>
                    <w:rPr>
                      <w:rFonts w:hint="eastAsia"/>
                      <w:color w:val="auto"/>
                      <w:sz w:val="21"/>
                      <w:szCs w:val="21"/>
                      <w:u w:val="none"/>
                      <w:lang w:val="en-US" w:eastAsia="zh-CN"/>
                    </w:rPr>
                  </w:pPr>
                  <w:r>
                    <w:rPr>
                      <w:rFonts w:hint="eastAsia"/>
                      <w:color w:val="auto"/>
                      <w:sz w:val="21"/>
                      <w:szCs w:val="21"/>
                      <w:u w:val="none"/>
                      <w:lang w:val="en-US" w:eastAsia="zh-CN"/>
                    </w:rPr>
                    <w:t>采样平台应设置永久性的电源。平台上方应建有防雨棚。采样平台易于人员到达，应建设监测安全通道。</w:t>
                  </w:r>
                </w:p>
              </w:tc>
            </w:tr>
          </w:tbl>
          <w:p>
            <w:pPr>
              <w:pStyle w:val="39"/>
              <w:spacing w:before="120" w:beforeLines="50" w:line="240" w:lineRule="auto"/>
              <w:rPr>
                <w:color w:val="auto"/>
                <w:sz w:val="21"/>
                <w:szCs w:val="21"/>
                <w:u w:val="none"/>
              </w:rPr>
            </w:pPr>
          </w:p>
          <w:p>
            <w:pPr>
              <w:pStyle w:val="39"/>
              <w:spacing w:before="120" w:beforeLines="50" w:line="240" w:lineRule="auto"/>
              <w:rPr>
                <w:color w:val="auto"/>
                <w:sz w:val="21"/>
                <w:szCs w:val="21"/>
                <w:u w:val="none"/>
              </w:rPr>
            </w:pPr>
            <w:r>
              <w:rPr>
                <w:color w:val="auto"/>
                <w:sz w:val="21"/>
                <w:szCs w:val="21"/>
                <w:u w:val="none"/>
              </w:rPr>
              <w:t>表5-</w:t>
            </w:r>
            <w:r>
              <w:rPr>
                <w:rFonts w:hint="eastAsia"/>
                <w:color w:val="auto"/>
                <w:sz w:val="21"/>
                <w:szCs w:val="21"/>
                <w:u w:val="none"/>
                <w:lang w:val="en-US" w:eastAsia="zh-CN"/>
              </w:rPr>
              <w:t>2</w:t>
            </w:r>
            <w:r>
              <w:rPr>
                <w:color w:val="auto"/>
                <w:sz w:val="21"/>
                <w:szCs w:val="21"/>
                <w:u w:val="none"/>
              </w:rPr>
              <w:t>排污口图形符号（提示标志）一览表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9"/>
              <w:gridCol w:w="1833"/>
              <w:gridCol w:w="1833"/>
              <w:gridCol w:w="1355"/>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40"/>
                    <w:rPr>
                      <w:b/>
                      <w:bCs w:val="0"/>
                      <w:color w:val="auto"/>
                      <w:sz w:val="21"/>
                      <w:szCs w:val="21"/>
                      <w:u w:val="none"/>
                    </w:rPr>
                  </w:pPr>
                  <w:r>
                    <w:rPr>
                      <w:b/>
                      <w:bCs w:val="0"/>
                      <w:color w:val="auto"/>
                      <w:sz w:val="21"/>
                      <w:szCs w:val="21"/>
                      <w:u w:val="none"/>
                    </w:rPr>
                    <w:t>序号</w:t>
                  </w:r>
                </w:p>
              </w:tc>
              <w:tc>
                <w:tcPr>
                  <w:tcW w:w="1152" w:type="pct"/>
                  <w:noWrap w:val="0"/>
                  <w:vAlign w:val="center"/>
                </w:tcPr>
                <w:p>
                  <w:pPr>
                    <w:pStyle w:val="40"/>
                    <w:rPr>
                      <w:b/>
                      <w:bCs w:val="0"/>
                      <w:color w:val="auto"/>
                      <w:sz w:val="21"/>
                      <w:szCs w:val="21"/>
                      <w:u w:val="none"/>
                    </w:rPr>
                  </w:pPr>
                  <w:r>
                    <w:rPr>
                      <w:b/>
                      <w:bCs w:val="0"/>
                      <w:color w:val="auto"/>
                      <w:sz w:val="21"/>
                      <w:szCs w:val="21"/>
                      <w:u w:val="none"/>
                    </w:rPr>
                    <w:fldChar w:fldCharType="begin"/>
                  </w:r>
                  <w:r>
                    <w:rPr>
                      <w:b/>
                      <w:bCs w:val="0"/>
                      <w:color w:val="auto"/>
                      <w:sz w:val="21"/>
                      <w:szCs w:val="21"/>
                      <w:u w:val="none"/>
                    </w:rPr>
                    <w:instrText xml:space="preserve"> =  \* MERGEFORMAT </w:instrText>
                  </w:r>
                  <w:r>
                    <w:rPr>
                      <w:b/>
                      <w:bCs w:val="0"/>
                      <w:color w:val="auto"/>
                      <w:sz w:val="21"/>
                      <w:szCs w:val="21"/>
                      <w:u w:val="none"/>
                    </w:rPr>
                    <w:fldChar w:fldCharType="separate"/>
                  </w:r>
                  <w:r>
                    <w:rPr>
                      <w:b/>
                      <w:bCs w:val="0"/>
                      <w:color w:val="auto"/>
                      <w:sz w:val="21"/>
                      <w:szCs w:val="21"/>
                      <w:u w:val="none"/>
                    </w:rPr>
                    <w:fldChar w:fldCharType="end"/>
                  </w:r>
                  <w:r>
                    <w:rPr>
                      <w:b/>
                      <w:bCs w:val="0"/>
                      <w:color w:val="auto"/>
                      <w:sz w:val="21"/>
                      <w:szCs w:val="21"/>
                      <w:u w:val="none"/>
                    </w:rPr>
                    <w:t>提示图像符号</w:t>
                  </w:r>
                </w:p>
              </w:tc>
              <w:tc>
                <w:tcPr>
                  <w:tcW w:w="1152" w:type="pct"/>
                  <w:noWrap w:val="0"/>
                  <w:vAlign w:val="center"/>
                </w:tcPr>
                <w:p>
                  <w:pPr>
                    <w:pStyle w:val="40"/>
                    <w:rPr>
                      <w:b/>
                      <w:bCs w:val="0"/>
                      <w:color w:val="auto"/>
                      <w:sz w:val="21"/>
                      <w:szCs w:val="21"/>
                      <w:u w:val="none"/>
                    </w:rPr>
                  </w:pPr>
                  <w:r>
                    <w:rPr>
                      <w:b/>
                      <w:bCs w:val="0"/>
                      <w:color w:val="auto"/>
                      <w:sz w:val="21"/>
                      <w:szCs w:val="21"/>
                      <w:u w:val="none"/>
                    </w:rPr>
                    <w:t>警告图像符号</w:t>
                  </w:r>
                </w:p>
              </w:tc>
              <w:tc>
                <w:tcPr>
                  <w:tcW w:w="852" w:type="pct"/>
                  <w:noWrap w:val="0"/>
                  <w:vAlign w:val="center"/>
                </w:tcPr>
                <w:p>
                  <w:pPr>
                    <w:pStyle w:val="40"/>
                    <w:rPr>
                      <w:b/>
                      <w:bCs w:val="0"/>
                      <w:color w:val="auto"/>
                      <w:sz w:val="21"/>
                      <w:szCs w:val="21"/>
                      <w:u w:val="none"/>
                    </w:rPr>
                  </w:pPr>
                  <w:r>
                    <w:rPr>
                      <w:b/>
                      <w:bCs w:val="0"/>
                      <w:color w:val="auto"/>
                      <w:sz w:val="21"/>
                      <w:szCs w:val="21"/>
                      <w:u w:val="none"/>
                    </w:rPr>
                    <w:t>名称</w:t>
                  </w:r>
                </w:p>
              </w:tc>
              <w:tc>
                <w:tcPr>
                  <w:tcW w:w="1415" w:type="pct"/>
                  <w:noWrap w:val="0"/>
                  <w:vAlign w:val="center"/>
                </w:tcPr>
                <w:p>
                  <w:pPr>
                    <w:pStyle w:val="40"/>
                    <w:rPr>
                      <w:b/>
                      <w:bCs w:val="0"/>
                      <w:color w:val="auto"/>
                      <w:sz w:val="21"/>
                      <w:szCs w:val="21"/>
                      <w:u w:val="none"/>
                    </w:rPr>
                  </w:pPr>
                  <w:r>
                    <w:rPr>
                      <w:b/>
                      <w:bCs w:val="0"/>
                      <w:color w:val="auto"/>
                      <w:sz w:val="21"/>
                      <w:szCs w:val="21"/>
                      <w:u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40"/>
                    <w:rPr>
                      <w:color w:val="auto"/>
                      <w:sz w:val="21"/>
                      <w:szCs w:val="21"/>
                      <w:u w:val="none"/>
                    </w:rPr>
                  </w:pPr>
                  <w:r>
                    <w:rPr>
                      <w:color w:val="auto"/>
                      <w:sz w:val="21"/>
                      <w:szCs w:val="21"/>
                      <w:u w:val="none"/>
                    </w:rPr>
                    <w:t>1</w:t>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54405" cy="954405"/>
                        <wp:effectExtent l="0" t="0" r="17145" b="1714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2"/>
                                <a:stretch>
                                  <a:fillRect/>
                                </a:stretch>
                              </pic:blipFill>
                              <pic:spPr>
                                <a:xfrm>
                                  <a:off x="0" y="0"/>
                                  <a:ext cx="954405" cy="954405"/>
                                </a:xfrm>
                                <a:prstGeom prst="rect">
                                  <a:avLst/>
                                </a:prstGeom>
                                <a:noFill/>
                                <a:ln>
                                  <a:noFill/>
                                </a:ln>
                              </pic:spPr>
                            </pic:pic>
                          </a:graphicData>
                        </a:graphic>
                      </wp:inline>
                    </w:drawing>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54405" cy="835025"/>
                        <wp:effectExtent l="0" t="0" r="17145" b="31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3"/>
                                <a:stretch>
                                  <a:fillRect/>
                                </a:stretch>
                              </pic:blipFill>
                              <pic:spPr>
                                <a:xfrm>
                                  <a:off x="0" y="0"/>
                                  <a:ext cx="954405" cy="835025"/>
                                </a:xfrm>
                                <a:prstGeom prst="rect">
                                  <a:avLst/>
                                </a:prstGeom>
                                <a:noFill/>
                                <a:ln>
                                  <a:noFill/>
                                </a:ln>
                              </pic:spPr>
                            </pic:pic>
                          </a:graphicData>
                        </a:graphic>
                      </wp:inline>
                    </w:drawing>
                  </w:r>
                </w:p>
              </w:tc>
              <w:tc>
                <w:tcPr>
                  <w:tcW w:w="852" w:type="pct"/>
                  <w:noWrap w:val="0"/>
                  <w:vAlign w:val="center"/>
                </w:tcPr>
                <w:p>
                  <w:pPr>
                    <w:pStyle w:val="40"/>
                    <w:rPr>
                      <w:color w:val="auto"/>
                      <w:sz w:val="21"/>
                      <w:szCs w:val="21"/>
                      <w:u w:val="none"/>
                    </w:rPr>
                  </w:pPr>
                  <w:r>
                    <w:rPr>
                      <w:color w:val="auto"/>
                      <w:sz w:val="21"/>
                      <w:szCs w:val="21"/>
                      <w:u w:val="none"/>
                    </w:rPr>
                    <w:t>废气排放口</w:t>
                  </w:r>
                </w:p>
              </w:tc>
              <w:tc>
                <w:tcPr>
                  <w:tcW w:w="1415" w:type="pct"/>
                  <w:noWrap w:val="0"/>
                  <w:vAlign w:val="center"/>
                </w:tcPr>
                <w:p>
                  <w:pPr>
                    <w:pStyle w:val="40"/>
                    <w:rPr>
                      <w:color w:val="auto"/>
                      <w:sz w:val="21"/>
                      <w:szCs w:val="21"/>
                      <w:u w:val="none"/>
                    </w:rPr>
                  </w:pPr>
                  <w:r>
                    <w:rPr>
                      <w:color w:val="auto"/>
                      <w:sz w:val="21"/>
                      <w:szCs w:val="21"/>
                      <w:u w:val="none"/>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40"/>
                    <w:rPr>
                      <w:color w:val="auto"/>
                      <w:sz w:val="21"/>
                      <w:szCs w:val="21"/>
                      <w:u w:val="none"/>
                    </w:rPr>
                  </w:pPr>
                  <w:r>
                    <w:rPr>
                      <w:color w:val="auto"/>
                      <w:sz w:val="21"/>
                      <w:szCs w:val="21"/>
                      <w:u w:val="none"/>
                    </w:rPr>
                    <w:t>2</w:t>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38530" cy="947420"/>
                        <wp:effectExtent l="0" t="0" r="13970" b="508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4"/>
                                <a:stretch>
                                  <a:fillRect/>
                                </a:stretch>
                              </pic:blipFill>
                              <pic:spPr>
                                <a:xfrm>
                                  <a:off x="0" y="0"/>
                                  <a:ext cx="938530" cy="947420"/>
                                </a:xfrm>
                                <a:prstGeom prst="rect">
                                  <a:avLst/>
                                </a:prstGeom>
                                <a:noFill/>
                                <a:ln>
                                  <a:noFill/>
                                </a:ln>
                              </pic:spPr>
                            </pic:pic>
                          </a:graphicData>
                        </a:graphic>
                      </wp:inline>
                    </w:drawing>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62025" cy="843915"/>
                        <wp:effectExtent l="0" t="0" r="9525" b="133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5"/>
                                <a:stretch>
                                  <a:fillRect/>
                                </a:stretch>
                              </pic:blipFill>
                              <pic:spPr>
                                <a:xfrm>
                                  <a:off x="0" y="0"/>
                                  <a:ext cx="962025" cy="843915"/>
                                </a:xfrm>
                                <a:prstGeom prst="rect">
                                  <a:avLst/>
                                </a:prstGeom>
                                <a:noFill/>
                                <a:ln>
                                  <a:noFill/>
                                </a:ln>
                              </pic:spPr>
                            </pic:pic>
                          </a:graphicData>
                        </a:graphic>
                      </wp:inline>
                    </w:drawing>
                  </w:r>
                </w:p>
              </w:tc>
              <w:tc>
                <w:tcPr>
                  <w:tcW w:w="852" w:type="pct"/>
                  <w:noWrap w:val="0"/>
                  <w:vAlign w:val="center"/>
                </w:tcPr>
                <w:p>
                  <w:pPr>
                    <w:pStyle w:val="40"/>
                    <w:rPr>
                      <w:color w:val="auto"/>
                      <w:sz w:val="21"/>
                      <w:szCs w:val="21"/>
                      <w:u w:val="none"/>
                    </w:rPr>
                  </w:pPr>
                  <w:r>
                    <w:rPr>
                      <w:color w:val="auto"/>
                      <w:sz w:val="21"/>
                      <w:szCs w:val="21"/>
                      <w:u w:val="none"/>
                    </w:rPr>
                    <w:t>废水排放口</w:t>
                  </w:r>
                </w:p>
              </w:tc>
              <w:tc>
                <w:tcPr>
                  <w:tcW w:w="1415" w:type="pct"/>
                  <w:noWrap w:val="0"/>
                  <w:vAlign w:val="center"/>
                </w:tcPr>
                <w:p>
                  <w:pPr>
                    <w:pStyle w:val="40"/>
                    <w:rPr>
                      <w:color w:val="auto"/>
                      <w:sz w:val="21"/>
                      <w:szCs w:val="21"/>
                      <w:u w:val="none"/>
                    </w:rPr>
                  </w:pPr>
                  <w:r>
                    <w:rPr>
                      <w:color w:val="auto"/>
                      <w:sz w:val="21"/>
                      <w:szCs w:val="21"/>
                      <w:u w:val="none"/>
                    </w:rPr>
                    <w:t>表示废水向水环境排放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40"/>
                    <w:rPr>
                      <w:color w:val="auto"/>
                      <w:sz w:val="21"/>
                      <w:szCs w:val="21"/>
                      <w:u w:val="none"/>
                    </w:rPr>
                  </w:pPr>
                  <w:r>
                    <w:rPr>
                      <w:color w:val="auto"/>
                      <w:sz w:val="21"/>
                      <w:szCs w:val="21"/>
                      <w:u w:val="none"/>
                    </w:rPr>
                    <w:t>3</w:t>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54405" cy="937260"/>
                        <wp:effectExtent l="0" t="0" r="17145" b="152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6"/>
                                <a:stretch>
                                  <a:fillRect/>
                                </a:stretch>
                              </pic:blipFill>
                              <pic:spPr>
                                <a:xfrm>
                                  <a:off x="0" y="0"/>
                                  <a:ext cx="954405" cy="937260"/>
                                </a:xfrm>
                                <a:prstGeom prst="rect">
                                  <a:avLst/>
                                </a:prstGeom>
                                <a:noFill/>
                                <a:ln>
                                  <a:noFill/>
                                </a:ln>
                              </pic:spPr>
                            </pic:pic>
                          </a:graphicData>
                        </a:graphic>
                      </wp:inline>
                    </w:drawing>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52500" cy="839470"/>
                        <wp:effectExtent l="0" t="0" r="0" b="1778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7"/>
                                <a:stretch>
                                  <a:fillRect/>
                                </a:stretch>
                              </pic:blipFill>
                              <pic:spPr>
                                <a:xfrm>
                                  <a:off x="0" y="0"/>
                                  <a:ext cx="952500" cy="839470"/>
                                </a:xfrm>
                                <a:prstGeom prst="rect">
                                  <a:avLst/>
                                </a:prstGeom>
                                <a:noFill/>
                                <a:ln>
                                  <a:noFill/>
                                </a:ln>
                              </pic:spPr>
                            </pic:pic>
                          </a:graphicData>
                        </a:graphic>
                      </wp:inline>
                    </w:drawing>
                  </w:r>
                </w:p>
              </w:tc>
              <w:tc>
                <w:tcPr>
                  <w:tcW w:w="852" w:type="pct"/>
                  <w:noWrap w:val="0"/>
                  <w:vAlign w:val="center"/>
                </w:tcPr>
                <w:p>
                  <w:pPr>
                    <w:pStyle w:val="40"/>
                    <w:rPr>
                      <w:color w:val="auto"/>
                      <w:sz w:val="21"/>
                      <w:szCs w:val="21"/>
                      <w:u w:val="none"/>
                    </w:rPr>
                  </w:pPr>
                  <w:r>
                    <w:rPr>
                      <w:color w:val="auto"/>
                      <w:sz w:val="21"/>
                      <w:szCs w:val="21"/>
                      <w:u w:val="none"/>
                    </w:rPr>
                    <w:t>一般固体废物储存</w:t>
                  </w:r>
                </w:p>
              </w:tc>
              <w:tc>
                <w:tcPr>
                  <w:tcW w:w="1415" w:type="pct"/>
                  <w:noWrap w:val="0"/>
                  <w:vAlign w:val="center"/>
                </w:tcPr>
                <w:p>
                  <w:pPr>
                    <w:pStyle w:val="40"/>
                    <w:rPr>
                      <w:color w:val="auto"/>
                      <w:sz w:val="21"/>
                      <w:szCs w:val="21"/>
                      <w:u w:val="none"/>
                    </w:rPr>
                  </w:pPr>
                  <w:r>
                    <w:rPr>
                      <w:color w:val="auto"/>
                      <w:sz w:val="21"/>
                      <w:szCs w:val="21"/>
                      <w:u w:val="none"/>
                    </w:rPr>
                    <w:t>表示固废储存处置场所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426" w:type="pct"/>
                  <w:noWrap w:val="0"/>
                  <w:vAlign w:val="center"/>
                </w:tcPr>
                <w:p>
                  <w:pPr>
                    <w:pStyle w:val="40"/>
                    <w:rPr>
                      <w:color w:val="auto"/>
                      <w:sz w:val="21"/>
                      <w:szCs w:val="21"/>
                      <w:u w:val="none"/>
                    </w:rPr>
                  </w:pPr>
                  <w:r>
                    <w:rPr>
                      <w:color w:val="auto"/>
                      <w:sz w:val="21"/>
                      <w:szCs w:val="21"/>
                      <w:u w:val="none"/>
                    </w:rPr>
                    <w:t>4</w:t>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54405" cy="954405"/>
                        <wp:effectExtent l="0" t="0" r="17145" b="1714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38"/>
                                <a:stretch>
                                  <a:fillRect/>
                                </a:stretch>
                              </pic:blipFill>
                              <pic:spPr>
                                <a:xfrm>
                                  <a:off x="0" y="0"/>
                                  <a:ext cx="954405" cy="954405"/>
                                </a:xfrm>
                                <a:prstGeom prst="rect">
                                  <a:avLst/>
                                </a:prstGeom>
                                <a:noFill/>
                                <a:ln>
                                  <a:noFill/>
                                </a:ln>
                              </pic:spPr>
                            </pic:pic>
                          </a:graphicData>
                        </a:graphic>
                      </wp:inline>
                    </w:drawing>
                  </w:r>
                </w:p>
              </w:tc>
              <w:tc>
                <w:tcPr>
                  <w:tcW w:w="1152" w:type="pct"/>
                  <w:noWrap w:val="0"/>
                  <w:vAlign w:val="center"/>
                </w:tcPr>
                <w:p>
                  <w:pPr>
                    <w:pStyle w:val="40"/>
                    <w:rPr>
                      <w:color w:val="auto"/>
                      <w:sz w:val="21"/>
                      <w:szCs w:val="21"/>
                      <w:u w:val="none"/>
                    </w:rPr>
                  </w:pPr>
                  <w:r>
                    <w:rPr>
                      <w:color w:val="auto"/>
                      <w:sz w:val="21"/>
                      <w:szCs w:val="21"/>
                      <w:u w:val="none"/>
                    </w:rPr>
                    <w:drawing>
                      <wp:inline distT="0" distB="0" distL="114300" distR="114300">
                        <wp:extent cx="952500" cy="838200"/>
                        <wp:effectExtent l="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39"/>
                                <a:stretch>
                                  <a:fillRect/>
                                </a:stretch>
                              </pic:blipFill>
                              <pic:spPr>
                                <a:xfrm>
                                  <a:off x="0" y="0"/>
                                  <a:ext cx="952500" cy="838200"/>
                                </a:xfrm>
                                <a:prstGeom prst="rect">
                                  <a:avLst/>
                                </a:prstGeom>
                                <a:noFill/>
                                <a:ln>
                                  <a:noFill/>
                                </a:ln>
                              </pic:spPr>
                            </pic:pic>
                          </a:graphicData>
                        </a:graphic>
                      </wp:inline>
                    </w:drawing>
                  </w:r>
                </w:p>
              </w:tc>
              <w:tc>
                <w:tcPr>
                  <w:tcW w:w="852" w:type="pct"/>
                  <w:noWrap w:val="0"/>
                  <w:vAlign w:val="center"/>
                </w:tcPr>
                <w:p>
                  <w:pPr>
                    <w:pStyle w:val="40"/>
                    <w:rPr>
                      <w:color w:val="auto"/>
                      <w:sz w:val="21"/>
                      <w:szCs w:val="21"/>
                      <w:u w:val="none"/>
                    </w:rPr>
                  </w:pPr>
                  <w:r>
                    <w:rPr>
                      <w:color w:val="auto"/>
                      <w:sz w:val="21"/>
                      <w:szCs w:val="21"/>
                      <w:u w:val="none"/>
                    </w:rPr>
                    <w:t>噪声源</w:t>
                  </w:r>
                </w:p>
              </w:tc>
              <w:tc>
                <w:tcPr>
                  <w:tcW w:w="1415" w:type="pct"/>
                  <w:noWrap w:val="0"/>
                  <w:vAlign w:val="center"/>
                </w:tcPr>
                <w:p>
                  <w:pPr>
                    <w:pStyle w:val="40"/>
                    <w:rPr>
                      <w:color w:val="auto"/>
                      <w:sz w:val="21"/>
                      <w:szCs w:val="21"/>
                      <w:u w:val="none"/>
                    </w:rPr>
                  </w:pPr>
                  <w:r>
                    <w:rPr>
                      <w:color w:val="auto"/>
                      <w:sz w:val="21"/>
                      <w:szCs w:val="21"/>
                      <w:u w:val="none"/>
                    </w:rPr>
                    <w:t>表示噪声向外环境排放</w:t>
                  </w:r>
                </w:p>
              </w:tc>
            </w:tr>
          </w:tbl>
          <w:p>
            <w:pPr>
              <w:pStyle w:val="40"/>
              <w:spacing w:before="120" w:beforeLines="50" w:line="360" w:lineRule="auto"/>
              <w:jc w:val="both"/>
              <w:rPr>
                <w:b/>
                <w:bCs w:val="0"/>
                <w:color w:val="auto"/>
                <w:sz w:val="21"/>
                <w:szCs w:val="21"/>
                <w:u w:val="none"/>
              </w:rPr>
            </w:pPr>
            <w:r>
              <w:rPr>
                <w:b/>
                <w:bCs w:val="0"/>
                <w:color w:val="auto"/>
                <w:sz w:val="21"/>
                <w:szCs w:val="21"/>
                <w:u w:val="none"/>
              </w:rPr>
              <w:t>3、竣工验收</w:t>
            </w:r>
          </w:p>
          <w:p>
            <w:pPr>
              <w:pStyle w:val="40"/>
              <w:spacing w:line="360" w:lineRule="auto"/>
              <w:ind w:firstLine="420" w:firstLineChars="200"/>
              <w:jc w:val="both"/>
              <w:rPr>
                <w:color w:val="auto"/>
                <w:sz w:val="21"/>
                <w:szCs w:val="21"/>
                <w:highlight w:val="none"/>
                <w:u w:val="none"/>
              </w:rPr>
            </w:pPr>
            <w:r>
              <w:rPr>
                <w:color w:val="auto"/>
                <w:sz w:val="21"/>
                <w:szCs w:val="21"/>
                <w:u w:val="none"/>
              </w:rPr>
              <w:t>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p>
            <w:pPr>
              <w:pStyle w:val="55"/>
              <w:bidi w:val="0"/>
              <w:jc w:val="left"/>
              <w:rPr>
                <w:color w:val="auto"/>
                <w:sz w:val="21"/>
                <w:szCs w:val="21"/>
                <w:highlight w:val="none"/>
                <w:u w:val="none"/>
              </w:rPr>
            </w:pPr>
          </w:p>
        </w:tc>
      </w:tr>
    </w:tbl>
    <w:p>
      <w:pPr>
        <w:pStyle w:val="61"/>
        <w:bidi w:val="0"/>
        <w:outlineLvl w:val="9"/>
        <w:rPr>
          <w:rFonts w:hint="eastAsia"/>
          <w:color w:val="auto"/>
          <w:highlight w:val="none"/>
          <w:u w:val="none"/>
          <w:lang w:val="en-US" w:eastAsia="zh-CN"/>
        </w:rPr>
        <w:sectPr>
          <w:pgSz w:w="11906" w:h="16838"/>
          <w:pgMar w:top="1440" w:right="1080" w:bottom="1440" w:left="1080" w:header="851" w:footer="992" w:gutter="0"/>
          <w:pgNumType w:fmt="decimal"/>
          <w:cols w:space="425" w:num="1"/>
          <w:docGrid w:type="lines" w:linePitch="312" w:charSpace="0"/>
        </w:sectPr>
      </w:pPr>
    </w:p>
    <w:p>
      <w:pPr>
        <w:pStyle w:val="61"/>
        <w:bidi w:val="0"/>
        <w:rPr>
          <w:rFonts w:hint="default"/>
          <w:color w:val="auto"/>
          <w:highlight w:val="none"/>
          <w:u w:val="none"/>
          <w:vertAlign w:val="baseline"/>
          <w:lang w:val="en-US" w:eastAsia="zh-CN"/>
        </w:rPr>
      </w:pPr>
      <w:bookmarkStart w:id="73" w:name="_Toc32091"/>
      <w:r>
        <w:rPr>
          <w:rFonts w:hint="eastAsia"/>
          <w:color w:val="auto"/>
          <w:highlight w:val="none"/>
          <w:u w:val="none"/>
          <w:lang w:val="en-US" w:eastAsia="zh-CN"/>
        </w:rPr>
        <w:t>六、结论</w:t>
      </w:r>
      <w:bookmarkEnd w:id="7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9" w:hRule="atLeast"/>
        </w:trPr>
        <w:tc>
          <w:tcPr>
            <w:tcW w:w="9962" w:type="dxa"/>
            <w:vAlign w:val="top"/>
          </w:tcPr>
          <w:p>
            <w:pPr>
              <w:spacing w:line="360" w:lineRule="auto"/>
              <w:ind w:firstLine="480" w:firstLineChars="200"/>
              <w:rPr>
                <w:rFonts w:hint="default"/>
                <w:color w:val="auto"/>
                <w:highlight w:val="none"/>
                <w:u w:val="none"/>
                <w:vertAlign w:val="baseline"/>
                <w:lang w:val="en-US" w:eastAsia="zh-CN"/>
              </w:rPr>
            </w:pPr>
            <w:r>
              <w:rPr>
                <w:color w:val="auto"/>
                <w:kern w:val="0"/>
                <w:sz w:val="24"/>
                <w:szCs w:val="24"/>
                <w:u w:val="none"/>
                <w:lang w:bidi="ar"/>
              </w:rPr>
              <w:t>根据上述分析，该项目的建设有利于当地的经济发展，有一定的经济效益和社会效益。在切实落实本评价提出的各项有关环保措施，并确保各种治理设施正常运转的前提下，本项目对周围环境质量的影响不大，对周边环境敏感点不会带来不良影响，故本项目的选址及建设从环境保护角度分析是可行的。在上述前提条件下，本项目的建设不会对周边环境造成大的影响。因此，</w:t>
            </w:r>
            <w:r>
              <w:rPr>
                <w:rFonts w:hint="eastAsia"/>
                <w:color w:val="auto"/>
                <w:sz w:val="24"/>
                <w:szCs w:val="24"/>
                <w:u w:val="none"/>
              </w:rPr>
              <w:t>本项目建设从环境保护角度而言是可行</w:t>
            </w:r>
            <w:r>
              <w:rPr>
                <w:color w:val="auto"/>
                <w:kern w:val="0"/>
                <w:sz w:val="24"/>
                <w:szCs w:val="24"/>
                <w:u w:val="none"/>
                <w:lang w:bidi="ar"/>
              </w:rPr>
              <w:t>。</w:t>
            </w:r>
          </w:p>
        </w:tc>
      </w:tr>
    </w:tbl>
    <w:p>
      <w:pPr>
        <w:pStyle w:val="62"/>
        <w:bidi w:val="0"/>
        <w:rPr>
          <w:rFonts w:hint="eastAsia"/>
          <w:b/>
          <w:bCs/>
          <w:color w:val="auto"/>
          <w:sz w:val="28"/>
          <w:szCs w:val="28"/>
          <w:highlight w:val="none"/>
          <w:u w:val="none"/>
          <w:lang w:val="en-US" w:eastAsia="zh-CN"/>
        </w:rPr>
        <w:sectPr>
          <w:pgSz w:w="11906" w:h="16838"/>
          <w:pgMar w:top="1440" w:right="1800" w:bottom="1440" w:left="1800" w:header="851" w:footer="992" w:gutter="0"/>
          <w:pgNumType w:fmt="decimal"/>
          <w:cols w:space="425" w:num="1"/>
          <w:docGrid w:type="lines" w:linePitch="312" w:charSpace="0"/>
        </w:sectPr>
      </w:pPr>
    </w:p>
    <w:p>
      <w:pPr>
        <w:pStyle w:val="25"/>
        <w:adjustRightInd w:val="0"/>
        <w:snapToGrid w:val="0"/>
        <w:spacing w:before="0" w:beforeAutospacing="0" w:after="0" w:afterAutospacing="0" w:line="360" w:lineRule="auto"/>
        <w:outlineLvl w:val="0"/>
        <w:rPr>
          <w:rFonts w:hint="eastAsia" w:ascii="黑体" w:hAnsi="黑体" w:eastAsia="黑体" w:cs="Times New Roman"/>
          <w:snapToGrid w:val="0"/>
          <w:color w:val="auto"/>
          <w:sz w:val="32"/>
          <w:szCs w:val="32"/>
          <w:u w:val="none" w:color="auto"/>
          <w:lang w:val="en-US" w:eastAsia="zh-CN"/>
        </w:rPr>
      </w:pPr>
      <w:bookmarkStart w:id="74" w:name="_Toc24391"/>
      <w:r>
        <w:rPr>
          <w:rFonts w:hint="eastAsia" w:ascii="黑体" w:hAnsi="黑体" w:eastAsia="黑体" w:cs="Times New Roman"/>
          <w:snapToGrid w:val="0"/>
          <w:color w:val="auto"/>
          <w:sz w:val="32"/>
          <w:szCs w:val="32"/>
          <w:u w:val="none" w:color="auto"/>
          <w:lang w:val="en-US" w:eastAsia="zh-CN"/>
        </w:rPr>
        <w:t>附表</w:t>
      </w:r>
      <w:bookmarkEnd w:id="74"/>
    </w:p>
    <w:p>
      <w:pPr>
        <w:pStyle w:val="25"/>
        <w:adjustRightInd w:val="0"/>
        <w:snapToGrid w:val="0"/>
        <w:spacing w:before="0" w:beforeAutospacing="0" w:after="0" w:afterAutospacing="0" w:line="360" w:lineRule="auto"/>
        <w:jc w:val="center"/>
        <w:outlineLvl w:val="0"/>
        <w:rPr>
          <w:rFonts w:hint="default" w:ascii="方正小标宋_GBK" w:hAnsi="黑体" w:eastAsia="方正小标宋_GBK" w:cs="Times New Roman"/>
          <w:snapToGrid w:val="0"/>
          <w:color w:val="auto"/>
          <w:sz w:val="38"/>
          <w:szCs w:val="38"/>
          <w:highlight w:val="none"/>
          <w:u w:val="none" w:color="auto"/>
          <w:lang w:val="en-US" w:eastAsia="zh-CN"/>
        </w:rPr>
      </w:pPr>
      <w:bookmarkStart w:id="75" w:name="_Toc6044"/>
      <w:bookmarkStart w:id="76" w:name="_Toc27271"/>
      <w:r>
        <w:rPr>
          <w:rFonts w:hint="default" w:ascii="方正小标宋_GBK" w:hAnsi="黑体" w:eastAsia="方正小标宋_GBK" w:cs="Times New Roman"/>
          <w:snapToGrid w:val="0"/>
          <w:color w:val="auto"/>
          <w:sz w:val="38"/>
          <w:szCs w:val="38"/>
          <w:highlight w:val="none"/>
          <w:u w:val="none" w:color="auto"/>
          <w:lang w:val="en-US" w:eastAsia="zh-CN"/>
        </w:rPr>
        <w:t>建设项目污染物排放量汇总表</w:t>
      </w:r>
      <w:bookmarkEnd w:id="75"/>
      <w:bookmarkEnd w:id="76"/>
    </w:p>
    <w:tbl>
      <w:tblPr>
        <w:tblStyle w:val="2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585"/>
        <w:gridCol w:w="1701"/>
        <w:gridCol w:w="1268"/>
        <w:gridCol w:w="1709"/>
        <w:gridCol w:w="1559"/>
        <w:gridCol w:w="1761"/>
        <w:gridCol w:w="1558"/>
        <w:gridCol w:w="1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420" w:type="dxa"/>
            <w:tcBorders>
              <w:tl2br w:val="single" w:color="auto" w:sz="4" w:space="0"/>
            </w:tcBorders>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项目</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分类</w:t>
            </w:r>
          </w:p>
        </w:tc>
        <w:tc>
          <w:tcPr>
            <w:tcW w:w="1585"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污染物名称</w:t>
            </w:r>
          </w:p>
        </w:tc>
        <w:tc>
          <w:tcPr>
            <w:tcW w:w="1701"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现有工程</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排放量（固体废物产生量）</w:t>
            </w: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1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①</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c>
          <w:tcPr>
            <w:tcW w:w="1268"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现有工程</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许可排放量</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2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②</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c>
          <w:tcPr>
            <w:tcW w:w="1709"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在建工程</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排放量（固体废物产生量）</w:t>
            </w: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3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③</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c>
          <w:tcPr>
            <w:tcW w:w="1559"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本项目</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排放量（固体废物产生量）</w:t>
            </w: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4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④</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c>
          <w:tcPr>
            <w:tcW w:w="1761"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以新带老削减量</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（新建项目不填）</w:t>
            </w: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5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⑤</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c>
          <w:tcPr>
            <w:tcW w:w="1558"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本项目建成后</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全厂排放量（固体废物产生量）</w:t>
            </w: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6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⑥</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c>
          <w:tcPr>
            <w:tcW w:w="1227" w:type="dxa"/>
            <w:noWrap w:val="0"/>
            <w:tcMar>
              <w:left w:w="28" w:type="dxa"/>
              <w:right w:w="28" w:type="dxa"/>
            </w:tcMar>
            <w:vAlign w:val="center"/>
          </w:tcPr>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t>变化量</w:t>
            </w:r>
          </w:p>
          <w:p>
            <w:pPr>
              <w:pStyle w:val="45"/>
              <w:widowControl w:val="0"/>
              <w:snapToGrid w:val="0"/>
              <w:spacing w:beforeLines="0" w:afterLines="0" w:line="240" w:lineRule="auto"/>
              <w:ind w:firstLine="0"/>
              <w:rPr>
                <w:rFonts w:ascii="Times New Roman" w:hAnsi="Times New Roman" w:eastAsia="黑体" w:cs="Times New Roman"/>
                <w:snapToGrid w:val="0"/>
                <w:color w:val="auto"/>
                <w:spacing w:val="-6"/>
                <w:kern w:val="21"/>
                <w:szCs w:val="21"/>
                <w:highlight w:val="none"/>
                <w:u w:val="none" w:color="auto"/>
                <w:lang w:val="en-US" w:eastAsia="zh-CN"/>
              </w:rPr>
            </w:pPr>
            <w:r>
              <w:rPr>
                <w:rFonts w:ascii="Times New Roman" w:hAnsi="Times New Roman" w:eastAsia="黑体" w:cs="Times New Roman"/>
                <w:snapToGrid w:val="0"/>
                <w:color w:val="auto"/>
                <w:spacing w:val="-6"/>
                <w:kern w:val="21"/>
                <w:szCs w:val="21"/>
                <w:highlight w:val="none"/>
                <w:u w:val="none" w:color="auto"/>
                <w:lang w:val="en-US" w:eastAsia="zh-CN"/>
              </w:rPr>
              <w:fldChar w:fldCharType="begin"/>
            </w:r>
            <w:r>
              <w:rPr>
                <w:rFonts w:ascii="Times New Roman" w:hAnsi="Times New Roman" w:eastAsia="黑体" w:cs="Times New Roman"/>
                <w:snapToGrid w:val="0"/>
                <w:color w:val="auto"/>
                <w:spacing w:val="-6"/>
                <w:kern w:val="21"/>
                <w:szCs w:val="21"/>
                <w:highlight w:val="none"/>
                <w:u w:val="none" w:color="auto"/>
                <w:lang w:val="en-US" w:eastAsia="zh-CN"/>
              </w:rPr>
              <w:instrText xml:space="preserve"> = 7 \* GB3 \* MERGEFORMAT </w:instrText>
            </w:r>
            <w:r>
              <w:rPr>
                <w:rFonts w:ascii="Times New Roman" w:hAnsi="Times New Roman" w:eastAsia="黑体" w:cs="Times New Roman"/>
                <w:snapToGrid w:val="0"/>
                <w:color w:val="auto"/>
                <w:spacing w:val="-6"/>
                <w:kern w:val="21"/>
                <w:szCs w:val="21"/>
                <w:highlight w:val="none"/>
                <w:u w:val="none" w:color="auto"/>
                <w:lang w:val="en-US" w:eastAsia="zh-CN"/>
              </w:rPr>
              <w:fldChar w:fldCharType="separate"/>
            </w:r>
            <w:r>
              <w:rPr>
                <w:rFonts w:ascii="Times New Roman" w:hAnsi="Times New Roman" w:eastAsia="黑体" w:cs="Times New Roman"/>
                <w:snapToGrid w:val="0"/>
                <w:color w:val="auto"/>
                <w:spacing w:val="-6"/>
                <w:kern w:val="21"/>
                <w:szCs w:val="21"/>
                <w:highlight w:val="none"/>
                <w:u w:val="none" w:color="auto"/>
                <w:lang w:val="en-US" w:eastAsia="zh-CN"/>
              </w:rPr>
              <w:t>⑦</w:t>
            </w:r>
            <w:r>
              <w:rPr>
                <w:rFonts w:ascii="Times New Roman" w:hAnsi="Times New Roman" w:eastAsia="黑体" w:cs="Times New Roman"/>
                <w:snapToGrid w:val="0"/>
                <w:color w:val="auto"/>
                <w:spacing w:val="-6"/>
                <w:kern w:val="21"/>
                <w:szCs w:val="21"/>
                <w:highlight w:val="none"/>
                <w:u w:val="none" w:color="auto"/>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restart"/>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r>
              <w:rPr>
                <w:rFonts w:ascii="Times New Roman" w:hAnsi="Times New Roman" w:eastAsia="宋体" w:cs="Times New Roman"/>
                <w:color w:val="auto"/>
                <w:sz w:val="21"/>
                <w:szCs w:val="21"/>
                <w:highlight w:val="none"/>
                <w:u w:val="none" w:color="auto"/>
                <w:lang w:val="en-US" w:eastAsia="zh-CN" w:bidi="ar"/>
              </w:rPr>
              <w:t>废气</w:t>
            </w:r>
          </w:p>
        </w:tc>
        <w:tc>
          <w:tcPr>
            <w:tcW w:w="1585" w:type="dxa"/>
            <w:noWrap w:val="0"/>
            <w:vAlign w:val="center"/>
          </w:tcPr>
          <w:p>
            <w:pPr>
              <w:pStyle w:val="55"/>
              <w:bidi w:val="0"/>
              <w:spacing w:line="240" w:lineRule="auto"/>
              <w:jc w:val="center"/>
              <w:rPr>
                <w:rFonts w:hint="eastAsia"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2"/>
                <w:sz w:val="21"/>
                <w:szCs w:val="21"/>
                <w:highlight w:val="none"/>
                <w:u w:val="single" w:color="auto"/>
                <w:lang w:val="en-US" w:eastAsia="zh-CN" w:bidi="ar"/>
              </w:rPr>
              <w:t>硫酸雾</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r>
              <w:rPr>
                <w:rFonts w:hint="eastAsia" w:cs="Times New Roman"/>
                <w:i w:val="0"/>
                <w:iCs w:val="0"/>
                <w:color w:val="auto"/>
                <w:kern w:val="0"/>
                <w:sz w:val="21"/>
                <w:szCs w:val="21"/>
                <w:highlight w:val="none"/>
                <w:u w:val="single" w:color="auto"/>
                <w:lang w:val="en-US" w:eastAsia="zh-CN" w:bidi="ar"/>
              </w:rPr>
              <w:t>4408</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r>
              <w:rPr>
                <w:rFonts w:hint="eastAsia" w:cs="Times New Roman"/>
                <w:i w:val="0"/>
                <w:iCs w:val="0"/>
                <w:color w:val="auto"/>
                <w:kern w:val="0"/>
                <w:sz w:val="21"/>
                <w:szCs w:val="21"/>
                <w:highlight w:val="none"/>
                <w:u w:val="single" w:color="auto"/>
                <w:lang w:val="en-US" w:eastAsia="zh-CN" w:bidi="ar"/>
              </w:rPr>
              <w:t>16404</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60484</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16404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55"/>
              <w:bidi w:val="0"/>
              <w:spacing w:line="240" w:lineRule="auto"/>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2"/>
                <w:sz w:val="21"/>
                <w:szCs w:val="21"/>
                <w:highlight w:val="none"/>
                <w:u w:val="single" w:color="auto"/>
                <w:lang w:val="en-US" w:eastAsia="zh-CN" w:bidi="ar"/>
              </w:rPr>
              <w:t>颗粒物</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1.434</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1.434</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spacing w:line="240" w:lineRule="auto"/>
              <w:jc w:val="center"/>
              <w:rPr>
                <w:rFonts w:hint="eastAsia"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2"/>
                <w:sz w:val="21"/>
                <w:szCs w:val="21"/>
                <w:highlight w:val="none"/>
                <w:u w:val="single" w:color="auto"/>
                <w:lang w:val="en-US" w:eastAsia="zh-CN" w:bidi="ar"/>
              </w:rPr>
              <w:t>非甲烷总烃</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none"/>
                <w:lang w:val="en-US" w:eastAsia="zh-CN" w:bidi="ar"/>
              </w:rPr>
              <w:t>2.04</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none"/>
                <w:lang w:val="en-US" w:eastAsia="zh-CN" w:bidi="ar"/>
              </w:rPr>
              <w:t>2.04</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eastAsia" w:cs="Times New Roman"/>
                <w:i w:val="0"/>
                <w:iCs w:val="0"/>
                <w:color w:val="auto"/>
                <w:kern w:val="0"/>
                <w:sz w:val="21"/>
                <w:szCs w:val="21"/>
                <w:highlight w:val="none"/>
                <w:u w:val="none"/>
                <w:lang w:val="en-US" w:eastAsia="zh-CN" w:bidi="ar"/>
              </w:rPr>
              <w:t>2.04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adjustRightInd w:val="0"/>
              <w:snapToGrid w:val="0"/>
              <w:jc w:val="center"/>
              <w:rPr>
                <w:rFonts w:hint="eastAsia" w:cs="Times New Roman"/>
                <w:bCs/>
                <w:color w:val="auto"/>
                <w:kern w:val="2"/>
                <w:sz w:val="21"/>
                <w:szCs w:val="21"/>
                <w:highlight w:val="none"/>
                <w:u w:val="single" w:color="auto"/>
                <w:lang w:val="en-US" w:eastAsia="zh-CN" w:bidi="ar"/>
              </w:rPr>
            </w:pPr>
            <w:r>
              <w:rPr>
                <w:rFonts w:hint="eastAsia" w:cs="Times New Roman"/>
                <w:color w:val="auto"/>
                <w:szCs w:val="21"/>
                <w:highlight w:val="none"/>
                <w:u w:val="single" w:color="auto"/>
                <w:lang w:val="en-US" w:eastAsia="zh-CN"/>
              </w:rPr>
              <w:t>苯</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0.41</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0.41</w:t>
            </w:r>
          </w:p>
        </w:tc>
        <w:tc>
          <w:tcPr>
            <w:tcW w:w="122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adjustRightInd w:val="0"/>
              <w:snapToGrid w:val="0"/>
              <w:jc w:val="center"/>
              <w:rPr>
                <w:rFonts w:hint="eastAsia" w:cs="Times New Roman"/>
                <w:bCs/>
                <w:color w:val="auto"/>
                <w:kern w:val="2"/>
                <w:sz w:val="21"/>
                <w:szCs w:val="21"/>
                <w:highlight w:val="none"/>
                <w:u w:val="single" w:color="auto"/>
                <w:lang w:val="en-US" w:eastAsia="zh-CN" w:bidi="ar"/>
              </w:rPr>
            </w:pPr>
            <w:r>
              <w:rPr>
                <w:rFonts w:hint="eastAsia" w:cs="Times New Roman"/>
                <w:color w:val="auto"/>
                <w:szCs w:val="21"/>
                <w:highlight w:val="none"/>
                <w:u w:val="single" w:color="auto"/>
                <w:lang w:val="en-US" w:eastAsia="zh-CN"/>
              </w:rPr>
              <w:t>甲苯</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0.207</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0.207</w:t>
            </w:r>
          </w:p>
        </w:tc>
        <w:tc>
          <w:tcPr>
            <w:tcW w:w="122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0.207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adjustRightInd w:val="0"/>
              <w:snapToGrid w:val="0"/>
              <w:jc w:val="center"/>
              <w:rPr>
                <w:rFonts w:hint="eastAsia" w:cs="Times New Roman"/>
                <w:bCs/>
                <w:color w:val="auto"/>
                <w:kern w:val="2"/>
                <w:sz w:val="21"/>
                <w:szCs w:val="21"/>
                <w:highlight w:val="none"/>
                <w:u w:val="single" w:color="auto"/>
                <w:lang w:val="en-US" w:eastAsia="zh-CN" w:bidi="ar"/>
              </w:rPr>
            </w:pPr>
            <w:r>
              <w:rPr>
                <w:rFonts w:hint="eastAsia" w:cs="Times New Roman"/>
                <w:color w:val="auto"/>
                <w:szCs w:val="21"/>
                <w:highlight w:val="none"/>
                <w:u w:val="single" w:color="auto"/>
                <w:lang w:val="en-US" w:eastAsia="zh-CN"/>
              </w:rPr>
              <w:t>二甲苯</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1.216</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1.216</w:t>
            </w:r>
          </w:p>
        </w:tc>
        <w:tc>
          <w:tcPr>
            <w:tcW w:w="122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1.216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adjustRightInd w:val="0"/>
              <w:snapToGrid w:val="0"/>
              <w:jc w:val="center"/>
              <w:rPr>
                <w:rFonts w:hint="eastAsia" w:cs="Times New Roman"/>
                <w:bCs/>
                <w:color w:val="auto"/>
                <w:kern w:val="2"/>
                <w:sz w:val="21"/>
                <w:szCs w:val="21"/>
                <w:highlight w:val="none"/>
                <w:u w:val="single" w:color="auto"/>
                <w:lang w:val="en-US" w:eastAsia="zh-CN" w:bidi="ar"/>
              </w:rPr>
            </w:pPr>
            <w:r>
              <w:rPr>
                <w:rFonts w:hint="eastAsia" w:cs="Times New Roman"/>
                <w:color w:val="auto"/>
                <w:szCs w:val="21"/>
                <w:highlight w:val="none"/>
                <w:u w:val="single" w:color="auto"/>
                <w:lang w:val="en-US" w:eastAsia="zh-CN"/>
              </w:rPr>
              <w:t>乙苯</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0.079</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0.079</w:t>
            </w:r>
          </w:p>
        </w:tc>
        <w:tc>
          <w:tcPr>
            <w:tcW w:w="122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adjustRightInd w:val="0"/>
              <w:snapToGrid w:val="0"/>
              <w:jc w:val="center"/>
              <w:rPr>
                <w:rFonts w:hint="eastAsia" w:cs="Times New Roman"/>
                <w:bCs/>
                <w:color w:val="auto"/>
                <w:kern w:val="2"/>
                <w:sz w:val="21"/>
                <w:szCs w:val="21"/>
                <w:highlight w:val="none"/>
                <w:u w:val="single" w:color="auto"/>
                <w:lang w:val="en-US" w:eastAsia="zh-CN" w:bidi="ar"/>
              </w:rPr>
            </w:pPr>
            <w:r>
              <w:rPr>
                <w:rFonts w:hint="eastAsia" w:cs="Times New Roman"/>
                <w:color w:val="auto"/>
                <w:szCs w:val="21"/>
                <w:highlight w:val="none"/>
                <w:u w:val="single" w:color="auto"/>
                <w:lang w:val="en-US" w:eastAsia="zh-CN"/>
              </w:rPr>
              <w:t>苯乙烯</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0.068</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0.068</w:t>
            </w:r>
          </w:p>
        </w:tc>
        <w:tc>
          <w:tcPr>
            <w:tcW w:w="122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adjustRightInd w:val="0"/>
              <w:snapToGrid w:val="0"/>
              <w:jc w:val="center"/>
              <w:rPr>
                <w:rFonts w:hint="eastAsia" w:cs="Times New Roman"/>
                <w:color w:val="auto"/>
                <w:szCs w:val="21"/>
                <w:highlight w:val="none"/>
                <w:u w:val="single" w:color="auto"/>
                <w:lang w:val="en-US" w:eastAsia="zh-CN"/>
              </w:rPr>
            </w:pPr>
            <w:r>
              <w:rPr>
                <w:rFonts w:hint="eastAsia" w:cs="Times New Roman"/>
                <w:color w:val="auto"/>
                <w:szCs w:val="21"/>
                <w:highlight w:val="none"/>
                <w:u w:val="single" w:color="auto"/>
                <w:lang w:val="en-US" w:eastAsia="zh-CN"/>
              </w:rPr>
              <w:t>氨</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122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s="Times New Roman"/>
                <w:color w:val="auto"/>
                <w:szCs w:val="21"/>
                <w:highlight w:val="none"/>
                <w:u w:val="single" w:color="auto"/>
                <w:lang w:val="en-US" w:eastAsia="zh-CN"/>
              </w:rPr>
            </w:pPr>
            <w:r>
              <w:rPr>
                <w:rFonts w:hint="eastAsia" w:ascii="宋体" w:hAnsi="宋体" w:eastAsia="宋体" w:cs="宋体"/>
                <w:color w:val="auto"/>
                <w:kern w:val="2"/>
                <w:sz w:val="21"/>
                <w:szCs w:val="21"/>
                <w:highlight w:val="none"/>
                <w:u w:val="single"/>
                <w:lang w:val="en-US" w:eastAsia="zh-CN" w:bidi="ar"/>
              </w:rPr>
              <w:t>二氧化硫</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0.57</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0.57</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s="Times New Roman"/>
                <w:color w:val="auto"/>
                <w:szCs w:val="21"/>
                <w:highlight w:val="none"/>
                <w:u w:val="single" w:color="auto"/>
                <w:lang w:val="en-US" w:eastAsia="zh-CN"/>
              </w:rPr>
            </w:pPr>
            <w:r>
              <w:rPr>
                <w:rFonts w:hint="eastAsia" w:ascii="宋体" w:hAnsi="宋体" w:eastAsia="宋体" w:cs="宋体"/>
                <w:color w:val="auto"/>
                <w:kern w:val="2"/>
                <w:sz w:val="21"/>
                <w:szCs w:val="21"/>
                <w:highlight w:val="none"/>
                <w:u w:val="single"/>
                <w:lang w:val="en-US" w:eastAsia="zh-CN" w:bidi="ar"/>
              </w:rPr>
              <w:t>氮氧化物</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0.81</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0.81</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s="Times New Roman"/>
                <w:color w:val="auto"/>
                <w:szCs w:val="21"/>
                <w:highlight w:val="none"/>
                <w:u w:val="single" w:color="auto"/>
                <w:lang w:val="en-US" w:eastAsia="zh-CN"/>
              </w:rPr>
            </w:pPr>
            <w:r>
              <w:rPr>
                <w:rFonts w:hint="eastAsia" w:ascii="宋体" w:hAnsi="宋体" w:cs="宋体"/>
                <w:color w:val="auto"/>
                <w:kern w:val="2"/>
                <w:sz w:val="21"/>
                <w:szCs w:val="21"/>
                <w:highlight w:val="none"/>
                <w:u w:val="single"/>
                <w:lang w:val="en-US" w:eastAsia="zh-CN" w:bidi="ar"/>
              </w:rPr>
              <w:t>烟尘</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0.12</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bCs/>
                <w:color w:val="auto"/>
                <w:sz w:val="21"/>
                <w:szCs w:val="21"/>
                <w:highlight w:val="none"/>
                <w:u w:val="single"/>
                <w:lang w:val="en-US" w:eastAsia="zh-CN" w:bidi="ar"/>
              </w:rPr>
              <w:t>0.12</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spacing w:line="240" w:lineRule="auto"/>
              <w:jc w:val="center"/>
              <w:rPr>
                <w:rFonts w:hint="eastAsia" w:cs="Times New Roman"/>
                <w:bCs/>
                <w:color w:val="auto"/>
                <w:kern w:val="2"/>
                <w:sz w:val="21"/>
                <w:szCs w:val="21"/>
                <w:highlight w:val="none"/>
                <w:u w:val="single" w:color="auto"/>
                <w:lang w:val="en-US" w:eastAsia="zh-CN" w:bidi="ar"/>
              </w:rPr>
            </w:pPr>
            <w:r>
              <w:rPr>
                <w:rFonts w:hint="eastAsia" w:cs="Times New Roman"/>
                <w:bCs/>
                <w:color w:val="auto"/>
                <w:kern w:val="2"/>
                <w:sz w:val="21"/>
                <w:szCs w:val="21"/>
                <w:highlight w:val="none"/>
                <w:u w:val="single" w:color="auto"/>
                <w:lang w:val="en-US" w:eastAsia="zh-CN" w:bidi="ar"/>
              </w:rPr>
              <w:t>油烟</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r>
              <w:rPr>
                <w:rFonts w:hint="eastAsia" w:cs="Times New Roman"/>
                <w:i w:val="0"/>
                <w:iCs w:val="0"/>
                <w:color w:val="auto"/>
                <w:kern w:val="0"/>
                <w:sz w:val="21"/>
                <w:szCs w:val="21"/>
                <w:highlight w:val="none"/>
                <w:u w:val="single" w:color="auto"/>
                <w:lang w:val="en-US" w:eastAsia="zh-CN" w:bidi="ar"/>
              </w:rPr>
              <w:t>4</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r>
              <w:rPr>
                <w:rFonts w:hint="eastAsia" w:cs="Times New Roman"/>
                <w:i w:val="0"/>
                <w:iCs w:val="0"/>
                <w:color w:val="auto"/>
                <w:kern w:val="0"/>
                <w:sz w:val="21"/>
                <w:szCs w:val="21"/>
                <w:highlight w:val="none"/>
                <w:u w:val="single" w:color="auto"/>
                <w:lang w:val="en-US" w:eastAsia="zh-CN" w:bidi="ar"/>
              </w:rPr>
              <w:t>4</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r>
              <w:rPr>
                <w:rFonts w:hint="eastAsia" w:cs="Times New Roman"/>
                <w:i w:val="0"/>
                <w:iCs w:val="0"/>
                <w:color w:val="auto"/>
                <w:kern w:val="0"/>
                <w:sz w:val="21"/>
                <w:szCs w:val="21"/>
                <w:highlight w:val="none"/>
                <w:u w:val="single" w:color="auto"/>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restart"/>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r>
              <w:rPr>
                <w:rFonts w:ascii="Times New Roman" w:hAnsi="Times New Roman" w:eastAsia="宋体" w:cs="Times New Roman"/>
                <w:color w:val="auto"/>
                <w:sz w:val="21"/>
                <w:szCs w:val="21"/>
                <w:highlight w:val="none"/>
                <w:u w:val="none" w:color="auto"/>
                <w:lang w:val="en-US" w:eastAsia="zh-CN" w:bidi="ar"/>
              </w:rPr>
              <w:t>废水</w:t>
            </w:r>
          </w:p>
        </w:tc>
        <w:tc>
          <w:tcPr>
            <w:tcW w:w="1585" w:type="dxa"/>
            <w:noWrap w:val="0"/>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2"/>
                <w:sz w:val="21"/>
                <w:szCs w:val="21"/>
                <w:highlight w:val="none"/>
                <w:u w:val="single" w:color="auto"/>
                <w:lang w:val="en-US" w:eastAsia="zh-CN" w:bidi="ar"/>
              </w:rPr>
              <w:t>废水量</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10580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6608</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2327.68</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14860.32</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4280.32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cs="Times New Roman"/>
                <w:bCs/>
                <w:color w:val="auto"/>
                <w:kern w:val="0"/>
                <w:sz w:val="21"/>
                <w:szCs w:val="21"/>
                <w:highlight w:val="none"/>
                <w:u w:val="single" w:color="auto"/>
              </w:rPr>
              <w:t>悬浮物</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2.33</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1.454</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0.51</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3.272</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adjustRightInd w:val="0"/>
              <w:spacing w:line="240" w:lineRule="auto"/>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eastAsia="宋体" w:cs="Times New Roman"/>
                <w:bCs/>
                <w:color w:val="auto"/>
                <w:kern w:val="0"/>
                <w:sz w:val="21"/>
                <w:szCs w:val="21"/>
                <w:highlight w:val="none"/>
                <w:u w:val="single" w:color="auto"/>
                <w:lang w:val="en-US" w:eastAsia="zh-CN"/>
              </w:rPr>
              <w:t>COD</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5.29</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1.4</w:t>
            </w: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2.294</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6.42</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b w:val="0"/>
                <w:bCs/>
                <w:color w:val="auto"/>
                <w:kern w:val="28"/>
                <w:sz w:val="21"/>
                <w:szCs w:val="21"/>
                <w:highlight w:val="none"/>
                <w:u w:val="single" w:color="auto"/>
                <w:lang w:val="en-US" w:eastAsia="zh-CN" w:bidi="ar"/>
              </w:rPr>
              <w:t>BOD</w:t>
            </w:r>
            <w:r>
              <w:rPr>
                <w:rFonts w:hint="default" w:ascii="Times New Roman" w:hAnsi="Times New Roman" w:eastAsia="宋体" w:cs="Times New Roman"/>
                <w:b w:val="0"/>
                <w:bCs/>
                <w:color w:val="auto"/>
                <w:kern w:val="28"/>
                <w:sz w:val="21"/>
                <w:szCs w:val="21"/>
                <w:highlight w:val="none"/>
                <w:u w:val="single" w:color="auto"/>
                <w:vertAlign w:val="subscript"/>
                <w:lang w:val="en-US" w:eastAsia="zh-CN" w:bidi="ar"/>
              </w:rPr>
              <w:t>5</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1.90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2.531</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eastAsia" w:ascii="Times New Roman" w:hAnsi="Times New Roman" w:eastAsia="宋体" w:cs="Times New Roman"/>
                <w:color w:val="auto"/>
                <w:sz w:val="21"/>
                <w:szCs w:val="21"/>
                <w:highlight w:val="none"/>
                <w:u w:val="single" w:color="auto"/>
                <w:lang w:val="en-US" w:eastAsia="zh-CN" w:bidi="ar"/>
              </w:rPr>
            </w:pPr>
            <w:r>
              <w:rPr>
                <w:rFonts w:cs="Times New Roman"/>
                <w:bCs/>
                <w:color w:val="auto"/>
                <w:kern w:val="0"/>
                <w:sz w:val="21"/>
                <w:szCs w:val="21"/>
                <w:highlight w:val="none"/>
                <w:u w:val="single" w:color="auto"/>
              </w:rPr>
              <w:t>氨氮</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0.32</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0.2</w:t>
            </w: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0.198</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0.448</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eastAsia"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eastAsia="zh-CN"/>
              </w:rPr>
              <w:t>石油类</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0.32</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0.057</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0.33</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eastAsia"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eastAsia="zh-CN"/>
              </w:rPr>
              <w:t>总铜</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0.02</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eastAsia"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eastAsia="zh-CN"/>
              </w:rPr>
              <w:t>总铁</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0.11</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0.178</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eastAsia"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eastAsia="zh-CN"/>
              </w:rPr>
              <w:t>总磷</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0.48</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widowControl/>
              <w:spacing w:line="240" w:lineRule="auto"/>
              <w:jc w:val="center"/>
              <w:textAlignment w:val="bottom"/>
              <w:rPr>
                <w:rFonts w:hint="eastAsia" w:cs="Times New Roman"/>
                <w:bCs/>
                <w:color w:val="auto"/>
                <w:kern w:val="0"/>
                <w:sz w:val="21"/>
                <w:szCs w:val="21"/>
                <w:highlight w:val="none"/>
                <w:u w:val="single" w:color="auto"/>
                <w:lang w:eastAsia="zh-CN"/>
              </w:rPr>
            </w:pPr>
            <w:r>
              <w:rPr>
                <w:rFonts w:hint="eastAsia" w:cs="Times New Roman"/>
                <w:bCs/>
                <w:color w:val="auto"/>
                <w:kern w:val="0"/>
                <w:sz w:val="21"/>
                <w:szCs w:val="21"/>
                <w:highlight w:val="none"/>
                <w:u w:val="single" w:color="auto"/>
                <w:lang w:eastAsia="zh-CN"/>
              </w:rPr>
              <w:t>总氮</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0.04</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1761" w:type="dxa"/>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0.259</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restart"/>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r>
              <w:rPr>
                <w:rFonts w:ascii="Times New Roman" w:hAnsi="Times New Roman" w:eastAsia="宋体" w:cs="Times New Roman"/>
                <w:color w:val="auto"/>
                <w:sz w:val="21"/>
                <w:szCs w:val="21"/>
                <w:highlight w:val="none"/>
                <w:u w:val="none" w:color="auto"/>
                <w:lang w:val="en-US" w:eastAsia="zh-CN" w:bidi="ar"/>
              </w:rPr>
              <w:t>一般工业</w:t>
            </w:r>
          </w:p>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r>
              <w:rPr>
                <w:rFonts w:ascii="Times New Roman" w:hAnsi="Times New Roman" w:eastAsia="宋体" w:cs="Times New Roman"/>
                <w:color w:val="auto"/>
                <w:sz w:val="21"/>
                <w:szCs w:val="21"/>
                <w:highlight w:val="none"/>
                <w:u w:val="none" w:color="auto"/>
                <w:lang w:val="en-US" w:eastAsia="zh-CN" w:bidi="ar"/>
              </w:rPr>
              <w:t>固体废物</w:t>
            </w:r>
          </w:p>
        </w:tc>
        <w:tc>
          <w:tcPr>
            <w:tcW w:w="1585" w:type="dxa"/>
            <w:noWrap w:val="0"/>
            <w:vAlign w:val="center"/>
          </w:tcPr>
          <w:p>
            <w:pPr>
              <w:topLinePunct/>
              <w:adjustRightInd w:val="0"/>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color w:val="auto"/>
                <w:sz w:val="21"/>
                <w:szCs w:val="21"/>
                <w:highlight w:val="none"/>
                <w:u w:val="single" w:color="auto"/>
                <w:lang w:val="en-US" w:eastAsia="zh-CN" w:bidi="ar"/>
              </w:rPr>
              <w:t>废金属丝</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13.5</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cs="Times New Roman"/>
                <w:color w:val="auto"/>
                <w:sz w:val="21"/>
                <w:szCs w:val="21"/>
                <w:highlight w:val="none"/>
                <w:u w:val="single" w:color="auto"/>
                <w:lang w:val="en-US" w:eastAsia="zh-CN" w:bidi="ar"/>
              </w:rPr>
              <w:t>3.</w:t>
            </w:r>
            <w:r>
              <w:rPr>
                <w:rFonts w:hint="eastAsia" w:cs="Times New Roman"/>
                <w:color w:val="auto"/>
                <w:sz w:val="21"/>
                <w:szCs w:val="21"/>
                <w:highlight w:val="none"/>
                <w:u w:val="single" w:color="auto"/>
                <w:lang w:val="en-US" w:eastAsia="zh-CN" w:bidi="ar"/>
              </w:rPr>
              <w:t>6</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0.1</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17</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pacing w:val="-11"/>
                <w:kern w:val="0"/>
                <w:szCs w:val="21"/>
                <w:highlight w:val="none"/>
                <w:u w:val="single" w:color="auto"/>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topLinePunct/>
              <w:adjustRightInd w:val="0"/>
              <w:snapToGrid w:val="0"/>
              <w:spacing w:line="240" w:lineRule="auto"/>
              <w:jc w:val="center"/>
              <w:rPr>
                <w:rFonts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color w:val="auto"/>
                <w:sz w:val="21"/>
                <w:szCs w:val="21"/>
                <w:highlight w:val="none"/>
                <w:u w:val="single" w:color="auto"/>
                <w:lang w:bidi="zh-CN"/>
              </w:rPr>
              <w:t>除尘灰</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val="en-US" w:eastAsia="zh-CN" w:bidi="ar"/>
              </w:rPr>
              <w:t>10.715</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bCs/>
                <w:color w:val="auto"/>
                <w:kern w:val="0"/>
                <w:sz w:val="21"/>
                <w:szCs w:val="21"/>
                <w:highlight w:val="none"/>
                <w:u w:val="single" w:color="auto"/>
                <w:lang w:val="en-US" w:eastAsia="zh-CN" w:bidi="ar"/>
              </w:rPr>
              <w:t>10.715</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eastAsia" w:cs="Times New Roman"/>
                <w:bCs/>
                <w:color w:val="auto"/>
                <w:kern w:val="0"/>
                <w:sz w:val="21"/>
                <w:szCs w:val="21"/>
                <w:highlight w:val="none"/>
                <w:u w:val="single" w:color="auto"/>
                <w:lang w:val="en-US" w:eastAsia="zh-CN" w:bidi="ar"/>
              </w:rPr>
              <w:t>10.715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topLinePunct/>
              <w:adjustRightInd w:val="0"/>
              <w:snapToGrid w:val="0"/>
              <w:spacing w:line="240" w:lineRule="auto"/>
              <w:jc w:val="center"/>
              <w:rPr>
                <w:rFonts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bidi="zh-CN"/>
              </w:rPr>
              <w:t>废塑料边角料</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topLinePunct/>
              <w:adjustRightInd w:val="0"/>
              <w:snapToGrid w:val="0"/>
              <w:jc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val="en-US" w:eastAsia="zh-CN" w:bidi="ar"/>
              </w:rPr>
              <w:t>0.01</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topLinePunct/>
              <w:adjustRightInd w:val="0"/>
              <w:snapToGrid w:val="0"/>
              <w:spacing w:line="240" w:lineRule="auto"/>
              <w:jc w:val="center"/>
              <w:rPr>
                <w:rFonts w:hint="eastAsia" w:ascii="Times New Roman" w:hAnsi="Times New Roman" w:eastAsia="宋体" w:cs="Times New Roman"/>
                <w:color w:val="auto"/>
                <w:sz w:val="21"/>
                <w:szCs w:val="21"/>
                <w:highlight w:val="none"/>
                <w:u w:val="single" w:color="auto"/>
                <w:lang w:bidi="zh-CN"/>
              </w:rPr>
            </w:pPr>
            <w:r>
              <w:rPr>
                <w:rFonts w:hint="eastAsia" w:ascii="Times New Roman" w:hAnsi="Times New Roman" w:eastAsia="宋体" w:cs="Times New Roman"/>
                <w:color w:val="auto"/>
                <w:sz w:val="21"/>
                <w:szCs w:val="21"/>
                <w:highlight w:val="none"/>
                <w:u w:val="single" w:color="auto"/>
                <w:lang w:bidi="zh-CN"/>
              </w:rPr>
              <w:t>涂膜渣</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0.1</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topLinePunct/>
              <w:adjustRightInd w:val="0"/>
              <w:snapToGrid w:val="0"/>
              <w:jc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cs="Times New Roman"/>
                <w:bCs/>
                <w:color w:val="auto"/>
                <w:kern w:val="0"/>
                <w:sz w:val="21"/>
                <w:szCs w:val="21"/>
                <w:highlight w:val="none"/>
                <w:u w:val="single" w:color="auto"/>
                <w:lang w:val="en-US" w:eastAsia="zh-CN" w:bidi="ar"/>
              </w:rPr>
              <w:t>0.01</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topLinePunct/>
              <w:adjustRightInd w:val="0"/>
              <w:snapToGrid w:val="0"/>
              <w:spacing w:line="240" w:lineRule="auto"/>
              <w:jc w:val="center"/>
              <w:rPr>
                <w:rFonts w:hint="default" w:cs="Times New Roman"/>
                <w:color w:val="auto"/>
                <w:sz w:val="21"/>
                <w:szCs w:val="21"/>
                <w:highlight w:val="none"/>
                <w:u w:val="single" w:color="auto"/>
                <w:lang w:val="en-US" w:bidi="zh-CN"/>
              </w:rPr>
            </w:pPr>
            <w:r>
              <w:rPr>
                <w:rFonts w:hint="eastAsia" w:ascii="Times New Roman" w:hAnsi="Times New Roman" w:eastAsia="宋体" w:cs="Times New Roman"/>
                <w:color w:val="auto"/>
                <w:sz w:val="21"/>
                <w:szCs w:val="21"/>
                <w:highlight w:val="none"/>
                <w:u w:val="single" w:color="auto"/>
                <w:lang w:val="en-US" w:eastAsia="zh-CN" w:bidi="ar"/>
              </w:rPr>
              <w:t>废抹布、废机油</w:t>
            </w:r>
          </w:p>
        </w:tc>
        <w:tc>
          <w:tcPr>
            <w:tcW w:w="1701" w:type="dxa"/>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5</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bidi="ar"/>
              </w:rPr>
              <w:t>0.12</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r>
              <w:rPr>
                <w:rFonts w:hint="eastAsia" w:ascii="Times New Roman" w:hAnsi="Times New Roman" w:cs="Times New Roman"/>
                <w:i w:val="0"/>
                <w:iCs w:val="0"/>
                <w:color w:val="auto"/>
                <w:kern w:val="0"/>
                <w:sz w:val="21"/>
                <w:szCs w:val="21"/>
                <w:highlight w:val="none"/>
                <w:u w:val="single" w:color="auto"/>
                <w:lang w:val="en-US" w:eastAsia="zh-CN" w:bidi="ar"/>
              </w:rPr>
              <w:t>12</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5</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color w:val="auto"/>
                <w:sz w:val="21"/>
                <w:szCs w:val="21"/>
                <w:highlight w:val="none"/>
                <w:u w:val="single" w:color="auto"/>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金属氧化皮</w:t>
            </w:r>
          </w:p>
        </w:tc>
        <w:tc>
          <w:tcPr>
            <w:tcW w:w="170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10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10</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宋体" w:hAnsi="宋体" w:eastAsia="宋体" w:cs="宋体"/>
                <w:color w:val="auto"/>
                <w:kern w:val="0"/>
                <w:sz w:val="21"/>
                <w:szCs w:val="21"/>
                <w:highlight w:val="none"/>
                <w:u w:val="single"/>
                <w:vertAlign w:val="baseline"/>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硼化渣</w:t>
            </w:r>
          </w:p>
        </w:tc>
        <w:tc>
          <w:tcPr>
            <w:tcW w:w="170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0.1</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0.1</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宋体" w:hAnsi="宋体" w:eastAsia="宋体" w:cs="宋体"/>
                <w:color w:val="auto"/>
                <w:kern w:val="0"/>
                <w:sz w:val="21"/>
                <w:szCs w:val="21"/>
                <w:highlight w:val="none"/>
                <w:u w:val="single"/>
                <w:vertAlign w:val="baseline"/>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炉渣</w:t>
            </w:r>
          </w:p>
        </w:tc>
        <w:tc>
          <w:tcPr>
            <w:tcW w:w="170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69</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kern w:val="0"/>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69</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restart"/>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危险废物</w:t>
            </w:r>
          </w:p>
        </w:tc>
        <w:tc>
          <w:tcPr>
            <w:tcW w:w="1585" w:type="dxa"/>
            <w:noWrap w:val="0"/>
            <w:vAlign w:val="center"/>
          </w:tcPr>
          <w:p>
            <w:pPr>
              <w:pStyle w:val="25"/>
              <w:widowControl w:val="0"/>
              <w:wordWrap w:val="0"/>
              <w:adjustRightInd w:val="0"/>
              <w:snapToGrid w:val="0"/>
              <w:spacing w:before="0" w:beforeAutospacing="0" w:after="0" w:afterAutospacing="0" w:line="240" w:lineRule="auto"/>
              <w:jc w:val="center"/>
              <w:textAlignment w:val="baseline"/>
              <w:rPr>
                <w:rFonts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污泥</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200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43.6</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5.3</w:t>
            </w:r>
            <w:r>
              <w:rPr>
                <w:rFonts w:hint="eastAsia" w:cs="Times New Roman"/>
                <w:i w:val="0"/>
                <w:iCs w:val="0"/>
                <w:color w:val="auto"/>
                <w:kern w:val="0"/>
                <w:sz w:val="21"/>
                <w:szCs w:val="21"/>
                <w:highlight w:val="none"/>
                <w:u w:val="single" w:color="auto"/>
                <w:lang w:val="en-US" w:eastAsia="zh-CN" w:bidi="ar"/>
              </w:rPr>
              <w:t>92</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238.2</w:t>
            </w:r>
            <w:r>
              <w:rPr>
                <w:rFonts w:hint="eastAsia" w:cs="Times New Roman"/>
                <w:i w:val="0"/>
                <w:iCs w:val="0"/>
                <w:color w:val="auto"/>
                <w:kern w:val="0"/>
                <w:sz w:val="21"/>
                <w:szCs w:val="21"/>
                <w:highlight w:val="none"/>
                <w:u w:val="single" w:color="auto"/>
                <w:lang w:val="en-US" w:eastAsia="zh-CN" w:bidi="ar"/>
              </w:rPr>
              <w:t>08</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default" w:ascii="Times New Roman" w:hAnsi="Times New Roman" w:eastAsia="宋体" w:cs="Times New Roman"/>
                <w:i w:val="0"/>
                <w:iCs w:val="0"/>
                <w:color w:val="auto"/>
                <w:kern w:val="0"/>
                <w:sz w:val="21"/>
                <w:szCs w:val="21"/>
                <w:highlight w:val="none"/>
                <w:u w:val="single" w:color="auto"/>
                <w:lang w:val="en-US" w:eastAsia="zh-CN" w:bidi="ar"/>
              </w:rPr>
              <w:t>38.2</w:t>
            </w:r>
            <w:r>
              <w:rPr>
                <w:rFonts w:hint="eastAsia" w:cs="Times New Roman"/>
                <w:i w:val="0"/>
                <w:iCs w:val="0"/>
                <w:color w:val="auto"/>
                <w:kern w:val="0"/>
                <w:sz w:val="21"/>
                <w:szCs w:val="21"/>
                <w:highlight w:val="none"/>
                <w:u w:val="single" w:color="auto"/>
                <w:lang w:val="en-US" w:eastAsia="zh-CN" w:bidi="ar"/>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line="240" w:lineRule="auto"/>
              <w:jc w:val="center"/>
              <w:textAlignment w:val="baseline"/>
              <w:rPr>
                <w:rFonts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废活性炭</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u w:val="none"/>
                <w:lang w:val="en-US" w:eastAsia="zh-CN" w:bidi="ar"/>
              </w:rPr>
              <w:t>8.4</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cs="Times New Roman"/>
                <w:i w:val="0"/>
                <w:iCs w:val="0"/>
                <w:color w:val="auto"/>
                <w:kern w:val="0"/>
                <w:sz w:val="21"/>
                <w:szCs w:val="21"/>
                <w:u w:val="none"/>
                <w:lang w:val="en-US" w:eastAsia="zh-CN" w:bidi="ar"/>
              </w:rPr>
              <w:t>8.4</w:t>
            </w:r>
          </w:p>
        </w:tc>
        <w:tc>
          <w:tcPr>
            <w:tcW w:w="12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ascii="Times New Roman" w:hAnsi="Times New Roman" w:eastAsia="宋体" w:cs="Times New Roman"/>
                <w:i w:val="0"/>
                <w:iCs w:val="0"/>
                <w:color w:val="auto"/>
                <w:kern w:val="0"/>
                <w:sz w:val="21"/>
                <w:szCs w:val="21"/>
                <w:highlight w:val="none"/>
                <w:u w:val="single" w:color="auto"/>
                <w:lang w:val="en-US" w:eastAsia="zh-CN" w:bidi="ar"/>
              </w:rPr>
              <w:t>+</w:t>
            </w:r>
            <w:r>
              <w:rPr>
                <w:rFonts w:hint="eastAsia" w:ascii="Times New Roman" w:hAnsi="Times New Roman" w:cs="Times New Roman"/>
                <w:i w:val="0"/>
                <w:iCs w:val="0"/>
                <w:color w:val="auto"/>
                <w:kern w:val="0"/>
                <w:sz w:val="21"/>
                <w:szCs w:val="21"/>
                <w:u w:val="none"/>
                <w:lang w:val="en-US" w:eastAsia="zh-CN" w:bidi="ar"/>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line="240" w:lineRule="auto"/>
              <w:jc w:val="center"/>
              <w:textAlignment w:val="baseline"/>
              <w:rPr>
                <w:rFonts w:hint="eastAsia" w:ascii="Times New Roman" w:hAnsi="Times New Roman" w:cs="Times New Roman"/>
                <w:color w:val="auto"/>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bidi="ar"/>
              </w:rPr>
              <w:t>废催化剂</w:t>
            </w:r>
          </w:p>
        </w:tc>
        <w:tc>
          <w:tcPr>
            <w:tcW w:w="170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558"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line="240" w:lineRule="auto"/>
              <w:jc w:val="center"/>
              <w:textAlignment w:val="baseline"/>
              <w:rPr>
                <w:rFonts w:hint="default" w:ascii="Times New Roman" w:hAnsi="Times New Roman"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bidi="zh-CN"/>
              </w:rPr>
              <w:t>废分子筛</w:t>
            </w:r>
          </w:p>
        </w:tc>
        <w:tc>
          <w:tcPr>
            <w:tcW w:w="1701" w:type="dxa"/>
            <w:noWrap w:val="0"/>
            <w:vAlign w:val="center"/>
          </w:tcPr>
          <w:p>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0.1</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w:t>
            </w:r>
          </w:p>
        </w:tc>
        <w:tc>
          <w:tcPr>
            <w:tcW w:w="1558"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cs="Times New Roman"/>
                <w:color w:val="auto"/>
                <w:sz w:val="21"/>
                <w:szCs w:val="21"/>
                <w:highlight w:val="none"/>
                <w:u w:val="single" w:color="auto"/>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p>
        </w:tc>
        <w:tc>
          <w:tcPr>
            <w:tcW w:w="158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cs="Times New Roman"/>
                <w:color w:val="auto"/>
                <w:sz w:val="21"/>
                <w:szCs w:val="21"/>
                <w:highlight w:val="none"/>
                <w:u w:val="single" w:color="auto"/>
                <w:lang w:val="en-US" w:bidi="zh-CN"/>
              </w:rPr>
            </w:pPr>
            <w:r>
              <w:rPr>
                <w:rFonts w:hint="eastAsia" w:ascii="宋体" w:hAnsi="宋体" w:cs="宋体"/>
                <w:color w:val="auto"/>
                <w:kern w:val="0"/>
                <w:sz w:val="21"/>
                <w:szCs w:val="21"/>
                <w:highlight w:val="none"/>
                <w:u w:val="single"/>
                <w:vertAlign w:val="baseline"/>
                <w:lang w:val="en-US" w:eastAsia="zh-CN" w:bidi="ar"/>
              </w:rPr>
              <w:t>废乳化液</w:t>
            </w:r>
          </w:p>
        </w:tc>
        <w:tc>
          <w:tcPr>
            <w:tcW w:w="170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0.05</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0.05</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noWrap w:val="0"/>
            <w:vAlign w:val="center"/>
          </w:tcPr>
          <w:p>
            <w:pPr>
              <w:pStyle w:val="25"/>
              <w:widowControl w:val="0"/>
              <w:wordWrap w:val="0"/>
              <w:snapToGrid w:val="0"/>
              <w:spacing w:before="0" w:beforeAutospacing="0" w:after="0" w:afterAutospacing="0" w:line="240" w:lineRule="auto"/>
              <w:jc w:val="center"/>
              <w:rPr>
                <w:rFonts w:ascii="Times New Roman" w:hAnsi="Times New Roman" w:eastAsia="宋体" w:cs="Times New Roman"/>
                <w:color w:val="auto"/>
                <w:sz w:val="21"/>
                <w:szCs w:val="21"/>
                <w:highlight w:val="none"/>
                <w:u w:val="none" w:color="auto"/>
                <w:lang w:val="en-US" w:eastAsia="zh-CN" w:bidi="ar"/>
              </w:rPr>
            </w:pPr>
            <w:r>
              <w:rPr>
                <w:rFonts w:hint="eastAsia" w:ascii="宋体" w:hAnsi="宋体" w:eastAsia="宋体" w:cs="宋体"/>
                <w:color w:val="auto"/>
                <w:kern w:val="0"/>
                <w:sz w:val="21"/>
                <w:szCs w:val="21"/>
                <w:highlight w:val="none"/>
                <w:u w:val="single"/>
                <w:vertAlign w:val="baseline"/>
                <w:lang w:val="en-US" w:eastAsia="zh-CN" w:bidi="ar"/>
              </w:rPr>
              <w:t>生活垃圾</w:t>
            </w:r>
          </w:p>
        </w:tc>
        <w:tc>
          <w:tcPr>
            <w:tcW w:w="1585" w:type="dxa"/>
            <w:noWrap w:val="0"/>
            <w:vAlign w:val="center"/>
          </w:tcPr>
          <w:p>
            <w:pPr>
              <w:pStyle w:val="25"/>
              <w:widowControl w:val="0"/>
              <w:wordWrap w:val="0"/>
              <w:adjustRightInd w:val="0"/>
              <w:snapToGrid w:val="0"/>
              <w:spacing w:before="0" w:beforeAutospacing="0" w:after="0" w:afterAutospacing="0"/>
              <w:jc w:val="center"/>
              <w:textAlignment w:val="baseline"/>
              <w:rPr>
                <w:rFonts w:hint="eastAsia" w:cs="Times New Roman"/>
                <w:color w:val="auto"/>
                <w:sz w:val="21"/>
                <w:szCs w:val="21"/>
                <w:highlight w:val="none"/>
                <w:u w:val="single" w:color="auto"/>
                <w:lang w:val="en-US" w:bidi="zh-CN"/>
              </w:rPr>
            </w:pPr>
            <w:r>
              <w:rPr>
                <w:rFonts w:hint="eastAsia" w:ascii="宋体" w:hAnsi="宋体" w:eastAsia="宋体" w:cs="宋体"/>
                <w:color w:val="auto"/>
                <w:kern w:val="0"/>
                <w:sz w:val="21"/>
                <w:szCs w:val="21"/>
                <w:highlight w:val="none"/>
                <w:u w:val="single"/>
                <w:vertAlign w:val="baseline"/>
                <w:lang w:val="en-US" w:eastAsia="zh-CN" w:bidi="ar"/>
              </w:rPr>
              <w:t>生活垃圾</w:t>
            </w:r>
          </w:p>
        </w:tc>
        <w:tc>
          <w:tcPr>
            <w:tcW w:w="1701"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single" w:color="auto"/>
                <w:lang w:val="en-US" w:eastAsia="zh-CN" w:bidi="ar"/>
              </w:rPr>
            </w:pPr>
            <w:r>
              <w:rPr>
                <w:rFonts w:hint="eastAsia" w:cs="Times New Roman"/>
                <w:i w:val="0"/>
                <w:iCs w:val="0"/>
                <w:color w:val="auto"/>
                <w:kern w:val="0"/>
                <w:sz w:val="21"/>
                <w:szCs w:val="21"/>
                <w:highlight w:val="none"/>
                <w:u w:val="single" w:color="auto"/>
                <w:lang w:val="en-US" w:eastAsia="zh-CN" w:bidi="ar"/>
              </w:rPr>
              <w:t>6</w:t>
            </w:r>
          </w:p>
        </w:tc>
        <w:tc>
          <w:tcPr>
            <w:tcW w:w="1268"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709" w:type="dxa"/>
            <w:noWrap w:val="0"/>
            <w:vAlign w:val="center"/>
          </w:tcPr>
          <w:p>
            <w:pPr>
              <w:pStyle w:val="25"/>
              <w:widowControl w:val="0"/>
              <w:wordWrap w:val="0"/>
              <w:snapToGrid w:val="0"/>
              <w:spacing w:before="0" w:beforeAutospacing="0" w:after="0" w:afterAutospacing="0" w:line="240" w:lineRule="auto"/>
              <w:jc w:val="center"/>
              <w:rPr>
                <w:rFonts w:hint="default" w:ascii="Times New Roman" w:hAnsi="Times New Roman" w:eastAsia="宋体" w:cs="Times New Roman"/>
                <w:color w:val="auto"/>
                <w:sz w:val="21"/>
                <w:szCs w:val="21"/>
                <w:highlight w:val="none"/>
                <w:u w:val="single" w:color="auto"/>
                <w:lang w:val="en-US" w:eastAsia="zh-CN" w:bidi="ar"/>
              </w:rPr>
            </w:pPr>
          </w:p>
        </w:tc>
        <w:tc>
          <w:tcPr>
            <w:tcW w:w="1559"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761"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single" w:color="auto"/>
                <w:lang w:val="en-US" w:eastAsia="zh-CN" w:bidi="ar"/>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c>
          <w:tcPr>
            <w:tcW w:w="155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6</w:t>
            </w:r>
          </w:p>
        </w:tc>
        <w:tc>
          <w:tcPr>
            <w:tcW w:w="1227" w:type="dxa"/>
            <w:noWrap w:val="0"/>
            <w:vAlign w:val="center"/>
          </w:tcPr>
          <w:p>
            <w:pPr>
              <w:pStyle w:val="25"/>
              <w:widowControl w:val="0"/>
              <w:wordWrap w:val="0"/>
              <w:adjustRightInd w:val="0"/>
              <w:snapToGrid w:val="0"/>
              <w:spacing w:before="0" w:beforeAutospacing="0" w:after="0" w:afterAutospacing="0"/>
              <w:jc w:val="center"/>
              <w:textAlignment w:val="baseline"/>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i w:val="0"/>
                <w:iCs w:val="0"/>
                <w:color w:val="auto"/>
                <w:kern w:val="0"/>
                <w:sz w:val="21"/>
                <w:szCs w:val="21"/>
                <w:highlight w:val="none"/>
                <w:u w:val="single" w:color="auto"/>
                <w:lang w:val="en-US" w:eastAsia="zh-CN" w:bidi="ar"/>
              </w:rPr>
              <w:t>0</w:t>
            </w:r>
          </w:p>
        </w:tc>
      </w:tr>
    </w:tbl>
    <w:p>
      <w:pPr>
        <w:pStyle w:val="60"/>
        <w:bidi w:val="0"/>
        <w:jc w:val="both"/>
        <w:rPr>
          <w:rFonts w:hint="default"/>
          <w:color w:val="auto"/>
          <w:u w:val="none"/>
          <w:lang w:val="en-US" w:eastAsia="zh-CN"/>
        </w:rPr>
      </w:pPr>
    </w:p>
    <w:p>
      <w:pPr>
        <w:rPr>
          <w:color w:val="auto"/>
        </w:rPr>
      </w:pPr>
    </w:p>
    <w:p>
      <w:pPr>
        <w:rPr>
          <w:color w:val="auto"/>
        </w:rPr>
      </w:pPr>
    </w:p>
    <w:p>
      <w:pPr>
        <w:rPr>
          <w:color w:val="auto"/>
        </w:rPr>
      </w:pPr>
    </w:p>
    <w:p>
      <w:pPr>
        <w:rPr>
          <w:color w:val="auto"/>
        </w:rPr>
        <w:sectPr>
          <w:pgSz w:w="16838" w:h="11906" w:orient="landscape"/>
          <w:pgMar w:top="1440" w:right="1800" w:bottom="1440" w:left="1800" w:header="851" w:footer="992" w:gutter="0"/>
          <w:cols w:space="425" w:num="1"/>
          <w:docGrid w:type="lines" w:linePitch="312" w:charSpace="0"/>
        </w:sectPr>
      </w:pPr>
    </w:p>
    <w:p>
      <w:pPr>
        <w:pStyle w:val="61"/>
        <w:bidi w:val="0"/>
        <w:rPr>
          <w:rFonts w:hint="default"/>
          <w:color w:val="auto"/>
          <w:highlight w:val="none"/>
          <w:u w:val="none"/>
          <w:lang w:val="en-US" w:eastAsia="zh-CN"/>
        </w:rPr>
      </w:pPr>
      <w:bookmarkStart w:id="77" w:name="_Toc25196"/>
      <w:bookmarkStart w:id="78" w:name="_Toc9925"/>
      <w:r>
        <w:rPr>
          <w:rFonts w:hint="default"/>
          <w:color w:val="auto"/>
          <w:highlight w:val="none"/>
          <w:u w:val="none"/>
          <w:lang w:val="en-US" w:eastAsia="zh-CN"/>
        </w:rPr>
        <w:t>湖南西姆西科技有限公司焊材制造</w:t>
      </w:r>
      <w:r>
        <w:rPr>
          <w:rFonts w:hint="eastAsia"/>
          <w:color w:val="auto"/>
          <w:highlight w:val="none"/>
          <w:u w:val="none"/>
          <w:lang w:val="en-US" w:eastAsia="zh-CN"/>
        </w:rPr>
        <w:t>改扩建</w:t>
      </w:r>
      <w:r>
        <w:rPr>
          <w:rFonts w:hint="default"/>
          <w:color w:val="auto"/>
          <w:highlight w:val="none"/>
          <w:u w:val="none"/>
          <w:lang w:val="en-US" w:eastAsia="zh-CN"/>
        </w:rPr>
        <w:t>项目</w:t>
      </w:r>
      <w:bookmarkEnd w:id="77"/>
      <w:bookmarkStart w:id="79" w:name="_Toc26557"/>
    </w:p>
    <w:p>
      <w:pPr>
        <w:pStyle w:val="61"/>
        <w:bidi w:val="0"/>
        <w:rPr>
          <w:rFonts w:hint="default"/>
          <w:color w:val="auto"/>
          <w:highlight w:val="none"/>
          <w:u w:val="none"/>
          <w:lang w:val="en-US" w:eastAsia="zh-CN"/>
        </w:rPr>
      </w:pPr>
      <w:r>
        <w:rPr>
          <w:rFonts w:hint="default"/>
          <w:color w:val="auto"/>
          <w:highlight w:val="none"/>
          <w:u w:val="none"/>
          <w:lang w:val="en-US" w:eastAsia="zh-CN"/>
        </w:rPr>
        <w:t>环境风险专</w:t>
      </w:r>
      <w:r>
        <w:rPr>
          <w:rFonts w:hint="eastAsia"/>
          <w:color w:val="auto"/>
          <w:highlight w:val="none"/>
          <w:u w:val="none"/>
          <w:lang w:val="en-US" w:eastAsia="zh-CN"/>
        </w:rPr>
        <w:t>项</w:t>
      </w:r>
      <w:r>
        <w:rPr>
          <w:rFonts w:hint="default"/>
          <w:color w:val="auto"/>
          <w:highlight w:val="none"/>
          <w:u w:val="none"/>
          <w:lang w:val="en-US" w:eastAsia="zh-CN"/>
        </w:rPr>
        <w:t>评价</w:t>
      </w:r>
      <w:bookmarkEnd w:id="78"/>
      <w:bookmarkEnd w:id="79"/>
    </w:p>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u w:val="none" w:color="auto"/>
          <w:lang w:val="en-US" w:eastAsia="zh-CN" w:bidi="ar-SA"/>
        </w:rPr>
      </w:pPr>
      <w:bookmarkStart w:id="80" w:name="_Toc9896"/>
      <w:bookmarkStart w:id="81" w:name="_Toc26425"/>
      <w:bookmarkStart w:id="82" w:name="_Toc969"/>
      <w:bookmarkStart w:id="83" w:name="_Toc22340"/>
      <w:bookmarkStart w:id="84" w:name="_Toc8958"/>
      <w:bookmarkStart w:id="85" w:name="_Toc16524"/>
      <w:bookmarkStart w:id="86" w:name="_Toc2363"/>
      <w:bookmarkStart w:id="87" w:name="_Toc634"/>
      <w:bookmarkStart w:id="88" w:name="_Toc27233"/>
      <w:r>
        <w:rPr>
          <w:rFonts w:hint="default" w:ascii="Times New Roman" w:hAnsi="Times New Roman" w:eastAsia="宋体" w:cs="Times New Roman"/>
          <w:b/>
          <w:bCs/>
          <w:color w:val="auto"/>
          <w:kern w:val="44"/>
          <w:sz w:val="36"/>
          <w:szCs w:val="44"/>
          <w:u w:val="none" w:color="auto"/>
          <w:lang w:val="en-US" w:eastAsia="zh-CN" w:bidi="ar-SA"/>
        </w:rPr>
        <w:t>总则</w:t>
      </w:r>
      <w:bookmarkEnd w:id="80"/>
      <w:bookmarkEnd w:id="81"/>
      <w:bookmarkEnd w:id="82"/>
      <w:bookmarkEnd w:id="83"/>
      <w:bookmarkEnd w:id="84"/>
      <w:bookmarkEnd w:id="85"/>
      <w:bookmarkEnd w:id="86"/>
      <w:bookmarkEnd w:id="87"/>
      <w:bookmarkEnd w:id="88"/>
    </w:p>
    <w:p>
      <w:pPr>
        <w:widowControl w:val="0"/>
        <w:bidi w:val="0"/>
        <w:spacing w:line="360" w:lineRule="auto"/>
        <w:ind w:left="0" w:firstLine="0"/>
        <w:jc w:val="both"/>
        <w:outlineLvl w:val="1"/>
        <w:rPr>
          <w:rFonts w:hint="default" w:ascii="Times New Roman" w:hAnsi="Times New Roman" w:eastAsia="宋体" w:cs="Times New Roman"/>
          <w:b/>
          <w:color w:val="auto"/>
          <w:kern w:val="2"/>
          <w:sz w:val="24"/>
          <w:szCs w:val="24"/>
          <w:u w:val="none" w:color="auto"/>
          <w:lang w:val="en-US" w:eastAsia="zh-CN" w:bidi="ar-SA"/>
        </w:rPr>
      </w:pPr>
      <w:bookmarkStart w:id="89" w:name="_Toc7225"/>
      <w:bookmarkStart w:id="90" w:name="_Toc14222"/>
      <w:bookmarkStart w:id="91" w:name="_Toc26743"/>
      <w:bookmarkStart w:id="92" w:name="_Toc16316"/>
      <w:bookmarkStart w:id="93" w:name="_Toc25643"/>
      <w:bookmarkStart w:id="94" w:name="_Toc17967"/>
      <w:bookmarkStart w:id="95" w:name="_Toc31611"/>
      <w:bookmarkStart w:id="96" w:name="_Toc3863"/>
      <w:r>
        <w:rPr>
          <w:rFonts w:hint="default" w:ascii="Times New Roman" w:hAnsi="Times New Roman" w:eastAsia="宋体" w:cs="Times New Roman"/>
          <w:b/>
          <w:color w:val="auto"/>
          <w:kern w:val="2"/>
          <w:sz w:val="24"/>
          <w:szCs w:val="24"/>
          <w:u w:val="none" w:color="auto"/>
          <w:lang w:val="en-US" w:eastAsia="zh-CN" w:bidi="ar-SA"/>
        </w:rPr>
        <w:t>1.1编制依据</w:t>
      </w:r>
      <w:bookmarkEnd w:id="89"/>
      <w:bookmarkEnd w:id="90"/>
      <w:bookmarkEnd w:id="91"/>
      <w:bookmarkEnd w:id="92"/>
      <w:bookmarkEnd w:id="93"/>
      <w:bookmarkEnd w:id="94"/>
      <w:bookmarkEnd w:id="95"/>
      <w:bookmarkEnd w:id="96"/>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《中华人民共和国环境保护法》2015年1月1日施行；</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《中华人民共和国环境影响评价法》2018年12月29日修订；</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《中华人民共和国水污染防治法》2017年6月27日修订；</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highlight w:val="none"/>
          <w:u w:val="none"/>
        </w:rPr>
        <w:t>《中华人民共和国大气污染防治法》</w:t>
      </w:r>
      <w:r>
        <w:rPr>
          <w:rFonts w:hint="eastAsia"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rPr>
        <w:t>2018年10月26日施行；</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highlight w:val="none"/>
          <w:u w:val="none"/>
        </w:rPr>
        <w:t>《中华人民共和国固体废物污染环境防治法》</w:t>
      </w:r>
      <w:r>
        <w:rPr>
          <w:rFonts w:hint="eastAsia"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rPr>
        <w:t>2020年9月1日施行；</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highlight w:val="none"/>
          <w:u w:val="none"/>
        </w:rPr>
        <w:t>《中华人民共和国土壤污染防治法》，2019年1月1日施行</w:t>
      </w:r>
      <w:r>
        <w:rPr>
          <w:rFonts w:hint="eastAsia" w:ascii="Times New Roman" w:hAnsi="Times New Roman" w:eastAsia="宋体" w:cs="Times New Roman"/>
          <w:color w:val="auto"/>
          <w:sz w:val="24"/>
          <w:highlight w:val="none"/>
          <w:u w:val="none"/>
          <w:lang w:eastAsia="zh-CN"/>
        </w:rPr>
        <w:t>；</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《建设项目环境保护管理条例》2017年10月1日施行；</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highlight w:val="none"/>
          <w:u w:val="none"/>
        </w:rPr>
        <w:t>《国家危险废物名录》（2021年版）</w:t>
      </w:r>
      <w:r>
        <w:rPr>
          <w:rFonts w:hint="eastAsia" w:ascii="Times New Roman" w:hAnsi="Times New Roman" w:eastAsia="宋体" w:cs="Times New Roman"/>
          <w:color w:val="auto"/>
          <w:sz w:val="24"/>
          <w:highlight w:val="none"/>
          <w:u w:val="none"/>
          <w:lang w:eastAsia="zh-CN"/>
        </w:rPr>
        <w:t>；</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《危险化学品安全管理条例》（国务院令第591号，2011年2月16日国务院修订通过，2011.12.1实施）；</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《关于切实加强风险防范严格环境影响评价管理的通知》，环发[2012]98号，2012年8月8日；</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《湖南省环境保护条例》（2019年修订）；</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《建设项目环境影响评价技术导则</w:t>
      </w:r>
      <w:r>
        <w:rPr>
          <w:rFonts w:hint="eastAsia"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总纲》（HJ2.1-2016）；</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《建设项目环境风险评价技术导则》</w:t>
      </w:r>
      <w:r>
        <w:rPr>
          <w:rFonts w:hint="default" w:ascii="Times New Roman" w:hAnsi="Times New Roman"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HJ169-2018</w:t>
      </w:r>
      <w:r>
        <w:rPr>
          <w:rFonts w:hint="default" w:ascii="Times New Roman" w:hAnsi="Times New Roman"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《危险化学品重大危险源辨识》</w:t>
      </w:r>
      <w:r>
        <w:rPr>
          <w:rFonts w:hint="default" w:ascii="Times New Roman" w:hAnsi="Times New Roman"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GB18218-2018</w:t>
      </w:r>
      <w:r>
        <w:rPr>
          <w:rFonts w:hint="default" w:ascii="Times New Roman" w:hAnsi="Times New Roman"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《危险化学品目录（20</w:t>
      </w:r>
      <w:r>
        <w:rPr>
          <w:rFonts w:hint="eastAsia" w:ascii="Times New Roman" w:hAnsi="Times New Roman" w:cs="Times New Roman"/>
          <w:color w:val="auto"/>
          <w:sz w:val="24"/>
          <w:szCs w:val="24"/>
          <w:u w:val="none" w:color="auto"/>
          <w:lang w:val="en-US" w:eastAsia="zh-CN"/>
        </w:rPr>
        <w:t>22调整</w:t>
      </w:r>
      <w:r>
        <w:rPr>
          <w:rFonts w:hint="default" w:ascii="Times New Roman" w:hAnsi="Times New Roman" w:eastAsia="宋体" w:cs="Times New Roman"/>
          <w:color w:val="auto"/>
          <w:sz w:val="24"/>
          <w:szCs w:val="24"/>
          <w:u w:val="none" w:color="auto"/>
        </w:rPr>
        <w:t>版）》；</w:t>
      </w:r>
    </w:p>
    <w:p>
      <w:pPr>
        <w:widowControl w:val="0"/>
        <w:bidi w:val="0"/>
        <w:spacing w:line="360" w:lineRule="auto"/>
        <w:ind w:left="0" w:firstLine="0"/>
        <w:jc w:val="both"/>
        <w:outlineLvl w:val="1"/>
        <w:rPr>
          <w:rFonts w:hint="default" w:ascii="Times New Roman" w:hAnsi="Times New Roman" w:eastAsia="宋体" w:cs="Times New Roman"/>
          <w:b/>
          <w:bCs w:val="0"/>
          <w:color w:val="auto"/>
          <w:kern w:val="36"/>
          <w:sz w:val="24"/>
          <w:szCs w:val="24"/>
          <w:u w:val="none" w:color="auto"/>
          <w:lang w:val="zh-CN" w:eastAsia="zh-CN" w:bidi="ar-SA"/>
        </w:rPr>
      </w:pPr>
      <w:bookmarkStart w:id="97" w:name="_Toc26560"/>
      <w:r>
        <w:rPr>
          <w:rFonts w:hint="default" w:ascii="Times New Roman" w:hAnsi="Times New Roman" w:eastAsia="宋体" w:cs="Times New Roman"/>
          <w:b/>
          <w:bCs w:val="0"/>
          <w:color w:val="auto"/>
          <w:kern w:val="36"/>
          <w:sz w:val="24"/>
          <w:szCs w:val="24"/>
          <w:u w:val="none" w:color="auto"/>
          <w:lang w:val="en-US" w:eastAsia="zh-CN" w:bidi="ar-SA"/>
        </w:rPr>
        <w:t>1.2</w:t>
      </w:r>
      <w:r>
        <w:rPr>
          <w:rFonts w:hint="default" w:ascii="Times New Roman" w:hAnsi="Times New Roman" w:eastAsia="宋体" w:cs="Times New Roman"/>
          <w:b/>
          <w:bCs w:val="0"/>
          <w:color w:val="auto"/>
          <w:kern w:val="36"/>
          <w:sz w:val="24"/>
          <w:szCs w:val="24"/>
          <w:u w:val="none" w:color="auto"/>
          <w:lang w:val="zh-CN" w:eastAsia="zh-CN" w:bidi="ar-SA"/>
        </w:rPr>
        <w:t>评价工作程序</w:t>
      </w:r>
      <w:bookmarkEnd w:id="97"/>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rPr>
      </w:pPr>
      <w:r>
        <w:rPr>
          <w:rFonts w:hint="default" w:ascii="Times New Roman" w:hAnsi="Times New Roman" w:eastAsia="宋体" w:cs="Times New Roman"/>
          <w:bCs/>
          <w:color w:val="auto"/>
          <w:kern w:val="0"/>
          <w:sz w:val="24"/>
          <w:szCs w:val="24"/>
          <w:highlight w:val="none"/>
          <w:u w:val="none" w:color="auto"/>
        </w:rPr>
        <w:t>环境风险评价是在分析项目事故发生概率和预测事故状态下的影响程度基础上，对项目建设和运行过程中可能存在的事故隐患（事故源）提出事故防范措施和事故后应急措施，使建设项目的环境风险影响尽可能降到最低，项目风险度达到可接受水平，其具体的评价工作程序图</w:t>
      </w:r>
      <w:r>
        <w:rPr>
          <w:rFonts w:hint="default" w:ascii="Times New Roman" w:hAnsi="Times New Roman" w:cs="Times New Roman"/>
          <w:bCs/>
          <w:color w:val="auto"/>
          <w:kern w:val="0"/>
          <w:sz w:val="24"/>
          <w:szCs w:val="24"/>
          <w:highlight w:val="none"/>
          <w:u w:val="none" w:color="auto"/>
          <w:lang w:val="en-US" w:eastAsia="zh-CN"/>
        </w:rPr>
        <w:t>1.2</w:t>
      </w:r>
      <w:r>
        <w:rPr>
          <w:rFonts w:hint="default" w:ascii="Times New Roman" w:hAnsi="Times New Roman" w:eastAsia="宋体" w:cs="Times New Roman"/>
          <w:bCs/>
          <w:color w:val="auto"/>
          <w:kern w:val="0"/>
          <w:sz w:val="24"/>
          <w:szCs w:val="24"/>
          <w:highlight w:val="none"/>
          <w:u w:val="none" w:color="auto"/>
        </w:rPr>
        <w:t>-1。</w:t>
      </w:r>
    </w:p>
    <w:p>
      <w:pPr>
        <w:autoSpaceDE w:val="0"/>
        <w:autoSpaceDN w:val="0"/>
        <w:adjustRightInd/>
        <w:snapToGrid/>
        <w:spacing w:before="12" w:line="360" w:lineRule="auto"/>
        <w:ind w:firstLine="0" w:firstLineChars="0"/>
        <w:jc w:val="center"/>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rPr>
        <w:drawing>
          <wp:inline distT="0" distB="0" distL="0" distR="0">
            <wp:extent cx="5543550" cy="6658610"/>
            <wp:effectExtent l="0" t="0" r="0" b="8890"/>
            <wp:docPr id="95" name="图片 1099" descr="QQ截图2019022508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99" descr="QQ截图20190225085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543550" cy="6658610"/>
                    </a:xfrm>
                    <a:prstGeom prst="rect">
                      <a:avLst/>
                    </a:prstGeom>
                    <a:noFill/>
                    <a:ln>
                      <a:noFill/>
                    </a:ln>
                  </pic:spPr>
                </pic:pic>
              </a:graphicData>
            </a:graphic>
          </wp:inline>
        </w:drawing>
      </w:r>
    </w:p>
    <w:p>
      <w:pPr>
        <w:adjustRightInd w:val="0"/>
        <w:snapToGrid w:val="0"/>
        <w:spacing w:line="360" w:lineRule="auto"/>
        <w:ind w:firstLine="482" w:firstLineChars="200"/>
        <w:jc w:val="center"/>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b/>
          <w:bCs/>
          <w:color w:val="auto"/>
          <w:sz w:val="24"/>
          <w:szCs w:val="24"/>
          <w:highlight w:val="none"/>
          <w:u w:val="none" w:color="auto"/>
        </w:rPr>
        <w:t>图</w:t>
      </w:r>
      <w:r>
        <w:rPr>
          <w:rFonts w:hint="default" w:ascii="Times New Roman" w:hAnsi="Times New Roman" w:cs="Times New Roman"/>
          <w:b/>
          <w:bCs/>
          <w:color w:val="auto"/>
          <w:sz w:val="24"/>
          <w:szCs w:val="24"/>
          <w:highlight w:val="none"/>
          <w:u w:val="none" w:color="auto"/>
          <w:lang w:val="en-US" w:eastAsia="zh-CN"/>
        </w:rPr>
        <w:t>1.2.1</w:t>
      </w:r>
      <w:r>
        <w:rPr>
          <w:rFonts w:hint="default" w:ascii="Times New Roman" w:hAnsi="Times New Roman" w:eastAsia="宋体" w:cs="Times New Roman"/>
          <w:b/>
          <w:bCs/>
          <w:color w:val="auto"/>
          <w:sz w:val="24"/>
          <w:szCs w:val="24"/>
          <w:highlight w:val="none"/>
          <w:u w:val="none" w:color="auto"/>
        </w:rPr>
        <w:t>项目风险评价工作程序</w:t>
      </w:r>
    </w:p>
    <w:p>
      <w:pPr>
        <w:widowControl w:val="0"/>
        <w:bidi w:val="0"/>
        <w:spacing w:line="360" w:lineRule="auto"/>
        <w:ind w:left="0" w:firstLine="0"/>
        <w:jc w:val="both"/>
        <w:outlineLvl w:val="1"/>
        <w:rPr>
          <w:rFonts w:hint="default" w:ascii="Times New Roman" w:hAnsi="Times New Roman" w:eastAsia="宋体" w:cs="Times New Roman"/>
          <w:b/>
          <w:bCs w:val="0"/>
          <w:color w:val="auto"/>
          <w:kern w:val="36"/>
          <w:sz w:val="24"/>
          <w:szCs w:val="24"/>
          <w:u w:val="none" w:color="auto"/>
          <w:lang w:val="zh-CN" w:eastAsia="zh-CN" w:bidi="ar-SA"/>
        </w:rPr>
      </w:pPr>
      <w:bookmarkStart w:id="98" w:name="_Toc14028"/>
      <w:r>
        <w:rPr>
          <w:rFonts w:hint="default" w:ascii="Times New Roman" w:hAnsi="Times New Roman" w:eastAsia="宋体" w:cs="Times New Roman"/>
          <w:b/>
          <w:bCs w:val="0"/>
          <w:color w:val="auto"/>
          <w:kern w:val="36"/>
          <w:sz w:val="24"/>
          <w:szCs w:val="24"/>
          <w:u w:val="none" w:color="auto"/>
          <w:lang w:val="en-US" w:eastAsia="zh-CN" w:bidi="ar-SA"/>
        </w:rPr>
        <w:t>1.3</w:t>
      </w:r>
      <w:r>
        <w:rPr>
          <w:rFonts w:hint="default" w:ascii="Times New Roman" w:hAnsi="Times New Roman" w:eastAsia="宋体" w:cs="Times New Roman"/>
          <w:b/>
          <w:bCs w:val="0"/>
          <w:color w:val="auto"/>
          <w:kern w:val="36"/>
          <w:sz w:val="24"/>
          <w:szCs w:val="24"/>
          <w:u w:val="none" w:color="auto"/>
          <w:lang w:val="zh-CN" w:eastAsia="zh-CN" w:bidi="ar-SA"/>
        </w:rPr>
        <w:t>评价工作内容</w:t>
      </w:r>
      <w:bookmarkEnd w:id="98"/>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根据《建设项目环境风险评价技术导则》（HJ169-2018），本项目环境风险评价包括以下内容：</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1）调查本项目危险物质数量和分布情况、生产工艺特点，收集危险物质安全技术说明书（MSDS）等基础资料。基于风险调查，分析项目物质及工艺系统危险性和环境敏感性，进行风险潜势的判断，确定风险评价等级；</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（2）风险识别及风险事故情形分析，明确危险物质在生产系统中的主要分布，筛选具有代表性的风险事故情形，合理设定事故源项。</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（3）根据评价等级进行预测评价，分析说明环境风险事故影响范围与程度，提出环境风险防范的基本要求。</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（4）提出环境风险管理对策，明确环境风险防范措施及突发环境事件应急预案编制要求；</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（5）综合环境风险评价过程，给出评价结论与建议。</w:t>
      </w:r>
    </w:p>
    <w:p>
      <w:pPr>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br w:type="page"/>
      </w:r>
    </w:p>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u w:val="none" w:color="auto"/>
          <w:lang w:val="zh-CN" w:eastAsia="zh-CN" w:bidi="ar-SA"/>
        </w:rPr>
      </w:pPr>
      <w:bookmarkStart w:id="99" w:name="_Toc14924"/>
      <w:bookmarkStart w:id="100" w:name="_Toc6414"/>
      <w:bookmarkStart w:id="101" w:name="_Toc31372"/>
      <w:bookmarkStart w:id="102" w:name="_Toc17594"/>
      <w:bookmarkStart w:id="103" w:name="_Toc75439884"/>
      <w:bookmarkStart w:id="104" w:name="_Toc18212"/>
      <w:bookmarkStart w:id="105" w:name="_Toc2780"/>
      <w:bookmarkStart w:id="106" w:name="_Toc13793"/>
      <w:bookmarkStart w:id="107" w:name="_Toc22861"/>
      <w:bookmarkStart w:id="108" w:name="_Toc2537"/>
      <w:bookmarkStart w:id="109" w:name="_Toc74250382"/>
      <w:r>
        <w:rPr>
          <w:rFonts w:hint="default" w:ascii="Times New Roman" w:hAnsi="Times New Roman" w:eastAsia="宋体" w:cs="Times New Roman"/>
          <w:b/>
          <w:bCs/>
          <w:color w:val="auto"/>
          <w:kern w:val="44"/>
          <w:sz w:val="36"/>
          <w:szCs w:val="44"/>
          <w:u w:val="none" w:color="auto"/>
          <w:lang w:val="zh-CN" w:eastAsia="zh-CN" w:bidi="ar-SA"/>
        </w:rPr>
        <w:t>项目风险源调查</w:t>
      </w:r>
      <w:bookmarkEnd w:id="99"/>
      <w:bookmarkEnd w:id="100"/>
    </w:p>
    <w:p>
      <w:pPr>
        <w:spacing w:line="360" w:lineRule="auto"/>
        <w:ind w:firstLine="480" w:firstLineChars="20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zh-CN" w:eastAsia="zh-CN"/>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widowControl w:val="0"/>
        <w:bidi w:val="0"/>
        <w:spacing w:line="360" w:lineRule="auto"/>
        <w:ind w:left="0" w:firstLine="0"/>
        <w:jc w:val="both"/>
        <w:outlineLvl w:val="1"/>
        <w:rPr>
          <w:rFonts w:hint="default" w:ascii="Times New Roman" w:hAnsi="Times New Roman" w:eastAsia="宋体" w:cs="Times New Roman"/>
          <w:b/>
          <w:color w:val="auto"/>
          <w:kern w:val="2"/>
          <w:sz w:val="24"/>
          <w:szCs w:val="28"/>
          <w:highlight w:val="none"/>
          <w:u w:val="none" w:color="auto"/>
          <w:lang w:val="en-US" w:eastAsia="zh-CN" w:bidi="ar-SA"/>
        </w:rPr>
      </w:pPr>
      <w:r>
        <w:rPr>
          <w:rFonts w:hint="default" w:ascii="Times New Roman" w:hAnsi="Times New Roman" w:eastAsia="宋体" w:cs="Times New Roman"/>
          <w:b/>
          <w:color w:val="auto"/>
          <w:kern w:val="2"/>
          <w:sz w:val="24"/>
          <w:szCs w:val="28"/>
          <w:u w:val="none" w:color="auto"/>
          <w:lang w:val="en-US" w:eastAsia="zh-CN" w:bidi="ar-SA"/>
        </w:rPr>
        <w:t>2.1风险源调</w:t>
      </w:r>
      <w:r>
        <w:rPr>
          <w:rFonts w:hint="default" w:ascii="Times New Roman" w:hAnsi="Times New Roman" w:eastAsia="宋体" w:cs="Times New Roman"/>
          <w:b/>
          <w:color w:val="auto"/>
          <w:kern w:val="2"/>
          <w:sz w:val="24"/>
          <w:szCs w:val="28"/>
          <w:highlight w:val="none"/>
          <w:u w:val="none" w:color="auto"/>
          <w:lang w:val="en-US" w:eastAsia="zh-CN" w:bidi="ar-SA"/>
        </w:rPr>
        <w:t>查</w:t>
      </w:r>
    </w:p>
    <w:p>
      <w:pPr>
        <w:spacing w:line="360" w:lineRule="auto"/>
        <w:ind w:firstLine="480" w:firstLineChars="200"/>
        <w:rPr>
          <w:rFonts w:hint="default" w:ascii="Times New Roman" w:hAnsi="Times New Roman" w:cs="Times New Roman"/>
          <w:color w:val="auto"/>
          <w:sz w:val="24"/>
          <w:szCs w:val="24"/>
          <w:highlight w:val="none"/>
          <w:u w:val="single" w:color="auto"/>
          <w:lang w:val="en-US" w:eastAsia="zh-CN"/>
        </w:rPr>
      </w:pPr>
      <w:r>
        <w:rPr>
          <w:rFonts w:hint="default" w:ascii="Times New Roman" w:hAnsi="Times New Roman" w:cs="Times New Roman"/>
          <w:color w:val="auto"/>
          <w:sz w:val="24"/>
          <w:szCs w:val="24"/>
          <w:highlight w:val="none"/>
          <w:u w:val="single" w:color="auto"/>
          <w:lang w:val="en-US" w:eastAsia="zh-CN"/>
        </w:rPr>
        <w:t>本项目涉及的风险物质主要为</w:t>
      </w:r>
      <w:r>
        <w:rPr>
          <w:rFonts w:hint="eastAsia" w:cs="Times New Roman"/>
          <w:color w:val="auto"/>
          <w:sz w:val="24"/>
          <w:szCs w:val="24"/>
          <w:highlight w:val="none"/>
          <w:u w:val="single" w:color="auto"/>
          <w:lang w:val="en-US" w:eastAsia="zh-CN"/>
        </w:rPr>
        <w:t>96%</w:t>
      </w:r>
      <w:r>
        <w:rPr>
          <w:rFonts w:hint="default" w:ascii="Times New Roman" w:hAnsi="Times New Roman" w:cs="Times New Roman"/>
          <w:color w:val="auto"/>
          <w:sz w:val="24"/>
          <w:szCs w:val="24"/>
          <w:highlight w:val="none"/>
          <w:u w:val="single" w:color="auto"/>
          <w:lang w:val="en-US" w:eastAsia="zh-CN"/>
        </w:rPr>
        <w:t>硫酸、氨气（液氨）、槽液、污泥</w:t>
      </w:r>
      <w:r>
        <w:rPr>
          <w:rFonts w:hint="eastAsia" w:ascii="Times New Roman" w:hAnsi="Times New Roman" w:cs="Times New Roman"/>
          <w:color w:val="auto"/>
          <w:sz w:val="24"/>
          <w:szCs w:val="24"/>
          <w:highlight w:val="none"/>
          <w:u w:val="single" w:color="auto"/>
          <w:lang w:val="en-US" w:eastAsia="zh-CN"/>
        </w:rPr>
        <w:t>、金属锰</w:t>
      </w:r>
      <w:r>
        <w:rPr>
          <w:rFonts w:hint="eastAsia" w:cs="Times New Roman"/>
          <w:color w:val="auto"/>
          <w:sz w:val="24"/>
          <w:szCs w:val="24"/>
          <w:highlight w:val="none"/>
          <w:u w:val="single" w:color="auto"/>
          <w:lang w:val="en-US" w:eastAsia="zh-CN"/>
        </w:rPr>
        <w:t>、废机油、润滑油</w:t>
      </w:r>
      <w:r>
        <w:rPr>
          <w:rFonts w:hint="default" w:ascii="Times New Roman" w:hAnsi="Times New Roman" w:cs="Times New Roman"/>
          <w:color w:val="auto"/>
          <w:sz w:val="24"/>
          <w:szCs w:val="24"/>
          <w:highlight w:val="none"/>
          <w:u w:val="single" w:color="auto"/>
          <w:lang w:val="en-US" w:eastAsia="zh-CN"/>
        </w:rPr>
        <w:t>。</w:t>
      </w:r>
    </w:p>
    <w:p>
      <w:pPr>
        <w:widowControl w:val="0"/>
        <w:bidi w:val="0"/>
        <w:spacing w:line="360" w:lineRule="auto"/>
        <w:ind w:left="0" w:firstLine="0"/>
        <w:jc w:val="both"/>
        <w:outlineLvl w:val="1"/>
        <w:rPr>
          <w:rFonts w:hint="default" w:ascii="Times New Roman" w:hAnsi="Times New Roman" w:eastAsia="宋体" w:cs="Times New Roman"/>
          <w:b/>
          <w:color w:val="auto"/>
          <w:kern w:val="2"/>
          <w:sz w:val="24"/>
          <w:szCs w:val="28"/>
          <w:u w:val="none" w:color="auto"/>
          <w:lang w:val="en-US" w:eastAsia="zh-CN" w:bidi="ar-SA"/>
        </w:rPr>
      </w:pPr>
      <w:bookmarkStart w:id="110" w:name="bookmark50"/>
      <w:bookmarkEnd w:id="110"/>
      <w:r>
        <w:rPr>
          <w:rFonts w:hint="default" w:ascii="Times New Roman" w:hAnsi="Times New Roman" w:eastAsia="宋体" w:cs="Times New Roman"/>
          <w:b/>
          <w:color w:val="auto"/>
          <w:kern w:val="2"/>
          <w:sz w:val="24"/>
          <w:szCs w:val="28"/>
          <w:u w:val="none" w:color="auto"/>
          <w:lang w:val="en-US" w:eastAsia="zh-CN" w:bidi="ar-SA"/>
        </w:rPr>
        <w:t>2.2</w:t>
      </w:r>
      <w:bookmarkEnd w:id="101"/>
      <w:bookmarkEnd w:id="102"/>
      <w:bookmarkEnd w:id="103"/>
      <w:bookmarkEnd w:id="104"/>
      <w:bookmarkEnd w:id="105"/>
      <w:bookmarkEnd w:id="106"/>
      <w:bookmarkEnd w:id="107"/>
      <w:bookmarkEnd w:id="108"/>
      <w:bookmarkEnd w:id="109"/>
      <w:bookmarkStart w:id="111" w:name="_Toc30816"/>
      <w:r>
        <w:rPr>
          <w:rFonts w:hint="default" w:ascii="Times New Roman" w:hAnsi="Times New Roman" w:eastAsia="宋体" w:cs="Times New Roman"/>
          <w:b/>
          <w:color w:val="auto"/>
          <w:kern w:val="2"/>
          <w:sz w:val="24"/>
          <w:szCs w:val="28"/>
          <w:u w:val="none" w:color="auto"/>
          <w:lang w:val="en-US" w:eastAsia="zh-CN" w:bidi="ar-SA"/>
        </w:rPr>
        <w:t>环境敏感目标调查</w:t>
      </w:r>
      <w:bookmarkEnd w:id="111"/>
    </w:p>
    <w:p>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本项目位于</w:t>
      </w:r>
      <w:r>
        <w:rPr>
          <w:rFonts w:hint="default" w:ascii="Times New Roman" w:hAnsi="Times New Roman" w:eastAsia="宋体" w:cs="Times New Roman"/>
          <w:color w:val="auto"/>
          <w:sz w:val="24"/>
          <w:szCs w:val="24"/>
          <w:highlight w:val="none"/>
          <w:u w:val="none" w:color="auto"/>
          <w:lang w:eastAsia="zh-CN"/>
        </w:rPr>
        <w:t>湘阴高新技术产业开发区金龙片区</w:t>
      </w:r>
      <w:r>
        <w:rPr>
          <w:rFonts w:hint="default" w:ascii="Times New Roman" w:hAnsi="Times New Roman" w:eastAsia="宋体" w:cs="Times New Roman"/>
          <w:color w:val="auto"/>
          <w:sz w:val="24"/>
          <w:szCs w:val="24"/>
          <w:highlight w:val="none"/>
          <w:u w:val="none" w:color="auto"/>
        </w:rPr>
        <w:t>，根据对建设项目周边环境的调查，本项目环境</w:t>
      </w:r>
      <w:r>
        <w:rPr>
          <w:rFonts w:hint="default" w:ascii="Times New Roman" w:hAnsi="Times New Roman" w:cs="Times New Roman"/>
          <w:color w:val="auto"/>
          <w:sz w:val="24"/>
          <w:szCs w:val="24"/>
          <w:highlight w:val="none"/>
          <w:u w:val="none" w:color="auto"/>
          <w:lang w:eastAsia="zh-CN"/>
        </w:rPr>
        <w:t>风险</w:t>
      </w:r>
      <w:r>
        <w:rPr>
          <w:rFonts w:hint="default" w:ascii="Times New Roman" w:hAnsi="Times New Roman" w:eastAsia="宋体" w:cs="Times New Roman"/>
          <w:color w:val="auto"/>
          <w:sz w:val="24"/>
          <w:szCs w:val="24"/>
          <w:highlight w:val="none"/>
          <w:u w:val="none" w:color="auto"/>
        </w:rPr>
        <w:t>保护目标详见下表。</w:t>
      </w:r>
    </w:p>
    <w:p>
      <w:pPr>
        <w:widowControl w:val="0"/>
        <w:spacing w:line="320" w:lineRule="exact"/>
        <w:ind w:firstLine="0" w:firstLineChars="0"/>
        <w:jc w:val="center"/>
        <w:rPr>
          <w:rFonts w:hint="default" w:ascii="Times New Roman" w:hAnsi="Times New Roman" w:eastAsia="宋体" w:cs="Times New Roman"/>
          <w:b/>
          <w:strike w:val="0"/>
          <w:dstrike w:val="0"/>
          <w:color w:val="auto"/>
          <w:kern w:val="2"/>
          <w:sz w:val="24"/>
          <w:szCs w:val="24"/>
          <w:u w:val="none" w:color="auto"/>
          <w:lang w:val="zh-CN" w:eastAsia="zh-CN" w:bidi="ar-SA"/>
        </w:rPr>
      </w:pPr>
      <w:bookmarkStart w:id="112" w:name="_Toc29229"/>
      <w:r>
        <w:rPr>
          <w:rFonts w:hint="default" w:ascii="Times New Roman" w:hAnsi="Times New Roman" w:eastAsia="宋体" w:cs="Times New Roman"/>
          <w:b/>
          <w:strike w:val="0"/>
          <w:dstrike w:val="0"/>
          <w:color w:val="auto"/>
          <w:kern w:val="2"/>
          <w:sz w:val="24"/>
          <w:szCs w:val="24"/>
          <w:u w:val="none" w:color="auto"/>
          <w:lang w:val="zh-CN" w:eastAsia="zh-CN" w:bidi="ar-SA"/>
        </w:rPr>
        <w:t>表</w:t>
      </w:r>
      <w:r>
        <w:rPr>
          <w:rFonts w:hint="default" w:ascii="Times New Roman" w:hAnsi="Times New Roman" w:cs="Times New Roman"/>
          <w:b/>
          <w:strike w:val="0"/>
          <w:dstrike w:val="0"/>
          <w:color w:val="auto"/>
          <w:kern w:val="2"/>
          <w:sz w:val="24"/>
          <w:szCs w:val="24"/>
          <w:u w:val="none" w:color="auto"/>
          <w:lang w:val="en-US" w:eastAsia="zh-CN" w:bidi="ar-SA"/>
        </w:rPr>
        <w:t>2.2-1</w:t>
      </w:r>
      <w:r>
        <w:rPr>
          <w:rFonts w:hint="default" w:ascii="Times New Roman" w:hAnsi="Times New Roman" w:eastAsia="宋体" w:cs="Times New Roman"/>
          <w:b/>
          <w:strike w:val="0"/>
          <w:dstrike w:val="0"/>
          <w:color w:val="auto"/>
          <w:kern w:val="2"/>
          <w:sz w:val="24"/>
          <w:szCs w:val="24"/>
          <w:u w:val="none" w:color="auto"/>
          <w:lang w:val="zh-CN" w:eastAsia="zh-CN" w:bidi="ar-SA"/>
        </w:rPr>
        <w:t>项目环境敏感目标表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713"/>
        <w:gridCol w:w="1964"/>
        <w:gridCol w:w="171"/>
        <w:gridCol w:w="779"/>
        <w:gridCol w:w="357"/>
        <w:gridCol w:w="593"/>
        <w:gridCol w:w="405"/>
        <w:gridCol w:w="177"/>
        <w:gridCol w:w="965"/>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类别</w:t>
            </w:r>
          </w:p>
        </w:tc>
        <w:tc>
          <w:tcPr>
            <w:tcW w:w="7678"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环境空气</w:t>
            </w:r>
          </w:p>
        </w:tc>
        <w:tc>
          <w:tcPr>
            <w:tcW w:w="7678"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厂址周边</w:t>
            </w:r>
            <w:r>
              <w:rPr>
                <w:rFonts w:hint="eastAsia" w:ascii="Times New Roman" w:hAnsi="Times New Roman" w:cs="Times New Roman"/>
                <w:iCs/>
                <w:color w:val="auto"/>
                <w:sz w:val="21"/>
                <w:szCs w:val="21"/>
                <w:highlight w:val="none"/>
                <w:u w:val="none" w:color="auto"/>
                <w:lang w:val="en-US" w:bidi="zh-CN"/>
              </w:rPr>
              <w:t>500</w:t>
            </w:r>
            <w:r>
              <w:rPr>
                <w:rFonts w:hint="default" w:ascii="Times New Roman" w:hAnsi="Times New Roman" w:eastAsia="宋体" w:cs="Times New Roman"/>
                <w:iCs/>
                <w:color w:val="auto"/>
                <w:sz w:val="21"/>
                <w:szCs w:val="21"/>
                <w:highlight w:val="none"/>
                <w:u w:val="none" w:color="auto"/>
                <w:lang w:val="zh-CN" w:bidi="zh-CN"/>
              </w:rPr>
              <w:t>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b/>
                <w:bCs/>
                <w:color w:val="auto"/>
                <w:kern w:val="0"/>
                <w:sz w:val="21"/>
                <w:szCs w:val="21"/>
                <w:highlight w:val="none"/>
                <w:u w:val="none" w:color="auto"/>
                <w:lang w:val="zh-CN" w:bidi="zh-CN"/>
              </w:rPr>
              <w:t>序号</w:t>
            </w:r>
          </w:p>
        </w:tc>
        <w:tc>
          <w:tcPr>
            <w:tcW w:w="1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b/>
                <w:bCs/>
                <w:color w:val="auto"/>
                <w:kern w:val="0"/>
                <w:sz w:val="21"/>
                <w:szCs w:val="21"/>
                <w:highlight w:val="none"/>
                <w:u w:val="none" w:color="auto"/>
                <w:lang w:val="zh-CN" w:bidi="zh-CN"/>
              </w:rPr>
              <w:t>敏感目标名称</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cs="Times New Roman"/>
                <w:b/>
                <w:bCs/>
                <w:snapToGrid w:val="0"/>
                <w:color w:val="auto"/>
                <w:szCs w:val="21"/>
                <w:highlight w:val="none"/>
                <w:u w:val="none"/>
              </w:rPr>
              <w:t>相对厂址方位</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b/>
                <w:bCs/>
                <w:color w:val="auto"/>
                <w:kern w:val="0"/>
                <w:sz w:val="21"/>
                <w:szCs w:val="21"/>
                <w:highlight w:val="none"/>
                <w:u w:val="none" w:color="auto"/>
                <w:lang w:val="zh-CN" w:bidi="zh-CN"/>
              </w:rPr>
            </w:pPr>
            <w:r>
              <w:rPr>
                <w:rFonts w:hint="eastAsia" w:ascii="Times New Roman" w:hAnsi="Times New Roman" w:cs="Times New Roman"/>
                <w:b/>
                <w:bCs/>
                <w:snapToGrid w:val="0"/>
                <w:color w:val="auto"/>
                <w:szCs w:val="21"/>
                <w:highlight w:val="none"/>
                <w:u w:val="none"/>
                <w:lang w:eastAsia="zh-CN"/>
              </w:rPr>
              <w:t>距厂界最近</w:t>
            </w:r>
            <w:r>
              <w:rPr>
                <w:rFonts w:hint="default" w:ascii="Times New Roman" w:hAnsi="Times New Roman" w:cs="Times New Roman"/>
                <w:b/>
                <w:bCs/>
                <w:snapToGrid w:val="0"/>
                <w:color w:val="auto"/>
                <w:szCs w:val="21"/>
                <w:highlight w:val="none"/>
                <w:u w:val="none"/>
              </w:rPr>
              <w:t>距离/m</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b/>
                <w:bCs/>
                <w:color w:val="auto"/>
                <w:kern w:val="0"/>
                <w:sz w:val="21"/>
                <w:szCs w:val="21"/>
                <w:highlight w:val="none"/>
                <w:u w:val="none" w:color="auto"/>
                <w:lang w:val="zh-CN" w:bidi="zh-CN"/>
              </w:rPr>
              <w:t>规模</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b/>
                <w:bCs/>
                <w:color w:val="auto"/>
                <w:kern w:val="0"/>
                <w:sz w:val="21"/>
                <w:szCs w:val="21"/>
                <w:highlight w:val="none"/>
                <w:u w:val="none" w:color="auto"/>
                <w:lang w:val="zh-CN" w:bidi="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snapToGrid w:val="0"/>
                <w:color w:val="auto"/>
                <w:szCs w:val="21"/>
                <w:highlight w:val="none"/>
                <w:u w:val="none"/>
                <w:lang w:val="en-US" w:eastAsia="zh-CN"/>
              </w:rPr>
              <w:t>创新创业服务中心</w:t>
            </w:r>
            <w:r>
              <w:rPr>
                <w:rFonts w:hint="eastAsia" w:ascii="Times New Roman" w:hAnsi="Times New Roman" w:cs="Times New Roman"/>
                <w:color w:val="auto"/>
                <w:lang w:eastAsia="zh-CN"/>
              </w:rPr>
              <w:t>（在建）</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snapToGrid w:val="0"/>
                <w:color w:val="auto"/>
                <w:szCs w:val="21"/>
                <w:highlight w:val="none"/>
                <w:u w:val="none"/>
                <w:lang w:val="en-US" w:eastAsia="zh-CN"/>
              </w:rPr>
              <w:t>东南</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snapToGrid w:val="0"/>
                <w:color w:val="auto"/>
                <w:szCs w:val="21"/>
                <w:highlight w:val="none"/>
                <w:u w:val="none"/>
                <w:lang w:val="en-US" w:eastAsia="zh-CN"/>
              </w:rPr>
              <w:t>40</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snapToGrid w:val="0"/>
                <w:color w:val="auto"/>
                <w:szCs w:val="21"/>
                <w:highlight w:val="none"/>
                <w:u w:val="none"/>
                <w:lang w:val="en-US" w:eastAsia="zh-CN"/>
              </w:rPr>
              <w:t>500人</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小金龙幼儿园</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东</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75</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200人</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金龙居民管委会</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snapToGrid w:val="0"/>
                <w:color w:val="auto"/>
                <w:szCs w:val="21"/>
                <w:highlight w:val="none"/>
                <w:u w:val="none"/>
                <w:lang w:val="en-US" w:eastAsia="zh-CN"/>
              </w:rPr>
              <w:t>东南</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145</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50人</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金龙新区安置小区</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u w:val="none"/>
                <w:lang w:val="en-US" w:eastAsia="zh-CN" w:bidi="ar"/>
              </w:rPr>
              <w:t>东</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u w:val="none"/>
                <w:lang w:val="en-US" w:eastAsia="zh-CN" w:bidi="ar"/>
              </w:rPr>
              <w:t>200</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500户</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金龙花苑</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东南</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u w:val="none"/>
                <w:lang w:val="en-US" w:eastAsia="zh-CN" w:bidi="ar"/>
              </w:rPr>
              <w:t>290</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840户</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金龙镇居民1#</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北</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u w:val="none"/>
                <w:lang w:val="en-US" w:eastAsia="zh-CN" w:bidi="ar"/>
              </w:rPr>
              <w:t>315</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35户</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1"/>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bidi="zh-CN"/>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金龙镇居民2#</w:t>
            </w:r>
          </w:p>
        </w:tc>
        <w:tc>
          <w:tcPr>
            <w:tcW w:w="950" w:type="dxa"/>
            <w:gridSpan w:val="2"/>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highlight w:val="none"/>
                <w:u w:val="none"/>
                <w:lang w:val="en-US" w:eastAsia="zh-CN" w:bidi="ar"/>
              </w:rPr>
              <w:t>北</w:t>
            </w:r>
          </w:p>
        </w:tc>
        <w:tc>
          <w:tcPr>
            <w:tcW w:w="1532" w:type="dxa"/>
            <w:gridSpan w:val="4"/>
            <w:tcBorders>
              <w:top w:val="single" w:color="auto" w:sz="4" w:space="0"/>
              <w:left w:val="single" w:color="auto" w:sz="4" w:space="0"/>
              <w:bottom w:val="single" w:color="auto" w:sz="4" w:space="0"/>
              <w:right w:val="single" w:color="auto" w:sz="4" w:space="0"/>
            </w:tcBorders>
            <w:vAlign w:val="center"/>
          </w:tcPr>
          <w:p>
            <w:pPr>
              <w:widowControl/>
              <w:bidi w:val="0"/>
              <w:spacing w:line="360" w:lineRule="exact"/>
              <w:jc w:val="center"/>
              <w:rPr>
                <w:rFonts w:hint="default" w:ascii="Times New Roman" w:hAnsi="Times New Roman" w:eastAsia="宋体" w:cs="Times New Roman"/>
                <w:b/>
                <w:bCs/>
                <w:color w:val="auto"/>
                <w:kern w:val="0"/>
                <w:sz w:val="21"/>
                <w:szCs w:val="21"/>
                <w:highlight w:val="none"/>
                <w:u w:val="none" w:color="auto"/>
                <w:lang w:val="zh-CN" w:eastAsia="zh-CN" w:bidi="zh-CN"/>
              </w:rPr>
            </w:pPr>
            <w:r>
              <w:rPr>
                <w:rFonts w:hint="eastAsia" w:ascii="Times New Roman" w:hAnsi="Times New Roman" w:eastAsia="宋体" w:cs="Times New Roman"/>
                <w:bCs/>
                <w:color w:val="auto"/>
                <w:kern w:val="2"/>
                <w:sz w:val="21"/>
                <w:szCs w:val="21"/>
                <w:u w:val="none"/>
                <w:lang w:val="en-US" w:eastAsia="zh-CN" w:bidi="ar"/>
              </w:rPr>
              <w:t>490</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30户</w:t>
            </w:r>
          </w:p>
        </w:tc>
        <w:tc>
          <w:tcPr>
            <w:tcW w:w="155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eastAsia" w:ascii="Times New Roman" w:hAnsi="Times New Roman" w:cs="Times New Roman"/>
                <w:color w:val="auto"/>
                <w:szCs w:val="21"/>
                <w:highlight w:val="none"/>
                <w:u w:val="none"/>
                <w:lang w:val="en-US" w:eastAsia="zh-CN"/>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678"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厂址周边5km范围内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序号</w:t>
            </w:r>
          </w:p>
        </w:tc>
        <w:tc>
          <w:tcPr>
            <w:tcW w:w="19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敏感目标名称</w:t>
            </w:r>
          </w:p>
        </w:tc>
        <w:tc>
          <w:tcPr>
            <w:tcW w:w="190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与项目相对位置</w:t>
            </w:r>
          </w:p>
        </w:tc>
        <w:tc>
          <w:tcPr>
            <w:tcW w:w="15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行政村名称</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功能及规模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金龙镇</w:t>
            </w:r>
          </w:p>
        </w:tc>
        <w:tc>
          <w:tcPr>
            <w:tcW w:w="1900" w:type="dxa"/>
            <w:gridSpan w:val="4"/>
            <w:tcBorders>
              <w:top w:val="single" w:color="auto" w:sz="4" w:space="0"/>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东北</w:t>
            </w:r>
            <w:r>
              <w:rPr>
                <w:rFonts w:hint="default" w:ascii="Times New Roman" w:hAnsi="Times New Roman" w:eastAsia="宋体" w:cs="Times New Roman"/>
                <w:color w:val="auto"/>
                <w:kern w:val="0"/>
                <w:sz w:val="21"/>
                <w:szCs w:val="21"/>
                <w:highlight w:val="none"/>
                <w:u w:val="none" w:color="auto"/>
                <w:lang w:val="zh-CN" w:bidi="zh-CN"/>
              </w:rPr>
              <w:t>，</w:t>
            </w:r>
            <w:r>
              <w:rPr>
                <w:rFonts w:hint="default" w:ascii="Times New Roman" w:hAnsi="Times New Roman" w:cs="Times New Roman"/>
                <w:color w:val="auto"/>
                <w:kern w:val="0"/>
                <w:sz w:val="21"/>
                <w:szCs w:val="21"/>
                <w:highlight w:val="none"/>
                <w:u w:val="none" w:color="auto"/>
                <w:lang w:val="en-US" w:bidi="zh-CN"/>
              </w:rPr>
              <w:t>450</w:t>
            </w:r>
            <w:r>
              <w:rPr>
                <w:rFonts w:hint="default" w:ascii="Times New Roman" w:hAnsi="Times New Roman" w:eastAsia="宋体" w:cs="Times New Roman"/>
                <w:color w:val="auto"/>
                <w:kern w:val="0"/>
                <w:sz w:val="21"/>
                <w:szCs w:val="21"/>
                <w:highlight w:val="none"/>
                <w:u w:val="none" w:color="auto"/>
                <w:lang w:val="zh-CN" w:bidi="zh-CN"/>
              </w:rPr>
              <w:t>m</w:t>
            </w:r>
          </w:p>
        </w:tc>
        <w:tc>
          <w:tcPr>
            <w:tcW w:w="1547"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金龙镇</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sz w:val="21"/>
                <w:szCs w:val="21"/>
                <w:highlight w:val="none"/>
                <w:u w:val="none" w:color="auto"/>
                <w:lang w:val="zh-CN" w:bidi="zh-CN"/>
              </w:rPr>
              <w:t>集镇</w:t>
            </w:r>
            <w:r>
              <w:rPr>
                <w:rFonts w:hint="default" w:ascii="Times New Roman" w:hAnsi="Times New Roman" w:eastAsia="宋体" w:cs="Times New Roman"/>
                <w:color w:val="auto"/>
                <w:sz w:val="21"/>
                <w:szCs w:val="21"/>
                <w:highlight w:val="none"/>
                <w:u w:val="none" w:color="auto"/>
                <w:lang w:val="zh-CN" w:bidi="zh-CN"/>
              </w:rPr>
              <w:t>，</w:t>
            </w:r>
            <w:r>
              <w:rPr>
                <w:rFonts w:hint="default" w:ascii="Times New Roman" w:hAnsi="Times New Roman" w:cs="Times New Roman"/>
                <w:color w:val="auto"/>
                <w:sz w:val="21"/>
                <w:szCs w:val="21"/>
                <w:highlight w:val="none"/>
                <w:u w:val="none" w:color="auto"/>
                <w:lang w:val="en-US" w:bidi="zh-CN"/>
              </w:rPr>
              <w:t>5000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金华村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zh-CN" w:bidi="zh-CN"/>
              </w:rPr>
              <w:t>西北，</w:t>
            </w:r>
            <w:r>
              <w:rPr>
                <w:rFonts w:hint="default" w:ascii="Times New Roman" w:hAnsi="Times New Roman" w:cs="Times New Roman"/>
                <w:color w:val="auto"/>
                <w:kern w:val="0"/>
                <w:sz w:val="21"/>
                <w:szCs w:val="21"/>
                <w:highlight w:val="none"/>
                <w:u w:val="none" w:color="auto"/>
                <w:lang w:val="en-US" w:bidi="zh-CN"/>
              </w:rPr>
              <w:t>1270m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燎原村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zh-CN" w:bidi="zh-CN"/>
              </w:rPr>
              <w:t>东北，</w:t>
            </w:r>
            <w:r>
              <w:rPr>
                <w:rFonts w:hint="default" w:ascii="Times New Roman" w:hAnsi="Times New Roman" w:cs="Times New Roman"/>
                <w:color w:val="auto"/>
                <w:kern w:val="0"/>
                <w:sz w:val="21"/>
                <w:szCs w:val="21"/>
                <w:highlight w:val="none"/>
                <w:u w:val="none" w:color="auto"/>
                <w:lang w:val="en-US" w:bidi="zh-CN"/>
              </w:rPr>
              <w:t>3380m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望星村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zh-CN" w:bidi="zh-CN"/>
              </w:rPr>
              <w:t>东北，</w:t>
            </w:r>
            <w:r>
              <w:rPr>
                <w:rFonts w:hint="default" w:ascii="Times New Roman" w:hAnsi="Times New Roman" w:cs="Times New Roman"/>
                <w:color w:val="auto"/>
                <w:kern w:val="0"/>
                <w:sz w:val="21"/>
                <w:szCs w:val="21"/>
                <w:highlight w:val="none"/>
                <w:u w:val="none" w:color="auto"/>
                <w:lang w:val="en-US" w:bidi="zh-CN"/>
              </w:rPr>
              <w:t>3200m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200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香杉村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zh-CN" w:bidi="zh-CN"/>
              </w:rPr>
              <w:t>西北，</w:t>
            </w:r>
            <w:r>
              <w:rPr>
                <w:rFonts w:hint="default" w:ascii="Times New Roman" w:hAnsi="Times New Roman" w:cs="Times New Roman"/>
                <w:color w:val="auto"/>
                <w:kern w:val="0"/>
                <w:sz w:val="21"/>
                <w:szCs w:val="21"/>
                <w:highlight w:val="none"/>
                <w:u w:val="none" w:color="auto"/>
                <w:lang w:val="en-US" w:bidi="zh-CN"/>
              </w:rPr>
              <w:t>4670m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120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茶园屋村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zh-CN" w:bidi="zh-CN"/>
              </w:rPr>
              <w:t>西北，</w:t>
            </w:r>
            <w:r>
              <w:rPr>
                <w:rFonts w:hint="default" w:ascii="Times New Roman" w:hAnsi="Times New Roman" w:cs="Times New Roman"/>
                <w:color w:val="auto"/>
                <w:kern w:val="0"/>
                <w:sz w:val="21"/>
                <w:szCs w:val="21"/>
                <w:highlight w:val="none"/>
                <w:u w:val="none" w:color="auto"/>
                <w:lang w:val="en-US" w:bidi="zh-CN"/>
              </w:rPr>
              <w:t>2100m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50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兴利村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西</w:t>
            </w:r>
            <w:r>
              <w:rPr>
                <w:rFonts w:hint="default" w:ascii="Times New Roman" w:hAnsi="Times New Roman" w:cs="Times New Roman"/>
                <w:color w:val="auto"/>
                <w:kern w:val="0"/>
                <w:sz w:val="21"/>
                <w:szCs w:val="21"/>
                <w:highlight w:val="none"/>
                <w:u w:val="none" w:color="auto"/>
                <w:lang w:val="zh-CN" w:bidi="zh-CN"/>
              </w:rPr>
              <w:t>北</w:t>
            </w:r>
            <w:r>
              <w:rPr>
                <w:rFonts w:hint="default" w:ascii="Times New Roman" w:hAnsi="Times New Roman" w:cs="Times New Roman"/>
                <w:color w:val="auto"/>
                <w:kern w:val="0"/>
                <w:sz w:val="21"/>
                <w:szCs w:val="21"/>
                <w:highlight w:val="none"/>
                <w:u w:val="none" w:color="auto"/>
                <w:lang w:val="en-US" w:bidi="zh-CN"/>
              </w:rPr>
              <w:t>，3180m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龙潭寺村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西</w:t>
            </w:r>
            <w:r>
              <w:rPr>
                <w:rFonts w:hint="default" w:ascii="Times New Roman" w:hAnsi="Times New Roman" w:cs="Times New Roman"/>
                <w:color w:val="auto"/>
                <w:kern w:val="0"/>
                <w:sz w:val="21"/>
                <w:szCs w:val="21"/>
                <w:highlight w:val="none"/>
                <w:u w:val="none" w:color="auto"/>
                <w:lang w:val="zh-CN" w:bidi="zh-CN"/>
              </w:rPr>
              <w:t>北</w:t>
            </w:r>
            <w:r>
              <w:rPr>
                <w:rFonts w:hint="default" w:ascii="Times New Roman" w:hAnsi="Times New Roman" w:cs="Times New Roman"/>
                <w:color w:val="auto"/>
                <w:kern w:val="0"/>
                <w:sz w:val="21"/>
                <w:szCs w:val="21"/>
                <w:highlight w:val="none"/>
                <w:u w:val="none" w:color="auto"/>
                <w:lang w:val="en-US" w:bidi="zh-CN"/>
              </w:rPr>
              <w:t>，4700m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120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周家屋村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zh-CN" w:bidi="zh-CN"/>
              </w:rPr>
              <w:t>西北，</w:t>
            </w:r>
            <w:r>
              <w:rPr>
                <w:rFonts w:hint="default" w:ascii="Times New Roman" w:hAnsi="Times New Roman" w:cs="Times New Roman"/>
                <w:color w:val="auto"/>
                <w:kern w:val="0"/>
                <w:sz w:val="21"/>
                <w:szCs w:val="21"/>
                <w:highlight w:val="none"/>
                <w:u w:val="none" w:color="auto"/>
                <w:lang w:val="en-US" w:bidi="zh-CN"/>
              </w:rPr>
              <w:t>4620m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50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highlight w:val="none"/>
                <w:u w:val="none" w:color="auto"/>
                <w:lang w:eastAsia="zh-CN"/>
              </w:rPr>
              <w:t>天井坡村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西，2650m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300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kern w:val="0"/>
                <w:sz w:val="21"/>
                <w:szCs w:val="21"/>
                <w:highlight w:val="none"/>
                <w:u w:val="none" w:color="auto"/>
                <w:lang w:val="zh-CN" w:eastAsia="zh-CN" w:bidi="zh-CN"/>
              </w:rPr>
              <w:t>雷家大屋村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西南，3860m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60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杉园坡</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西南，2260m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highlight w:val="none"/>
                <w:u w:val="none" w:color="auto"/>
                <w:lang w:eastAsia="zh-CN"/>
              </w:rPr>
            </w:pPr>
            <w:r>
              <w:rPr>
                <w:rFonts w:hint="default" w:ascii="Times New Roman" w:hAnsi="Times New Roman" w:cs="Times New Roman"/>
                <w:color w:val="auto"/>
                <w:highlight w:val="none"/>
                <w:u w:val="none" w:color="auto"/>
                <w:lang w:eastAsia="zh-CN"/>
              </w:rPr>
              <w:t>洪家桥村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西南，3950m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50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cs="Times New Roman"/>
                <w:color w:val="auto"/>
                <w:kern w:val="0"/>
                <w:sz w:val="21"/>
                <w:szCs w:val="21"/>
                <w:highlight w:val="none"/>
                <w:u w:val="none" w:color="auto"/>
                <w:lang w:val="zh-CN" w:bidi="zh-CN"/>
              </w:rPr>
              <w:t>茶亭镇</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南，2700m</w:t>
            </w:r>
          </w:p>
        </w:tc>
        <w:tc>
          <w:tcPr>
            <w:tcW w:w="1547" w:type="dxa"/>
            <w:gridSpan w:val="3"/>
            <w:vMerge w:val="restart"/>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茶亭镇</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sz w:val="21"/>
                <w:szCs w:val="21"/>
                <w:highlight w:val="none"/>
                <w:u w:val="none" w:color="auto"/>
                <w:lang w:val="zh-CN" w:bidi="zh-CN"/>
              </w:rPr>
              <w:t>集镇</w:t>
            </w:r>
            <w:r>
              <w:rPr>
                <w:rFonts w:hint="default" w:ascii="Times New Roman" w:hAnsi="Times New Roman" w:eastAsia="宋体" w:cs="Times New Roman"/>
                <w:color w:val="auto"/>
                <w:sz w:val="21"/>
                <w:szCs w:val="21"/>
                <w:highlight w:val="none"/>
                <w:u w:val="none" w:color="auto"/>
                <w:lang w:val="zh-CN" w:bidi="zh-CN"/>
              </w:rPr>
              <w:t>，</w:t>
            </w:r>
            <w:r>
              <w:rPr>
                <w:rFonts w:hint="default" w:ascii="Times New Roman" w:hAnsi="Times New Roman" w:cs="Times New Roman"/>
                <w:color w:val="auto"/>
                <w:sz w:val="21"/>
                <w:szCs w:val="21"/>
                <w:highlight w:val="none"/>
                <w:u w:val="none" w:color="auto"/>
                <w:lang w:val="en-US" w:bidi="zh-CN"/>
              </w:rPr>
              <w:t>5000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九峰山村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东南，3800m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32"/>
              </w:numPr>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bidi="zh-CN"/>
              </w:rPr>
            </w:pPr>
          </w:p>
        </w:tc>
        <w:tc>
          <w:tcPr>
            <w:tcW w:w="1964"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谭家屋村</w:t>
            </w:r>
          </w:p>
        </w:tc>
        <w:tc>
          <w:tcPr>
            <w:tcW w:w="1900" w:type="dxa"/>
            <w:gridSpan w:val="4"/>
            <w:tcBorders>
              <w:left w:val="single" w:color="auto" w:sz="4" w:space="0"/>
              <w:right w:val="single" w:color="auto" w:sz="4" w:space="0"/>
            </w:tcBorders>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en-US" w:bidi="zh-CN"/>
              </w:rPr>
            </w:pPr>
            <w:r>
              <w:rPr>
                <w:rFonts w:hint="default" w:ascii="Times New Roman" w:hAnsi="Times New Roman" w:cs="Times New Roman"/>
                <w:color w:val="auto"/>
                <w:kern w:val="0"/>
                <w:sz w:val="21"/>
                <w:szCs w:val="21"/>
                <w:highlight w:val="none"/>
                <w:u w:val="none" w:color="auto"/>
                <w:lang w:val="en-US" w:bidi="zh-CN"/>
              </w:rPr>
              <w:t>南，4800m</w:t>
            </w:r>
          </w:p>
        </w:tc>
        <w:tc>
          <w:tcPr>
            <w:tcW w:w="1547" w:type="dxa"/>
            <w:gridSpan w:val="3"/>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kern w:val="0"/>
                <w:sz w:val="21"/>
                <w:szCs w:val="21"/>
                <w:highlight w:val="none"/>
                <w:u w:val="none" w:color="auto"/>
                <w:lang w:val="zh-CN" w:bidi="zh-CN"/>
              </w:rPr>
            </w:pP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lang w:val="zh-CN" w:bidi="zh-CN"/>
              </w:rPr>
            </w:pPr>
            <w:r>
              <w:rPr>
                <w:rFonts w:hint="default" w:ascii="Times New Roman" w:hAnsi="Times New Roman" w:eastAsia="宋体" w:cs="Times New Roman"/>
                <w:color w:val="auto"/>
                <w:sz w:val="21"/>
                <w:szCs w:val="21"/>
                <w:highlight w:val="none"/>
                <w:u w:val="none" w:color="auto"/>
                <w:lang w:val="zh-CN" w:bidi="zh-CN"/>
              </w:rPr>
              <w:t>村庄，</w:t>
            </w:r>
            <w:r>
              <w:rPr>
                <w:rFonts w:hint="default" w:ascii="Times New Roman" w:hAnsi="Times New Roman" w:cs="Times New Roman"/>
                <w:color w:val="auto"/>
                <w:sz w:val="21"/>
                <w:szCs w:val="21"/>
                <w:highlight w:val="none"/>
                <w:u w:val="none" w:color="auto"/>
                <w:lang w:val="en-US" w:bidi="zh-CN"/>
              </w:rPr>
              <w:t>100</w:t>
            </w:r>
            <w:r>
              <w:rPr>
                <w:rFonts w:hint="default" w:ascii="Times New Roman" w:hAnsi="Times New Roman" w:eastAsia="宋体" w:cs="Times New Roman"/>
                <w:color w:val="auto"/>
                <w:sz w:val="21"/>
                <w:szCs w:val="21"/>
                <w:highlight w:val="none"/>
                <w:u w:val="none" w:color="auto"/>
                <w:lang w:val="zh-CN"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6124"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厂址周边500m范围内人口数小计</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en-US" w:bidi="zh-CN"/>
              </w:rPr>
            </w:pPr>
            <w:r>
              <w:rPr>
                <w:rFonts w:hint="default" w:ascii="Times New Roman" w:hAnsi="Times New Roman" w:cs="Times New Roman"/>
                <w:iCs/>
                <w:color w:val="auto"/>
                <w:sz w:val="21"/>
                <w:szCs w:val="21"/>
                <w:highlight w:val="none"/>
                <w:u w:val="none" w:color="auto"/>
                <w:lang w:val="en-US" w:bidi="zh-CN"/>
              </w:rPr>
              <w:t>2000</w:t>
            </w:r>
            <w:r>
              <w:rPr>
                <w:rFonts w:hint="eastAsia" w:ascii="Times New Roman" w:hAnsi="Times New Roman" w:cs="Times New Roman"/>
                <w:iCs/>
                <w:color w:val="auto"/>
                <w:sz w:val="21"/>
                <w:szCs w:val="21"/>
                <w:highlight w:val="none"/>
                <w:u w:val="none" w:color="auto"/>
                <w:lang w:val="en-US" w:bidi="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6124"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厂址周边5km范围内人口数小计</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240" w:lineRule="auto"/>
              <w:ind w:left="0" w:leftChars="0" w:right="0" w:rightChars="0" w:firstLine="0"/>
              <w:jc w:val="center"/>
              <w:textAlignment w:val="center"/>
              <w:rPr>
                <w:rFonts w:hint="default" w:ascii="Times New Roman" w:hAnsi="Times New Roman" w:eastAsia="宋体" w:cs="Times New Roman"/>
                <w:iCs/>
                <w:color w:val="auto"/>
                <w:sz w:val="21"/>
                <w:szCs w:val="21"/>
                <w:highlight w:val="none"/>
                <w:u w:val="none" w:color="auto"/>
                <w:lang w:val="en-US" w:eastAsia="zh-CN" w:bidi="zh-CN"/>
              </w:rPr>
            </w:pPr>
            <w:r>
              <w:rPr>
                <w:rFonts w:hint="default" w:ascii="Times New Roman" w:hAnsi="Times New Roman" w:cs="Times New Roman"/>
                <w:iCs/>
                <w:color w:val="auto"/>
                <w:sz w:val="21"/>
                <w:szCs w:val="21"/>
                <w:highlight w:val="none"/>
                <w:u w:val="none" w:color="auto"/>
                <w:lang w:val="en-US" w:eastAsia="zh-CN" w:bidi="zh-CN"/>
              </w:rPr>
              <w:t>约2万人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6124"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大气环境敏感程度E值</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E</w:t>
            </w:r>
            <w:r>
              <w:rPr>
                <w:rFonts w:hint="default" w:ascii="Times New Roman" w:hAnsi="Times New Roman" w:cs="Times New Roman"/>
                <w:iCs/>
                <w:color w:val="auto"/>
                <w:sz w:val="21"/>
                <w:szCs w:val="21"/>
                <w:highlight w:val="none"/>
                <w:u w:val="none" w:color="auto"/>
                <w:lang w:val="en-US" w:bidi="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地表水</w:t>
            </w:r>
          </w:p>
        </w:tc>
        <w:tc>
          <w:tcPr>
            <w:tcW w:w="7678"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序号</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受纳水体名称</w:t>
            </w:r>
          </w:p>
        </w:tc>
        <w:tc>
          <w:tcPr>
            <w:tcW w:w="21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排放点水域环境功能</w:t>
            </w:r>
          </w:p>
        </w:tc>
        <w:tc>
          <w:tcPr>
            <w:tcW w:w="269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24h内流经范围/km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1</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cs="Times New Roman"/>
                <w:iCs/>
                <w:color w:val="auto"/>
                <w:sz w:val="21"/>
                <w:szCs w:val="21"/>
                <w:highlight w:val="none"/>
                <w:u w:val="none" w:color="auto"/>
                <w:lang w:val="zh-CN" w:bidi="zh-CN"/>
              </w:rPr>
              <w:t>洋沙河</w:t>
            </w:r>
          </w:p>
        </w:tc>
        <w:tc>
          <w:tcPr>
            <w:tcW w:w="21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cs="Times New Roman"/>
                <w:color w:val="auto"/>
                <w:sz w:val="21"/>
                <w:szCs w:val="21"/>
                <w:highlight w:val="none"/>
                <w:u w:val="none" w:color="auto"/>
                <w:lang w:val="en-US" w:eastAsia="zh-CN" w:bidi="ar"/>
              </w:rPr>
              <w:t>农业用水水域（兼排洪）Ⅳ类</w:t>
            </w:r>
          </w:p>
        </w:tc>
        <w:tc>
          <w:tcPr>
            <w:tcW w:w="269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en-US" w:bidi="zh-CN"/>
              </w:rPr>
            </w:pPr>
            <w:r>
              <w:rPr>
                <w:rFonts w:hint="default" w:ascii="Times New Roman" w:hAnsi="Times New Roman" w:cs="Times New Roman"/>
                <w:iCs/>
                <w:color w:val="auto"/>
                <w:sz w:val="21"/>
                <w:szCs w:val="21"/>
                <w:highlight w:val="none"/>
                <w:u w:val="none" w:color="auto"/>
                <w:lang w:val="en-US" w:bidi="zh-CN"/>
              </w:rPr>
              <w:t>2</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iCs/>
                <w:color w:val="auto"/>
                <w:sz w:val="21"/>
                <w:szCs w:val="21"/>
                <w:highlight w:val="none"/>
                <w:u w:val="none" w:color="auto"/>
                <w:lang w:val="zh-CN" w:bidi="zh-CN"/>
              </w:rPr>
            </w:pPr>
            <w:r>
              <w:rPr>
                <w:rFonts w:hint="default" w:ascii="Times New Roman" w:hAnsi="Times New Roman" w:cs="Times New Roman"/>
                <w:color w:val="auto"/>
                <w:sz w:val="21"/>
                <w:szCs w:val="21"/>
                <w:highlight w:val="none"/>
                <w:u w:val="none" w:color="auto"/>
                <w:lang w:val="en-US" w:eastAsia="zh-CN"/>
              </w:rPr>
              <w:t>洋沙湖－东湖国家级湿地公园（洋沙湖）</w:t>
            </w:r>
          </w:p>
        </w:tc>
        <w:tc>
          <w:tcPr>
            <w:tcW w:w="21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u w:val="none" w:color="auto"/>
                <w:lang w:val="en-US" w:eastAsia="zh-CN" w:bidi="ar"/>
              </w:rPr>
            </w:pPr>
            <w:r>
              <w:rPr>
                <w:rFonts w:hint="default" w:ascii="Times New Roman" w:hAnsi="Times New Roman" w:cs="Times New Roman"/>
                <w:color w:val="auto"/>
                <w:sz w:val="21"/>
                <w:szCs w:val="21"/>
                <w:highlight w:val="none"/>
                <w:u w:val="none" w:color="auto"/>
                <w:lang w:val="en-US" w:eastAsia="zh-CN" w:bidi="ar"/>
              </w:rPr>
              <w:t>Ⅲ类</w:t>
            </w:r>
          </w:p>
        </w:tc>
        <w:tc>
          <w:tcPr>
            <w:tcW w:w="269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en-US" w:bidi="zh-CN"/>
              </w:rPr>
            </w:pPr>
            <w:r>
              <w:rPr>
                <w:rFonts w:hint="default" w:ascii="Times New Roman" w:hAnsi="Times New Roman" w:cs="Times New Roman"/>
                <w:iCs/>
                <w:color w:val="auto"/>
                <w:sz w:val="21"/>
                <w:szCs w:val="21"/>
                <w:highlight w:val="none"/>
                <w:u w:val="none" w:color="auto"/>
                <w:lang w:val="en-US"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678"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排放口下游（顺水流向）10km范围内无环境风险受体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6124"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地表水环境敏感程度E值</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E</w:t>
            </w:r>
            <w:r>
              <w:rPr>
                <w:rFonts w:hint="default" w:ascii="Times New Roman" w:hAnsi="Times New Roman" w:cs="Times New Roman"/>
                <w:iCs/>
                <w:color w:val="auto"/>
                <w:sz w:val="21"/>
                <w:szCs w:val="21"/>
                <w:highlight w:val="none"/>
                <w:u w:val="none" w:color="auto"/>
                <w:lang w:val="en-US" w:bidi="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地下水</w:t>
            </w: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序号</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环境敏感区名称</w:t>
            </w:r>
          </w:p>
        </w:tc>
        <w:tc>
          <w:tcPr>
            <w:tcW w:w="113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环境敏感特征</w:t>
            </w:r>
          </w:p>
        </w:tc>
        <w:tc>
          <w:tcPr>
            <w:tcW w:w="9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水质目标</w:t>
            </w:r>
          </w:p>
        </w:tc>
        <w:tc>
          <w:tcPr>
            <w:tcW w:w="11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包气带防污性能</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b/>
                <w:bCs/>
                <w:iCs/>
                <w:color w:val="auto"/>
                <w:sz w:val="21"/>
                <w:szCs w:val="21"/>
                <w:highlight w:val="none"/>
                <w:u w:val="none" w:color="auto"/>
                <w:lang w:val="zh-CN" w:bidi="zh-CN"/>
              </w:rPr>
            </w:pPr>
            <w:r>
              <w:rPr>
                <w:rFonts w:hint="default" w:ascii="Times New Roman" w:hAnsi="Times New Roman" w:eastAsia="宋体" w:cs="Times New Roman"/>
                <w:b/>
                <w:bCs/>
                <w:iCs/>
                <w:color w:val="auto"/>
                <w:sz w:val="21"/>
                <w:szCs w:val="21"/>
                <w:highlight w:val="none"/>
                <w:u w:val="none" w:color="auto"/>
                <w:lang w:val="zh-CN" w:bidi="zh-CN"/>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1</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不属于G1和G2所列敏感区</w:t>
            </w:r>
          </w:p>
        </w:tc>
        <w:tc>
          <w:tcPr>
            <w:tcW w:w="113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不敏感</w:t>
            </w:r>
          </w:p>
        </w:tc>
        <w:tc>
          <w:tcPr>
            <w:tcW w:w="9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三类</w:t>
            </w:r>
          </w:p>
        </w:tc>
        <w:tc>
          <w:tcPr>
            <w:tcW w:w="11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bidi="zh-CN"/>
              </w:rPr>
              <w:t>D</w:t>
            </w:r>
            <w:r>
              <w:rPr>
                <w:rFonts w:hint="default" w:ascii="Times New Roman" w:hAnsi="Times New Roman" w:cs="Times New Roman"/>
                <w:iCs/>
                <w:color w:val="auto"/>
                <w:sz w:val="21"/>
                <w:szCs w:val="21"/>
                <w:highlight w:val="none"/>
                <w:u w:val="none" w:color="auto"/>
                <w:lang w:val="en-US" w:bidi="zh-CN"/>
              </w:rPr>
              <w:t>3</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rPr>
                <w:rFonts w:hint="default" w:ascii="Times New Roman" w:hAnsi="Times New Roman" w:eastAsia="宋体" w:cs="Times New Roman"/>
                <w:iCs/>
                <w:color w:val="auto"/>
                <w:kern w:val="0"/>
                <w:sz w:val="21"/>
                <w:szCs w:val="21"/>
                <w:highlight w:val="none"/>
                <w:u w:val="none" w:color="auto"/>
                <w:lang w:val="zh-CN" w:bidi="zh-CN"/>
              </w:rPr>
            </w:pPr>
          </w:p>
        </w:tc>
        <w:tc>
          <w:tcPr>
            <w:tcW w:w="6124"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地下水环境敏感程度E值</w:t>
            </w:r>
          </w:p>
        </w:tc>
        <w:tc>
          <w:tcPr>
            <w:tcW w:w="15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iCs/>
                <w:color w:val="auto"/>
                <w:sz w:val="21"/>
                <w:szCs w:val="21"/>
                <w:highlight w:val="none"/>
                <w:u w:val="none" w:color="auto"/>
                <w:lang w:val="zh-CN" w:bidi="zh-CN"/>
              </w:rPr>
            </w:pPr>
            <w:r>
              <w:rPr>
                <w:rFonts w:hint="default" w:ascii="Times New Roman" w:hAnsi="Times New Roman" w:eastAsia="宋体" w:cs="Times New Roman"/>
                <w:iCs/>
                <w:color w:val="auto"/>
                <w:sz w:val="21"/>
                <w:szCs w:val="21"/>
                <w:highlight w:val="none"/>
                <w:u w:val="none" w:color="auto"/>
                <w:lang w:val="zh-CN" w:bidi="zh-CN"/>
              </w:rPr>
              <w:t>E</w:t>
            </w:r>
            <w:r>
              <w:rPr>
                <w:rFonts w:hint="default" w:ascii="Times New Roman" w:hAnsi="Times New Roman" w:eastAsia="宋体" w:cs="Times New Roman"/>
                <w:iCs/>
                <w:color w:val="auto"/>
                <w:sz w:val="21"/>
                <w:szCs w:val="21"/>
                <w:highlight w:val="none"/>
                <w:u w:val="none" w:color="auto"/>
                <w:lang w:bidi="zh-CN"/>
              </w:rPr>
              <w:t>3</w:t>
            </w:r>
          </w:p>
        </w:tc>
      </w:tr>
    </w:tbl>
    <w:p>
      <w:pPr>
        <w:widowControl w:val="0"/>
        <w:bidi w:val="0"/>
        <w:spacing w:line="360" w:lineRule="auto"/>
        <w:ind w:left="0" w:firstLine="0"/>
        <w:jc w:val="both"/>
        <w:outlineLvl w:val="1"/>
        <w:rPr>
          <w:rFonts w:hint="default" w:ascii="Times New Roman" w:hAnsi="Times New Roman" w:eastAsia="宋体" w:cs="Times New Roman"/>
          <w:b/>
          <w:bCs/>
          <w:color w:val="auto"/>
          <w:spacing w:val="-2"/>
          <w:kern w:val="2"/>
          <w:sz w:val="24"/>
          <w:szCs w:val="24"/>
          <w:u w:val="none" w:color="auto"/>
          <w:lang w:val="en-US" w:eastAsia="zh-CN" w:bidi="ar-SA"/>
        </w:rPr>
      </w:pPr>
      <w:r>
        <w:rPr>
          <w:rFonts w:hint="default" w:ascii="Times New Roman" w:hAnsi="Times New Roman" w:eastAsia="宋体" w:cs="Times New Roman"/>
          <w:b/>
          <w:bCs/>
          <w:color w:val="auto"/>
          <w:spacing w:val="-2"/>
          <w:kern w:val="2"/>
          <w:sz w:val="24"/>
          <w:szCs w:val="24"/>
          <w:u w:val="none" w:color="auto"/>
          <w:lang w:val="en-US" w:eastAsia="zh-CN" w:bidi="ar-SA"/>
        </w:rPr>
        <w:t>2.3</w:t>
      </w:r>
      <w:r>
        <w:rPr>
          <w:rFonts w:hint="default" w:ascii="Times New Roman" w:hAnsi="Times New Roman" w:eastAsia="宋体" w:cs="Times New Roman"/>
          <w:b/>
          <w:bCs/>
          <w:color w:val="auto"/>
          <w:spacing w:val="-2"/>
          <w:kern w:val="2"/>
          <w:sz w:val="24"/>
          <w:szCs w:val="24"/>
          <w:u w:val="none" w:color="auto"/>
          <w:lang w:val="zh-CN" w:eastAsia="zh-CN" w:bidi="ar-SA"/>
        </w:rPr>
        <w:t>风险潜势初判</w:t>
      </w:r>
    </w:p>
    <w:p>
      <w:pPr>
        <w:widowControl w:val="0"/>
        <w:numPr>
          <w:ilvl w:val="0"/>
          <w:numId w:val="0"/>
        </w:numPr>
        <w:bidi w:val="0"/>
        <w:spacing w:line="360" w:lineRule="auto"/>
        <w:ind w:leftChars="0"/>
        <w:jc w:val="left"/>
        <w:outlineLvl w:val="2"/>
        <w:rPr>
          <w:rFonts w:hint="default" w:ascii="Times New Roman" w:hAnsi="Times New Roman" w:eastAsia="宋体" w:cs="Times New Roman"/>
          <w:b/>
          <w:color w:val="auto"/>
          <w:kern w:val="0"/>
          <w:sz w:val="24"/>
          <w:szCs w:val="32"/>
          <w:u w:val="none" w:color="auto"/>
          <w:lang w:val="en-US" w:eastAsia="zh-CN" w:bidi="ar-SA"/>
        </w:rPr>
      </w:pPr>
      <w:bookmarkStart w:id="113" w:name="_Toc18853"/>
      <w:r>
        <w:rPr>
          <w:rFonts w:hint="default" w:ascii="Times New Roman" w:hAnsi="Times New Roman" w:eastAsia="宋体" w:cs="Times New Roman"/>
          <w:b/>
          <w:color w:val="auto"/>
          <w:kern w:val="0"/>
          <w:sz w:val="24"/>
          <w:szCs w:val="32"/>
          <w:u w:val="none" w:color="auto"/>
          <w:lang w:val="en-US" w:eastAsia="zh-CN" w:bidi="ar-SA"/>
        </w:rPr>
        <w:t>2.3.1环境敏感程度（E）的确定</w:t>
      </w:r>
      <w:bookmarkEnd w:id="113"/>
    </w:p>
    <w:p>
      <w:pPr>
        <w:autoSpaceDE w:val="0"/>
        <w:autoSpaceDN w:val="0"/>
        <w:adjustRightInd/>
        <w:snapToGrid/>
        <w:spacing w:line="360" w:lineRule="auto"/>
        <w:ind w:firstLine="0" w:firstLineChars="0"/>
        <w:jc w:val="left"/>
        <w:rPr>
          <w:rFonts w:hint="default" w:ascii="Times New Roman" w:hAnsi="Times New Roman" w:eastAsia="宋体" w:cs="Times New Roman"/>
          <w:b/>
          <w:bCs/>
          <w:color w:val="auto"/>
          <w:kern w:val="0"/>
          <w:sz w:val="24"/>
          <w:szCs w:val="24"/>
          <w:highlight w:val="none"/>
          <w:u w:val="none" w:color="auto"/>
          <w:lang w:val="zh-CN" w:bidi="zh-CN"/>
        </w:rPr>
      </w:pPr>
      <w:r>
        <w:rPr>
          <w:rFonts w:hint="default" w:ascii="Times New Roman" w:hAnsi="Times New Roman" w:eastAsia="宋体" w:cs="Times New Roman"/>
          <w:b/>
          <w:bCs/>
          <w:color w:val="auto"/>
          <w:kern w:val="0"/>
          <w:sz w:val="24"/>
          <w:szCs w:val="24"/>
          <w:highlight w:val="none"/>
          <w:u w:val="none" w:color="auto"/>
          <w:lang w:val="zh-CN" w:bidi="zh-CN"/>
        </w:rPr>
        <w:t>（</w:t>
      </w:r>
      <w:r>
        <w:rPr>
          <w:rFonts w:hint="default" w:ascii="Times New Roman" w:hAnsi="Times New Roman" w:eastAsia="宋体" w:cs="Times New Roman"/>
          <w:b/>
          <w:bCs/>
          <w:color w:val="auto"/>
          <w:kern w:val="0"/>
          <w:sz w:val="24"/>
          <w:szCs w:val="24"/>
          <w:highlight w:val="none"/>
          <w:u w:val="none" w:color="auto"/>
          <w:lang w:bidi="zh-CN"/>
        </w:rPr>
        <w:t>1</w:t>
      </w:r>
      <w:r>
        <w:rPr>
          <w:rFonts w:hint="default" w:ascii="Times New Roman" w:hAnsi="Times New Roman" w:eastAsia="宋体" w:cs="Times New Roman"/>
          <w:b/>
          <w:bCs/>
          <w:color w:val="auto"/>
          <w:kern w:val="0"/>
          <w:sz w:val="24"/>
          <w:szCs w:val="24"/>
          <w:highlight w:val="none"/>
          <w:u w:val="none" w:color="auto"/>
          <w:lang w:val="zh-CN" w:bidi="zh-CN"/>
        </w:rPr>
        <w:t>）大气环境</w:t>
      </w:r>
    </w:p>
    <w:p>
      <w:pPr>
        <w:adjustRightInd w:val="0"/>
        <w:snapToGrid w:val="0"/>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rPr>
      </w:pPr>
      <w:r>
        <w:rPr>
          <w:rFonts w:hint="default" w:ascii="Times New Roman" w:hAnsi="Times New Roman" w:eastAsia="宋体" w:cs="Times New Roman"/>
          <w:bCs/>
          <w:color w:val="auto"/>
          <w:kern w:val="0"/>
          <w:sz w:val="24"/>
          <w:szCs w:val="32"/>
          <w:highlight w:val="none"/>
          <w:u w:val="none" w:color="auto"/>
          <w:lang w:val="zh-CN"/>
        </w:rPr>
        <w:t>根据《建设项目环境风险评价技术导则》（HJ169-2018）附录D中表D.1中大气环境敏感程度分级识别，</w:t>
      </w:r>
      <w:r>
        <w:rPr>
          <w:rFonts w:hint="default" w:ascii="Times New Roman" w:hAnsi="Times New Roman" w:eastAsia="宋体" w:cs="Times New Roman"/>
          <w:color w:val="auto"/>
          <w:sz w:val="24"/>
          <w:szCs w:val="24"/>
          <w:highlight w:val="none"/>
          <w:u w:val="none" w:color="auto"/>
        </w:rPr>
        <w:t>分级原则见下表。</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eastAsia="zh-CN"/>
        </w:rPr>
      </w:pPr>
      <w:r>
        <w:rPr>
          <w:rFonts w:hint="default" w:ascii="Times New Roman" w:hAnsi="Times New Roman" w:eastAsia="宋体" w:cs="Times New Roman"/>
          <w:color w:val="auto"/>
          <w:sz w:val="24"/>
          <w:szCs w:val="24"/>
          <w:u w:val="none" w:color="auto"/>
          <w:lang w:eastAsia="zh-CN"/>
        </w:rPr>
        <w:t>表</w:t>
      </w:r>
      <w:r>
        <w:rPr>
          <w:rFonts w:hint="default" w:ascii="Times New Roman" w:hAnsi="Times New Roman" w:cs="Times New Roman"/>
          <w:color w:val="auto"/>
          <w:sz w:val="24"/>
          <w:szCs w:val="24"/>
          <w:u w:val="none" w:color="auto"/>
          <w:lang w:val="en-US" w:eastAsia="zh-CN"/>
        </w:rPr>
        <w:t>2.3-1</w:t>
      </w:r>
      <w:r>
        <w:rPr>
          <w:rFonts w:hint="default" w:ascii="Times New Roman" w:hAnsi="Times New Roman" w:eastAsia="宋体" w:cs="Times New Roman"/>
          <w:color w:val="auto"/>
          <w:sz w:val="24"/>
          <w:szCs w:val="24"/>
          <w:u w:val="none" w:color="auto"/>
          <w:lang w:eastAsia="zh-CN"/>
        </w:rPr>
        <w:t>大气环境敏感程度分级</w:t>
      </w:r>
    </w:p>
    <w:tbl>
      <w:tblPr>
        <w:tblStyle w:val="29"/>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分级</w:t>
            </w:r>
          </w:p>
        </w:tc>
        <w:tc>
          <w:tcPr>
            <w:tcW w:w="7473"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7473"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c>
          <w:tcPr>
            <w:tcW w:w="7473"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c>
          <w:tcPr>
            <w:tcW w:w="7473"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周边5km范围内居住区、医疗卫生、文化教育、科研、行政办公等机构人口总数小于1万人；或周边500m范围内人口总数小于500人；油气、化学品输送管线管段周边200m范围内，每千米管段人口数小于100人</w:t>
            </w:r>
          </w:p>
        </w:tc>
      </w:tr>
    </w:tbl>
    <w:p>
      <w:pPr>
        <w:adjustRightInd w:val="0"/>
        <w:snapToGrid w:val="0"/>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eastAsia="zh-CN"/>
        </w:rPr>
        <w:t>周边5km范围内居住区、医疗卫生、文化教育、科研、行政办公等机构人口总数大于</w:t>
      </w:r>
      <w:r>
        <w:rPr>
          <w:rFonts w:hint="default" w:ascii="Times New Roman" w:hAnsi="Times New Roman" w:cs="Times New Roman"/>
          <w:bCs/>
          <w:color w:val="auto"/>
          <w:kern w:val="0"/>
          <w:sz w:val="24"/>
          <w:szCs w:val="32"/>
          <w:highlight w:val="none"/>
          <w:u w:val="none" w:color="auto"/>
          <w:lang w:val="en-US" w:eastAsia="zh-CN"/>
        </w:rPr>
        <w:t>1</w:t>
      </w:r>
      <w:r>
        <w:rPr>
          <w:rFonts w:hint="default" w:ascii="Times New Roman" w:hAnsi="Times New Roman" w:eastAsia="宋体" w:cs="Times New Roman"/>
          <w:bCs/>
          <w:color w:val="auto"/>
          <w:kern w:val="0"/>
          <w:sz w:val="24"/>
          <w:szCs w:val="32"/>
          <w:highlight w:val="none"/>
          <w:u w:val="none" w:color="auto"/>
          <w:lang w:val="zh-CN" w:eastAsia="zh-CN"/>
        </w:rPr>
        <w:t>万人，小于5万人</w:t>
      </w:r>
      <w:r>
        <w:rPr>
          <w:rFonts w:hint="default" w:ascii="Times New Roman" w:hAnsi="Times New Roman" w:cs="Times New Roman"/>
          <w:bCs/>
          <w:color w:val="auto"/>
          <w:kern w:val="0"/>
          <w:sz w:val="24"/>
          <w:szCs w:val="32"/>
          <w:highlight w:val="none"/>
          <w:u w:val="none" w:color="auto"/>
          <w:lang w:val="zh-CN" w:eastAsia="zh-CN"/>
        </w:rPr>
        <w:t>；</w:t>
      </w:r>
      <w:r>
        <w:rPr>
          <w:rFonts w:hint="default" w:ascii="Times New Roman" w:hAnsi="Times New Roman" w:eastAsia="宋体" w:cs="Times New Roman"/>
          <w:bCs/>
          <w:color w:val="auto"/>
          <w:kern w:val="0"/>
          <w:sz w:val="24"/>
          <w:szCs w:val="32"/>
          <w:highlight w:val="none"/>
          <w:u w:val="none" w:color="auto"/>
          <w:lang w:val="zh-CN"/>
        </w:rPr>
        <w:t>项目周边500m范围内人口总数</w:t>
      </w:r>
      <w:r>
        <w:rPr>
          <w:rFonts w:hint="default" w:ascii="Times New Roman" w:hAnsi="Times New Roman" w:cs="Times New Roman"/>
          <w:bCs/>
          <w:color w:val="auto"/>
          <w:kern w:val="0"/>
          <w:sz w:val="24"/>
          <w:szCs w:val="32"/>
          <w:highlight w:val="none"/>
          <w:u w:val="none" w:color="auto"/>
          <w:lang w:val="zh-CN"/>
        </w:rPr>
        <w:t>大于</w:t>
      </w:r>
      <w:r>
        <w:rPr>
          <w:rFonts w:hint="default" w:ascii="Times New Roman" w:hAnsi="Times New Roman" w:cs="Times New Roman"/>
          <w:bCs/>
          <w:color w:val="auto"/>
          <w:kern w:val="0"/>
          <w:sz w:val="24"/>
          <w:szCs w:val="32"/>
          <w:highlight w:val="none"/>
          <w:u w:val="none" w:color="auto"/>
          <w:lang w:val="en-US" w:eastAsia="zh-CN"/>
        </w:rPr>
        <w:t>10</w:t>
      </w:r>
      <w:r>
        <w:rPr>
          <w:rFonts w:hint="default" w:ascii="Times New Roman" w:hAnsi="Times New Roman" w:eastAsia="宋体" w:cs="Times New Roman"/>
          <w:bCs/>
          <w:color w:val="auto"/>
          <w:kern w:val="0"/>
          <w:sz w:val="24"/>
          <w:szCs w:val="32"/>
          <w:highlight w:val="none"/>
          <w:u w:val="none" w:color="auto"/>
          <w:lang w:val="zh-CN"/>
        </w:rPr>
        <w:t>00人。根据《建设项目环境风险评价技术导则》（HJ169-2018）附录D识别，项目大气环境敏感程度为环境中等度敏感区（E</w:t>
      </w:r>
      <w:r>
        <w:rPr>
          <w:rFonts w:hint="default" w:ascii="Times New Roman" w:hAnsi="Times New Roman" w:cs="Times New Roman"/>
          <w:bCs/>
          <w:color w:val="auto"/>
          <w:kern w:val="0"/>
          <w:sz w:val="24"/>
          <w:szCs w:val="32"/>
          <w:highlight w:val="none"/>
          <w:u w:val="none" w:color="auto"/>
          <w:lang w:val="en-US" w:eastAsia="zh-CN"/>
        </w:rPr>
        <w:t>1</w:t>
      </w:r>
      <w:r>
        <w:rPr>
          <w:rFonts w:hint="default" w:ascii="Times New Roman" w:hAnsi="Times New Roman" w:eastAsia="宋体" w:cs="Times New Roman"/>
          <w:bCs/>
          <w:color w:val="auto"/>
          <w:kern w:val="0"/>
          <w:sz w:val="24"/>
          <w:szCs w:val="32"/>
          <w:highlight w:val="none"/>
          <w:u w:val="none" w:color="auto"/>
          <w:lang w:val="zh-CN"/>
        </w:rPr>
        <w:t>）。</w:t>
      </w:r>
    </w:p>
    <w:p>
      <w:pPr>
        <w:adjustRightInd w:val="0"/>
        <w:snapToGrid w:val="0"/>
        <w:spacing w:line="360" w:lineRule="auto"/>
        <w:jc w:val="left"/>
        <w:rPr>
          <w:rFonts w:hint="default" w:ascii="Times New Roman" w:hAnsi="Times New Roman" w:eastAsia="宋体" w:cs="Times New Roman"/>
          <w:b/>
          <w:bCs w:val="0"/>
          <w:color w:val="auto"/>
          <w:kern w:val="0"/>
          <w:sz w:val="24"/>
          <w:szCs w:val="32"/>
          <w:highlight w:val="none"/>
          <w:u w:val="none" w:color="auto"/>
          <w:lang w:val="zh-CN"/>
        </w:rPr>
      </w:pPr>
      <w:r>
        <w:rPr>
          <w:rFonts w:hint="default" w:ascii="Times New Roman" w:hAnsi="Times New Roman" w:eastAsia="宋体" w:cs="Times New Roman"/>
          <w:b/>
          <w:bCs w:val="0"/>
          <w:color w:val="auto"/>
          <w:kern w:val="0"/>
          <w:sz w:val="24"/>
          <w:szCs w:val="32"/>
          <w:highlight w:val="none"/>
          <w:u w:val="none" w:color="auto"/>
          <w:lang w:val="zh-CN"/>
        </w:rPr>
        <w:t>（2）地表水环境</w:t>
      </w:r>
    </w:p>
    <w:p>
      <w:pPr>
        <w:adjustRightInd w:val="0"/>
        <w:snapToGrid w:val="0"/>
        <w:spacing w:line="360" w:lineRule="auto"/>
        <w:ind w:firstLine="480" w:firstLineChars="200"/>
        <w:jc w:val="both"/>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根据《建设项目环境风险评价技术导则》（HJ169-2018）附录D识别，依据事故情况下危险物质泄漏到水体的排放点受纳地表水体功能敏感性，与下游环境敏感目标情况，共分为三种类型，E1为环境高度敏感区，E2为环境中度敏感区，E3为环境低度敏感区，地表水功能敏感性分区和环境敏感目标分级分别见表</w:t>
      </w:r>
      <w:r>
        <w:rPr>
          <w:rFonts w:hint="default" w:ascii="Times New Roman" w:hAnsi="Times New Roman" w:cs="Times New Roman"/>
          <w:bCs/>
          <w:color w:val="auto"/>
          <w:kern w:val="0"/>
          <w:sz w:val="24"/>
          <w:szCs w:val="32"/>
          <w:highlight w:val="none"/>
          <w:u w:val="none" w:color="auto"/>
          <w:lang w:val="en-US" w:eastAsia="zh-CN"/>
        </w:rPr>
        <w:t>2.3-</w:t>
      </w:r>
      <w:r>
        <w:rPr>
          <w:rFonts w:hint="default" w:ascii="Times New Roman" w:hAnsi="Times New Roman" w:eastAsia="宋体" w:cs="Times New Roman"/>
          <w:bCs/>
          <w:color w:val="auto"/>
          <w:kern w:val="0"/>
          <w:sz w:val="24"/>
          <w:szCs w:val="32"/>
          <w:highlight w:val="none"/>
          <w:u w:val="none" w:color="auto"/>
          <w:lang w:val="zh-CN"/>
        </w:rPr>
        <w:t>2、</w:t>
      </w:r>
      <w:r>
        <w:rPr>
          <w:rFonts w:hint="default" w:ascii="Times New Roman" w:hAnsi="Times New Roman" w:cs="Times New Roman"/>
          <w:bCs/>
          <w:color w:val="auto"/>
          <w:kern w:val="0"/>
          <w:sz w:val="24"/>
          <w:szCs w:val="32"/>
          <w:highlight w:val="none"/>
          <w:u w:val="none" w:color="auto"/>
          <w:lang w:val="en-US" w:eastAsia="zh-CN"/>
        </w:rPr>
        <w:t>2</w:t>
      </w:r>
      <w:r>
        <w:rPr>
          <w:rFonts w:hint="default" w:ascii="Times New Roman" w:hAnsi="Times New Roman" w:eastAsia="宋体" w:cs="Times New Roman"/>
          <w:bCs/>
          <w:color w:val="auto"/>
          <w:kern w:val="0"/>
          <w:sz w:val="24"/>
          <w:szCs w:val="32"/>
          <w:highlight w:val="none"/>
          <w:u w:val="none" w:color="auto"/>
          <w:lang w:val="zh-CN"/>
        </w:rPr>
        <w:t>.3-3</w:t>
      </w:r>
      <w:r>
        <w:rPr>
          <w:rFonts w:hint="default" w:ascii="Times New Roman" w:hAnsi="Times New Roman" w:cs="Times New Roman"/>
          <w:bCs/>
          <w:color w:val="auto"/>
          <w:kern w:val="0"/>
          <w:sz w:val="24"/>
          <w:szCs w:val="32"/>
          <w:highlight w:val="none"/>
          <w:u w:val="none" w:color="auto"/>
          <w:lang w:val="zh-CN"/>
        </w:rPr>
        <w:t>，</w:t>
      </w:r>
      <w:r>
        <w:rPr>
          <w:rFonts w:hint="default" w:ascii="Times New Roman" w:hAnsi="Times New Roman" w:eastAsia="宋体" w:cs="Times New Roman"/>
          <w:bCs/>
          <w:color w:val="auto"/>
          <w:kern w:val="0"/>
          <w:sz w:val="24"/>
          <w:szCs w:val="32"/>
          <w:highlight w:val="none"/>
          <w:u w:val="none" w:color="auto"/>
          <w:lang w:val="zh-CN"/>
        </w:rPr>
        <w:t>分级原则见表</w:t>
      </w:r>
      <w:r>
        <w:rPr>
          <w:rFonts w:hint="default" w:ascii="Times New Roman" w:hAnsi="Times New Roman" w:cs="Times New Roman"/>
          <w:bCs/>
          <w:color w:val="auto"/>
          <w:kern w:val="0"/>
          <w:sz w:val="24"/>
          <w:szCs w:val="32"/>
          <w:highlight w:val="none"/>
          <w:u w:val="none" w:color="auto"/>
          <w:lang w:val="en-US" w:eastAsia="zh-CN"/>
        </w:rPr>
        <w:t>2</w:t>
      </w:r>
      <w:r>
        <w:rPr>
          <w:rFonts w:hint="default" w:ascii="Times New Roman" w:hAnsi="Times New Roman" w:eastAsia="宋体" w:cs="Times New Roman"/>
          <w:bCs/>
          <w:color w:val="auto"/>
          <w:kern w:val="0"/>
          <w:sz w:val="24"/>
          <w:szCs w:val="32"/>
          <w:highlight w:val="none"/>
          <w:u w:val="none" w:color="auto"/>
          <w:lang w:val="zh-CN"/>
        </w:rPr>
        <w:t>.3-4。</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表</w:t>
      </w:r>
      <w:r>
        <w:rPr>
          <w:rFonts w:hint="default" w:ascii="Times New Roman" w:hAnsi="Times New Roman" w:cs="Times New Roman"/>
          <w:color w:val="auto"/>
          <w:sz w:val="24"/>
          <w:szCs w:val="24"/>
          <w:u w:val="none" w:color="auto"/>
          <w:lang w:val="en-US" w:eastAsia="zh-CN"/>
        </w:rPr>
        <w:t>2.3-2</w:t>
      </w:r>
      <w:r>
        <w:rPr>
          <w:rFonts w:hint="default" w:ascii="Times New Roman" w:hAnsi="Times New Roman" w:eastAsia="宋体" w:cs="Times New Roman"/>
          <w:color w:val="auto"/>
          <w:sz w:val="24"/>
          <w:szCs w:val="24"/>
          <w:u w:val="none" w:color="auto"/>
          <w:lang w:eastAsia="zh-CN"/>
        </w:rPr>
        <w:t>地表水功能敏感性分区</w:t>
      </w:r>
    </w:p>
    <w:tbl>
      <w:tblPr>
        <w:tblStyle w:val="29"/>
        <w:tblW w:w="848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85" w:type="dxa"/>
          <w:left w:w="85" w:type="dxa"/>
          <w:bottom w:w="85" w:type="dxa"/>
          <w:right w:w="85" w:type="dxa"/>
        </w:tblCellMar>
      </w:tblPr>
      <w:tblGrid>
        <w:gridCol w:w="1084"/>
        <w:gridCol w:w="73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1084" w:type="dxa"/>
            <w:tcBorders>
              <w:bottom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敏感性</w:t>
            </w:r>
          </w:p>
        </w:tc>
        <w:tc>
          <w:tcPr>
            <w:tcW w:w="7398" w:type="dxa"/>
            <w:tcBorders>
              <w:left w:val="single" w:color="000000" w:sz="4" w:space="0"/>
              <w:bottom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地表水环境敏征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1084" w:type="dxa"/>
            <w:tcBorders>
              <w:top w:val="single" w:color="000000" w:sz="4" w:space="0"/>
              <w:bottom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敏感F1</w:t>
            </w:r>
          </w:p>
        </w:tc>
        <w:tc>
          <w:tcPr>
            <w:tcW w:w="7398" w:type="dxa"/>
            <w:tcBorders>
              <w:top w:val="single" w:color="000000" w:sz="4" w:space="0"/>
              <w:left w:val="single" w:color="000000" w:sz="4" w:space="0"/>
              <w:bottom w:val="single" w:color="000000" w:sz="4" w:space="0"/>
            </w:tcBorders>
            <w:vAlign w:val="center"/>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排放点进入地表水水域环境功能为Ⅱ类及以上，或海水水质分类第一类；</w:t>
            </w:r>
          </w:p>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或以发生事故时，危险物质泄漏到水体的排放点算起，排放进入受纳河流最大流速时，24h流经范围内涉跨国界的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1084" w:type="dxa"/>
            <w:tcBorders>
              <w:top w:val="single" w:color="000000" w:sz="4" w:space="0"/>
              <w:bottom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较敏感F2</w:t>
            </w:r>
          </w:p>
        </w:tc>
        <w:tc>
          <w:tcPr>
            <w:tcW w:w="7398" w:type="dxa"/>
            <w:tcBorders>
              <w:top w:val="single" w:color="000000" w:sz="4" w:space="0"/>
              <w:left w:val="single" w:color="000000" w:sz="4" w:space="0"/>
              <w:bottom w:val="single" w:color="000000" w:sz="4" w:space="0"/>
            </w:tcBorders>
            <w:vAlign w:val="center"/>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排放点进入地表水水域环境功能为Ⅲ类，或海水水质分类第二类；</w:t>
            </w:r>
          </w:p>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或以发生事故时，危险物质泄漏到水体的排放点算起，排放进入受纳河流最大流速时，24h流经范围内涉跨省界的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1084" w:type="dxa"/>
            <w:tcBorders>
              <w:top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低敏感F3</w:t>
            </w:r>
          </w:p>
        </w:tc>
        <w:tc>
          <w:tcPr>
            <w:tcW w:w="7398" w:type="dxa"/>
            <w:tcBorders>
              <w:top w:val="single" w:color="000000" w:sz="4" w:space="0"/>
              <w:left w:val="single" w:color="000000" w:sz="4" w:space="0"/>
            </w:tcBorders>
            <w:vAlign w:val="center"/>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上述地区之外的其他地区</w:t>
            </w:r>
          </w:p>
        </w:tc>
      </w:tr>
    </w:tbl>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表</w:t>
      </w:r>
      <w:r>
        <w:rPr>
          <w:rFonts w:hint="default" w:ascii="Times New Roman" w:hAnsi="Times New Roman"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eastAsia="zh-CN"/>
        </w:rPr>
        <w:t>.3-3环境敏感目标分级</w:t>
      </w:r>
    </w:p>
    <w:tbl>
      <w:tblPr>
        <w:tblStyle w:val="29"/>
        <w:tblW w:w="848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85" w:type="dxa"/>
          <w:left w:w="85" w:type="dxa"/>
          <w:bottom w:w="85" w:type="dxa"/>
          <w:right w:w="85" w:type="dxa"/>
        </w:tblCellMar>
      </w:tblPr>
      <w:tblGrid>
        <w:gridCol w:w="735"/>
        <w:gridCol w:w="77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tblHeader/>
          <w:jc w:val="center"/>
        </w:trPr>
        <w:tc>
          <w:tcPr>
            <w:tcW w:w="735" w:type="dxa"/>
            <w:tcBorders>
              <w:bottom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分级</w:t>
            </w:r>
          </w:p>
        </w:tc>
        <w:tc>
          <w:tcPr>
            <w:tcW w:w="7747" w:type="dxa"/>
            <w:tcBorders>
              <w:left w:val="single" w:color="000000" w:sz="4" w:space="0"/>
              <w:bottom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环境敏感目标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735" w:type="dxa"/>
            <w:tcBorders>
              <w:top w:val="single" w:color="000000" w:sz="4" w:space="0"/>
              <w:bottom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S1</w:t>
            </w:r>
          </w:p>
        </w:tc>
        <w:tc>
          <w:tcPr>
            <w:tcW w:w="7747" w:type="dxa"/>
            <w:tcBorders>
              <w:top w:val="single" w:color="000000" w:sz="4" w:space="0"/>
              <w:left w:val="single" w:color="000000" w:sz="4" w:space="0"/>
              <w:bottom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735" w:type="dxa"/>
            <w:tcBorders>
              <w:top w:val="single" w:color="000000" w:sz="4" w:space="0"/>
              <w:bottom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S2</w:t>
            </w:r>
          </w:p>
        </w:tc>
        <w:tc>
          <w:tcPr>
            <w:tcW w:w="7747" w:type="dxa"/>
            <w:tcBorders>
              <w:top w:val="single" w:color="000000" w:sz="4" w:space="0"/>
              <w:left w:val="single" w:color="000000" w:sz="4" w:space="0"/>
              <w:bottom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85" w:type="dxa"/>
            <w:left w:w="85" w:type="dxa"/>
            <w:bottom w:w="85" w:type="dxa"/>
            <w:right w:w="85" w:type="dxa"/>
          </w:tblCellMar>
        </w:tblPrEx>
        <w:trPr>
          <w:trHeight w:val="0" w:hRule="atLeast"/>
          <w:jc w:val="center"/>
        </w:trPr>
        <w:tc>
          <w:tcPr>
            <w:tcW w:w="735" w:type="dxa"/>
            <w:tcBorders>
              <w:top w:val="single" w:color="000000" w:sz="4" w:space="0"/>
              <w:righ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S3</w:t>
            </w:r>
          </w:p>
        </w:tc>
        <w:tc>
          <w:tcPr>
            <w:tcW w:w="7747" w:type="dxa"/>
            <w:tcBorders>
              <w:top w:val="single" w:color="000000" w:sz="4" w:space="0"/>
              <w:left w:val="single" w:color="000000" w:sz="4" w:space="0"/>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排放点下游（顺水流向）10km范围、近岸海域一个潮周期水质点可能达到的最大水平距离的两倍范围内无上述类型1和类型2包括的敏感保护目标</w:t>
            </w:r>
          </w:p>
        </w:tc>
      </w:tr>
    </w:tbl>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rPr>
      </w:pPr>
      <w:r>
        <w:rPr>
          <w:rFonts w:hint="default" w:ascii="Times New Roman" w:hAnsi="Times New Roman" w:eastAsia="宋体" w:cs="Times New Roman"/>
          <w:bCs/>
          <w:color w:val="auto"/>
          <w:kern w:val="0"/>
          <w:sz w:val="24"/>
          <w:szCs w:val="32"/>
          <w:highlight w:val="none"/>
          <w:u w:val="none" w:color="auto"/>
        </w:rPr>
        <w:t>项目在发生</w:t>
      </w:r>
      <w:r>
        <w:rPr>
          <w:rFonts w:hint="default" w:ascii="Times New Roman" w:hAnsi="Times New Roman" w:cs="Times New Roman"/>
          <w:bCs/>
          <w:color w:val="auto"/>
          <w:kern w:val="0"/>
          <w:sz w:val="24"/>
          <w:szCs w:val="32"/>
          <w:highlight w:val="none"/>
          <w:u w:val="none" w:color="auto"/>
          <w:lang w:eastAsia="zh-CN"/>
        </w:rPr>
        <w:t>废水处理设施故障</w:t>
      </w:r>
      <w:r>
        <w:rPr>
          <w:rFonts w:hint="default" w:ascii="Times New Roman" w:hAnsi="Times New Roman" w:eastAsia="宋体" w:cs="Times New Roman"/>
          <w:bCs/>
          <w:color w:val="auto"/>
          <w:kern w:val="0"/>
          <w:sz w:val="24"/>
          <w:szCs w:val="32"/>
          <w:highlight w:val="none"/>
          <w:u w:val="none" w:color="auto"/>
        </w:rPr>
        <w:t>的事故时，泄漏物质可能通过</w:t>
      </w:r>
      <w:r>
        <w:rPr>
          <w:rFonts w:hint="default" w:ascii="Times New Roman" w:hAnsi="Times New Roman" w:cs="Times New Roman"/>
          <w:bCs/>
          <w:color w:val="auto"/>
          <w:kern w:val="0"/>
          <w:sz w:val="24"/>
          <w:szCs w:val="32"/>
          <w:highlight w:val="none"/>
          <w:u w:val="none" w:color="auto"/>
          <w:lang w:eastAsia="zh-CN"/>
        </w:rPr>
        <w:t>排湘阴县第三污水处理厂，再经湘阴县第三污水处理厂排放口</w:t>
      </w:r>
      <w:r>
        <w:rPr>
          <w:rFonts w:hint="default" w:ascii="Times New Roman" w:hAnsi="Times New Roman" w:eastAsia="宋体" w:cs="Times New Roman"/>
          <w:bCs/>
          <w:color w:val="auto"/>
          <w:kern w:val="0"/>
          <w:sz w:val="24"/>
          <w:szCs w:val="32"/>
          <w:highlight w:val="none"/>
          <w:u w:val="none" w:color="auto"/>
        </w:rPr>
        <w:t>排入</w:t>
      </w:r>
      <w:r>
        <w:rPr>
          <w:rFonts w:hint="default" w:ascii="Times New Roman" w:hAnsi="Times New Roman" w:eastAsia="宋体" w:cs="Times New Roman"/>
          <w:bCs/>
          <w:color w:val="auto"/>
          <w:kern w:val="0"/>
          <w:sz w:val="24"/>
          <w:szCs w:val="32"/>
          <w:highlight w:val="none"/>
          <w:u w:val="none" w:color="auto"/>
          <w:lang w:val="zh-CN"/>
        </w:rPr>
        <w:t>洋沙河</w:t>
      </w:r>
      <w:r>
        <w:rPr>
          <w:rFonts w:hint="default" w:ascii="Times New Roman" w:hAnsi="Times New Roman" w:eastAsia="宋体" w:cs="Times New Roman"/>
          <w:bCs/>
          <w:color w:val="auto"/>
          <w:kern w:val="0"/>
          <w:sz w:val="24"/>
          <w:szCs w:val="32"/>
          <w:highlight w:val="none"/>
          <w:u w:val="none" w:color="auto"/>
          <w:lang w:val="zh-CN" w:eastAsia="zh-CN"/>
        </w:rPr>
        <w:t>Ⅳ类</w:t>
      </w:r>
      <w:r>
        <w:rPr>
          <w:rFonts w:hint="default" w:ascii="Times New Roman" w:hAnsi="Times New Roman" w:cs="Times New Roman"/>
          <w:bCs/>
          <w:color w:val="auto"/>
          <w:kern w:val="0"/>
          <w:sz w:val="24"/>
          <w:szCs w:val="32"/>
          <w:highlight w:val="none"/>
          <w:u w:val="none" w:color="auto"/>
          <w:lang w:val="zh-CN" w:eastAsia="zh-CN"/>
        </w:rPr>
        <w:t>水体</w:t>
      </w:r>
      <w:r>
        <w:rPr>
          <w:rFonts w:hint="default" w:ascii="Times New Roman" w:hAnsi="Times New Roman" w:cs="Times New Roman"/>
          <w:bCs/>
          <w:color w:val="auto"/>
          <w:kern w:val="0"/>
          <w:sz w:val="24"/>
          <w:szCs w:val="32"/>
          <w:highlight w:val="none"/>
          <w:u w:val="none" w:color="auto"/>
          <w:lang w:val="zh-CN"/>
        </w:rPr>
        <w:t>，经</w:t>
      </w:r>
      <w:r>
        <w:rPr>
          <w:rFonts w:hint="default" w:ascii="Times New Roman" w:hAnsi="Times New Roman" w:cs="Times New Roman"/>
          <w:bCs/>
          <w:color w:val="auto"/>
          <w:kern w:val="0"/>
          <w:sz w:val="24"/>
          <w:szCs w:val="32"/>
          <w:highlight w:val="none"/>
          <w:u w:val="none" w:color="auto"/>
          <w:lang w:val="en-US" w:eastAsia="zh-CN"/>
        </w:rPr>
        <w:t>12km后汇入洋沙湖</w:t>
      </w:r>
      <w:r>
        <w:rPr>
          <w:rFonts w:hint="default" w:ascii="Times New Roman" w:hAnsi="Times New Roman" w:eastAsia="宋体" w:cs="Times New Roman"/>
          <w:bCs/>
          <w:color w:val="auto"/>
          <w:kern w:val="0"/>
          <w:sz w:val="24"/>
          <w:szCs w:val="32"/>
          <w:highlight w:val="none"/>
          <w:u w:val="none" w:color="auto"/>
        </w:rPr>
        <w:t>III类水体。排放点排水进入受纳河流最大流速时，24小时流经范围内不涉跨国界或省界，根据上表，本项目地表水功能敏感性为敏感（F</w:t>
      </w:r>
      <w:r>
        <w:rPr>
          <w:rFonts w:hint="default" w:ascii="Times New Roman" w:hAnsi="Times New Roman" w:cs="Times New Roman"/>
          <w:bCs/>
          <w:color w:val="auto"/>
          <w:kern w:val="0"/>
          <w:sz w:val="24"/>
          <w:szCs w:val="32"/>
          <w:highlight w:val="none"/>
          <w:u w:val="none" w:color="auto"/>
          <w:lang w:val="en-US" w:eastAsia="zh-CN"/>
        </w:rPr>
        <w:t>3</w:t>
      </w:r>
      <w:r>
        <w:rPr>
          <w:rFonts w:hint="default" w:ascii="Times New Roman" w:hAnsi="Times New Roman" w:eastAsia="宋体" w:cs="Times New Roman"/>
          <w:bCs/>
          <w:color w:val="auto"/>
          <w:kern w:val="0"/>
          <w:sz w:val="24"/>
          <w:szCs w:val="32"/>
          <w:highlight w:val="none"/>
          <w:u w:val="none" w:color="auto"/>
        </w:rPr>
        <w:t>）。</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rPr>
      </w:pPr>
      <w:r>
        <w:rPr>
          <w:rFonts w:hint="default" w:ascii="Times New Roman" w:hAnsi="Times New Roman" w:eastAsia="宋体" w:cs="Times New Roman"/>
          <w:bCs/>
          <w:color w:val="auto"/>
          <w:kern w:val="0"/>
          <w:sz w:val="24"/>
          <w:szCs w:val="32"/>
          <w:highlight w:val="none"/>
          <w:u w:val="none" w:color="auto"/>
        </w:rPr>
        <w:t>排放口下游（顺水流向）10km范围内无以下环境风险受体：集中式地表水饮用水源保护区（包括一级保护区、二级保护区及准保护区）、农村及分散式饮用水源保护区、自然保护区、重要湿地、珍稀濒危野生动植物天然集中分布区、重要水生生物的自然产卵场及索饵场、越冬场和洄游通道、世界文化和自然遗产地、珍稀、濒危海洋生物的天然集中分布区、风景名胜区、或者其他特殊重要保护区域、水产养殖区、天然渔场、森林公园；地质公园、具有重要经济价值的海洋生物生存区域等敏感保护目标，因此环境敏感目标分级为S3。</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对照《建设项目环境风险评价技术导则》（HJ169-2018）附录D中地表水环境敏感程度分级，本项目地表水环境敏感程度为E</w:t>
      </w:r>
      <w:r>
        <w:rPr>
          <w:rFonts w:hint="default" w:ascii="Times New Roman" w:hAnsi="Times New Roman" w:cs="Times New Roman"/>
          <w:bCs/>
          <w:color w:val="auto"/>
          <w:kern w:val="0"/>
          <w:sz w:val="24"/>
          <w:szCs w:val="32"/>
          <w:highlight w:val="none"/>
          <w:u w:val="none" w:color="auto"/>
          <w:lang w:val="en-US" w:eastAsia="zh-CN"/>
        </w:rPr>
        <w:t>3</w:t>
      </w:r>
      <w:r>
        <w:rPr>
          <w:rFonts w:hint="default" w:ascii="Times New Roman" w:hAnsi="Times New Roman" w:eastAsia="宋体" w:cs="Times New Roman"/>
          <w:bCs/>
          <w:color w:val="auto"/>
          <w:kern w:val="0"/>
          <w:sz w:val="24"/>
          <w:szCs w:val="32"/>
          <w:highlight w:val="none"/>
          <w:u w:val="none" w:color="auto"/>
          <w:lang w:val="zh-CN"/>
        </w:rPr>
        <w:t>。</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eastAsia="zh-CN"/>
        </w:rPr>
      </w:pPr>
      <w:r>
        <w:rPr>
          <w:rFonts w:hint="default" w:ascii="Times New Roman" w:hAnsi="Times New Roman" w:eastAsia="宋体" w:cs="Times New Roman"/>
          <w:color w:val="auto"/>
          <w:sz w:val="24"/>
          <w:szCs w:val="24"/>
          <w:u w:val="none" w:color="auto"/>
          <w:lang w:val="zh-CN" w:eastAsia="zh-CN"/>
        </w:rPr>
        <w:t>表</w:t>
      </w:r>
      <w:r>
        <w:rPr>
          <w:rFonts w:hint="default" w:ascii="Times New Roman" w:hAnsi="Times New Roman" w:cs="Times New Roman"/>
          <w:color w:val="auto"/>
          <w:sz w:val="24"/>
          <w:szCs w:val="24"/>
          <w:u w:val="none" w:color="auto"/>
          <w:lang w:val="en-US" w:eastAsia="zh-CN"/>
        </w:rPr>
        <w:t>2.3-4</w:t>
      </w:r>
      <w:r>
        <w:rPr>
          <w:rFonts w:hint="default" w:ascii="Times New Roman" w:hAnsi="Times New Roman" w:eastAsia="宋体" w:cs="Times New Roman"/>
          <w:color w:val="auto"/>
          <w:sz w:val="24"/>
          <w:szCs w:val="24"/>
          <w:u w:val="none" w:color="auto"/>
          <w:lang w:val="zh-CN" w:eastAsia="zh-CN"/>
        </w:rPr>
        <w:t>地表水环境敏感程度分级</w:t>
      </w:r>
    </w:p>
    <w:tbl>
      <w:tblPr>
        <w:tblStyle w:val="29"/>
        <w:tblW w:w="85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2139"/>
        <w:gridCol w:w="2139"/>
        <w:gridCol w:w="2139"/>
        <w:gridCol w:w="21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97" w:hRule="atLeast"/>
          <w:jc w:val="center"/>
        </w:trPr>
        <w:tc>
          <w:tcPr>
            <w:tcW w:w="2139" w:type="dxa"/>
            <w:vMerge w:val="restart"/>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环境敏感目标</w:t>
            </w:r>
          </w:p>
        </w:tc>
        <w:tc>
          <w:tcPr>
            <w:tcW w:w="6416" w:type="dxa"/>
            <w:gridSpan w:val="3"/>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地表水功能敏感性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97" w:hRule="atLeast"/>
          <w:jc w:val="center"/>
        </w:trPr>
        <w:tc>
          <w:tcPr>
            <w:tcW w:w="2139" w:type="dxa"/>
            <w:vMerge w:val="continue"/>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F1</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F2</w:t>
            </w:r>
          </w:p>
        </w:tc>
        <w:tc>
          <w:tcPr>
            <w:tcW w:w="2138"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F3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96" w:hRule="atLeast"/>
          <w:jc w:val="center"/>
        </w:trPr>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S1</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2138"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97" w:hRule="atLeast"/>
          <w:jc w:val="center"/>
        </w:trPr>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S2</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c>
          <w:tcPr>
            <w:tcW w:w="2138"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96" w:hRule="atLeast"/>
          <w:jc w:val="center"/>
        </w:trPr>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S3</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2139"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c>
          <w:tcPr>
            <w:tcW w:w="2138" w:type="dxa"/>
            <w:tcBorders>
              <w:tl2br w:val="nil"/>
              <w:tr2bl w:val="nil"/>
            </w:tcBorders>
            <w:shd w:val="clear" w:color="auto" w:fill="7E7E7E" w:themeFill="background1" w:themeFillShade="7F"/>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r>
    </w:tbl>
    <w:p>
      <w:pPr>
        <w:autoSpaceDE w:val="0"/>
        <w:autoSpaceDN w:val="0"/>
        <w:adjustRightInd/>
        <w:snapToGrid/>
        <w:spacing w:line="360" w:lineRule="auto"/>
        <w:ind w:firstLine="0" w:firstLineChars="0"/>
        <w:jc w:val="left"/>
        <w:rPr>
          <w:rFonts w:hint="default" w:ascii="Times New Roman" w:hAnsi="Times New Roman" w:eastAsia="宋体" w:cs="Times New Roman"/>
          <w:b/>
          <w:bCs/>
          <w:color w:val="auto"/>
          <w:kern w:val="0"/>
          <w:sz w:val="24"/>
          <w:szCs w:val="24"/>
          <w:highlight w:val="none"/>
          <w:u w:val="none" w:color="auto"/>
          <w:lang w:val="zh-CN" w:bidi="zh-CN"/>
        </w:rPr>
      </w:pPr>
      <w:r>
        <w:rPr>
          <w:rFonts w:hint="default" w:ascii="Times New Roman" w:hAnsi="Times New Roman" w:eastAsia="宋体" w:cs="Times New Roman"/>
          <w:b/>
          <w:bCs/>
          <w:color w:val="auto"/>
          <w:kern w:val="0"/>
          <w:sz w:val="24"/>
          <w:szCs w:val="24"/>
          <w:highlight w:val="none"/>
          <w:u w:val="none" w:color="auto"/>
          <w:lang w:val="zh-CN" w:bidi="zh-CN"/>
        </w:rPr>
        <w:t>（</w:t>
      </w:r>
      <w:r>
        <w:rPr>
          <w:rFonts w:hint="default" w:ascii="Times New Roman" w:hAnsi="Times New Roman" w:eastAsia="宋体" w:cs="Times New Roman"/>
          <w:b/>
          <w:bCs/>
          <w:color w:val="auto"/>
          <w:kern w:val="0"/>
          <w:sz w:val="24"/>
          <w:szCs w:val="24"/>
          <w:highlight w:val="none"/>
          <w:u w:val="none" w:color="auto"/>
          <w:lang w:bidi="zh-CN"/>
        </w:rPr>
        <w:t>3</w:t>
      </w:r>
      <w:r>
        <w:rPr>
          <w:rFonts w:hint="default" w:ascii="Times New Roman" w:hAnsi="Times New Roman" w:eastAsia="宋体" w:cs="Times New Roman"/>
          <w:b/>
          <w:bCs/>
          <w:color w:val="auto"/>
          <w:kern w:val="0"/>
          <w:sz w:val="24"/>
          <w:szCs w:val="24"/>
          <w:highlight w:val="none"/>
          <w:u w:val="none" w:color="auto"/>
          <w:lang w:val="zh-CN" w:bidi="zh-CN"/>
        </w:rPr>
        <w:t>）地下水环境</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根据《建设项目环境风险评价技术导则》（HJ169-2018）附录D识别，依据地下水功能敏感性与包气带防污性能，共分为三种类型，E1为环境高度敏感区，E2为环境中度敏感区，E3为环境低度敏感区，分级原则见表</w:t>
      </w:r>
      <w:r>
        <w:rPr>
          <w:rFonts w:hint="default" w:ascii="Times New Roman" w:hAnsi="Times New Roman" w:cs="Times New Roman"/>
          <w:bCs/>
          <w:color w:val="auto"/>
          <w:kern w:val="0"/>
          <w:sz w:val="24"/>
          <w:szCs w:val="32"/>
          <w:highlight w:val="none"/>
          <w:u w:val="none" w:color="auto"/>
          <w:lang w:val="en-US" w:eastAsia="zh-CN"/>
        </w:rPr>
        <w:t>2</w:t>
      </w:r>
      <w:r>
        <w:rPr>
          <w:rFonts w:hint="default" w:ascii="Times New Roman" w:hAnsi="Times New Roman" w:eastAsia="宋体" w:cs="Times New Roman"/>
          <w:bCs/>
          <w:color w:val="auto"/>
          <w:kern w:val="0"/>
          <w:sz w:val="24"/>
          <w:szCs w:val="32"/>
          <w:highlight w:val="none"/>
          <w:u w:val="none" w:color="auto"/>
        </w:rPr>
        <w:t>.3-</w:t>
      </w:r>
      <w:r>
        <w:rPr>
          <w:rFonts w:hint="default" w:ascii="Times New Roman" w:hAnsi="Times New Roman" w:cs="Times New Roman"/>
          <w:bCs/>
          <w:color w:val="auto"/>
          <w:kern w:val="0"/>
          <w:sz w:val="24"/>
          <w:szCs w:val="32"/>
          <w:highlight w:val="none"/>
          <w:u w:val="none" w:color="auto"/>
          <w:lang w:val="en-US" w:eastAsia="zh-CN"/>
        </w:rPr>
        <w:t>7</w:t>
      </w:r>
      <w:r>
        <w:rPr>
          <w:rFonts w:hint="default" w:ascii="Times New Roman" w:hAnsi="Times New Roman" w:eastAsia="宋体" w:cs="Times New Roman"/>
          <w:bCs/>
          <w:color w:val="auto"/>
          <w:kern w:val="0"/>
          <w:sz w:val="24"/>
          <w:szCs w:val="32"/>
          <w:highlight w:val="none"/>
          <w:u w:val="none" w:color="auto"/>
          <w:lang w:val="zh-CN"/>
        </w:rPr>
        <w:t>，其中地下水功能敏感性分区和包气带防污性能分级分别见表</w:t>
      </w:r>
      <w:r>
        <w:rPr>
          <w:rFonts w:hint="default" w:ascii="Times New Roman" w:hAnsi="Times New Roman" w:cs="Times New Roman"/>
          <w:bCs/>
          <w:color w:val="auto"/>
          <w:kern w:val="0"/>
          <w:sz w:val="24"/>
          <w:szCs w:val="32"/>
          <w:highlight w:val="none"/>
          <w:u w:val="none" w:color="auto"/>
          <w:lang w:val="en-US" w:eastAsia="zh-CN"/>
        </w:rPr>
        <w:t>2</w:t>
      </w:r>
      <w:r>
        <w:rPr>
          <w:rFonts w:hint="default" w:ascii="Times New Roman" w:hAnsi="Times New Roman" w:eastAsia="宋体" w:cs="Times New Roman"/>
          <w:bCs/>
          <w:color w:val="auto"/>
          <w:kern w:val="0"/>
          <w:sz w:val="24"/>
          <w:szCs w:val="32"/>
          <w:highlight w:val="none"/>
          <w:u w:val="none" w:color="auto"/>
        </w:rPr>
        <w:t>.3-5</w:t>
      </w:r>
      <w:r>
        <w:rPr>
          <w:rFonts w:hint="default" w:ascii="Times New Roman" w:hAnsi="Times New Roman" w:eastAsia="宋体" w:cs="Times New Roman"/>
          <w:bCs/>
          <w:color w:val="auto"/>
          <w:kern w:val="0"/>
          <w:sz w:val="24"/>
          <w:szCs w:val="32"/>
          <w:highlight w:val="none"/>
          <w:u w:val="none" w:color="auto"/>
          <w:lang w:val="zh-CN"/>
        </w:rPr>
        <w:t>和表</w:t>
      </w:r>
      <w:r>
        <w:rPr>
          <w:rFonts w:hint="default" w:ascii="Times New Roman" w:hAnsi="Times New Roman" w:cs="Times New Roman"/>
          <w:bCs/>
          <w:color w:val="auto"/>
          <w:kern w:val="0"/>
          <w:sz w:val="24"/>
          <w:szCs w:val="32"/>
          <w:highlight w:val="none"/>
          <w:u w:val="none" w:color="auto"/>
          <w:lang w:val="en-US" w:eastAsia="zh-CN"/>
        </w:rPr>
        <w:t>2</w:t>
      </w:r>
      <w:r>
        <w:rPr>
          <w:rFonts w:hint="default" w:ascii="Times New Roman" w:hAnsi="Times New Roman" w:eastAsia="宋体" w:cs="Times New Roman"/>
          <w:bCs/>
          <w:color w:val="auto"/>
          <w:kern w:val="0"/>
          <w:sz w:val="24"/>
          <w:szCs w:val="32"/>
          <w:highlight w:val="none"/>
          <w:u w:val="none" w:color="auto"/>
        </w:rPr>
        <w:t>.3-6</w:t>
      </w:r>
      <w:r>
        <w:rPr>
          <w:rFonts w:hint="default" w:ascii="Times New Roman" w:hAnsi="Times New Roman" w:eastAsia="宋体" w:cs="Times New Roman"/>
          <w:bCs/>
          <w:color w:val="auto"/>
          <w:kern w:val="0"/>
          <w:sz w:val="24"/>
          <w:szCs w:val="32"/>
          <w:highlight w:val="none"/>
          <w:u w:val="none" w:color="auto"/>
          <w:lang w:val="zh-CN"/>
        </w:rPr>
        <w:t>，</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eastAsia="zh-CN"/>
        </w:rPr>
      </w:pPr>
      <w:r>
        <w:rPr>
          <w:rFonts w:hint="default" w:ascii="Times New Roman" w:hAnsi="Times New Roman" w:eastAsia="宋体" w:cs="Times New Roman"/>
          <w:color w:val="auto"/>
          <w:sz w:val="24"/>
          <w:szCs w:val="24"/>
          <w:u w:val="none" w:color="auto"/>
          <w:lang w:val="zh-CN" w:eastAsia="zh-CN"/>
        </w:rPr>
        <w:t>表</w:t>
      </w:r>
      <w:r>
        <w:rPr>
          <w:rFonts w:hint="default" w:ascii="Times New Roman" w:hAnsi="Times New Roman" w:cs="Times New Roman"/>
          <w:color w:val="auto"/>
          <w:sz w:val="24"/>
          <w:szCs w:val="24"/>
          <w:u w:val="none" w:color="auto"/>
          <w:lang w:val="en-US" w:eastAsia="zh-CN"/>
        </w:rPr>
        <w:t>2.3-5</w:t>
      </w:r>
      <w:r>
        <w:rPr>
          <w:rFonts w:hint="default" w:ascii="Times New Roman" w:hAnsi="Times New Roman" w:eastAsia="宋体" w:cs="Times New Roman"/>
          <w:color w:val="auto"/>
          <w:sz w:val="24"/>
          <w:szCs w:val="24"/>
          <w:u w:val="none" w:color="auto"/>
          <w:lang w:val="zh-CN" w:eastAsia="zh-CN"/>
        </w:rPr>
        <w:t>地下水功能敏感性分区</w:t>
      </w:r>
    </w:p>
    <w:tbl>
      <w:tblPr>
        <w:tblStyle w:val="2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敏感性</w:t>
            </w:r>
          </w:p>
        </w:tc>
        <w:tc>
          <w:tcPr>
            <w:tcW w:w="7387"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敏感G1</w:t>
            </w:r>
          </w:p>
        </w:tc>
        <w:tc>
          <w:tcPr>
            <w:tcW w:w="7387"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较敏感G2</w:t>
            </w:r>
          </w:p>
        </w:tc>
        <w:tc>
          <w:tcPr>
            <w:tcW w:w="7387"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1"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低敏感G3</w:t>
            </w:r>
          </w:p>
        </w:tc>
        <w:tc>
          <w:tcPr>
            <w:tcW w:w="7387"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8" w:type="dxa"/>
            <w:gridSpan w:val="2"/>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a“环境敏感区”是指《建设项目环境影响评价分类管理名录》中所界定的涉及地下水的环境敏感区</w:t>
            </w:r>
          </w:p>
        </w:tc>
      </w:tr>
    </w:tbl>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项目位于</w:t>
      </w:r>
      <w:r>
        <w:rPr>
          <w:rFonts w:hint="default" w:ascii="Times New Roman" w:hAnsi="Times New Roman" w:cs="Times New Roman"/>
          <w:bCs/>
          <w:color w:val="auto"/>
          <w:kern w:val="0"/>
          <w:sz w:val="24"/>
          <w:szCs w:val="32"/>
          <w:highlight w:val="none"/>
          <w:u w:val="none" w:color="auto"/>
          <w:lang w:val="zh-CN"/>
        </w:rPr>
        <w:t>湘阴县</w:t>
      </w:r>
      <w:r>
        <w:rPr>
          <w:rFonts w:hint="default" w:ascii="Times New Roman" w:hAnsi="Times New Roman" w:eastAsia="宋体" w:cs="Times New Roman"/>
          <w:bCs/>
          <w:color w:val="auto"/>
          <w:kern w:val="0"/>
          <w:sz w:val="24"/>
          <w:szCs w:val="32"/>
          <w:highlight w:val="none"/>
          <w:u w:val="none" w:color="auto"/>
          <w:lang w:val="zh-CN" w:eastAsia="zh-CN"/>
        </w:rPr>
        <w:t>金龙工业园</w:t>
      </w:r>
      <w:r>
        <w:rPr>
          <w:rFonts w:hint="default" w:ascii="Times New Roman" w:hAnsi="Times New Roman" w:eastAsia="宋体" w:cs="Times New Roman"/>
          <w:bCs/>
          <w:color w:val="auto"/>
          <w:kern w:val="0"/>
          <w:sz w:val="24"/>
          <w:szCs w:val="32"/>
          <w:highlight w:val="none"/>
          <w:u w:val="none" w:color="auto"/>
          <w:lang w:val="zh-CN"/>
        </w:rPr>
        <w:t>内，项目所在区域不涉及集中式饮用水水源（包括已建成的在用、备用、应急水源，在建和规划的饮用水水源）准保护区、除集中式饮用水源保护区域以外的国家或地方政府设定的与地下水环境相关的其他保护区（如热水、矿泉水、温泉等特殊地下水资源保护区）、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因此项目属于不敏感（G3）。</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eastAsia="zh-CN"/>
        </w:rPr>
      </w:pPr>
      <w:r>
        <w:rPr>
          <w:rFonts w:hint="default" w:ascii="Times New Roman" w:hAnsi="Times New Roman" w:eastAsia="宋体" w:cs="Times New Roman"/>
          <w:color w:val="auto"/>
          <w:sz w:val="24"/>
          <w:szCs w:val="24"/>
          <w:u w:val="none" w:color="auto"/>
          <w:lang w:val="zh-CN" w:eastAsia="zh-CN"/>
        </w:rPr>
        <w:t>表</w:t>
      </w:r>
      <w:r>
        <w:rPr>
          <w:rFonts w:hint="default" w:ascii="Times New Roman" w:hAnsi="Times New Roman"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zh-CN" w:eastAsia="zh-CN"/>
        </w:rPr>
        <w:t>.3-6包气带防污性能分级</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7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1" w:type="dxa"/>
            <w:vAlign w:val="center"/>
          </w:tcPr>
          <w:p>
            <w:pPr>
              <w:keepNext w:val="0"/>
              <w:keepLines w:val="0"/>
              <w:pageBreakBefore w:val="0"/>
              <w:widowControl w:val="0"/>
              <w:kinsoku/>
              <w:wordWrap w:val="0"/>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分级</w:t>
            </w:r>
          </w:p>
        </w:tc>
        <w:tc>
          <w:tcPr>
            <w:tcW w:w="7387" w:type="dxa"/>
            <w:vAlign w:val="center"/>
          </w:tcPr>
          <w:p>
            <w:pPr>
              <w:keepNext w:val="0"/>
              <w:keepLines w:val="0"/>
              <w:pageBreakBefore w:val="0"/>
              <w:widowControl w:val="0"/>
              <w:kinsoku/>
              <w:wordWrap w:val="0"/>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1" w:type="dxa"/>
            <w:vAlign w:val="center"/>
          </w:tcPr>
          <w:p>
            <w:pPr>
              <w:keepNext w:val="0"/>
              <w:keepLines w:val="0"/>
              <w:pageBreakBefore w:val="0"/>
              <w:widowControl w:val="0"/>
              <w:kinsoku/>
              <w:wordWrap w:val="0"/>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D3</w:t>
            </w:r>
          </w:p>
        </w:tc>
        <w:tc>
          <w:tcPr>
            <w:tcW w:w="7387" w:type="dxa"/>
            <w:vAlign w:val="center"/>
          </w:tcPr>
          <w:p>
            <w:pPr>
              <w:keepNext w:val="0"/>
              <w:keepLines w:val="0"/>
              <w:pageBreakBefore w:val="0"/>
              <w:widowControl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u w:val="none" w:color="auto"/>
              </w:rPr>
            </w:pPr>
            <w:r>
              <w:rPr>
                <w:rFonts w:hint="default" w:ascii="Times New Roman" w:hAnsi="Times New Roman" w:eastAsia="宋体" w:cs="Times New Roman"/>
                <w:iCs/>
                <w:color w:val="auto"/>
                <w:sz w:val="21"/>
                <w:szCs w:val="21"/>
                <w:highlight w:val="none"/>
                <w:u w:val="none" w:color="auto"/>
              </w:rPr>
              <w:t>Mb≥1.0m，K≤1.0×10</w:t>
            </w:r>
            <w:r>
              <w:rPr>
                <w:rFonts w:hint="default" w:ascii="Times New Roman" w:hAnsi="Times New Roman" w:eastAsia="宋体" w:cs="Times New Roman"/>
                <w:iCs/>
                <w:color w:val="auto"/>
                <w:sz w:val="21"/>
                <w:szCs w:val="21"/>
                <w:highlight w:val="none"/>
                <w:u w:val="none" w:color="auto"/>
                <w:vertAlign w:val="superscript"/>
              </w:rPr>
              <w:t>-6</w:t>
            </w:r>
            <w:r>
              <w:rPr>
                <w:rFonts w:hint="default" w:ascii="Times New Roman" w:hAnsi="Times New Roman" w:eastAsia="宋体" w:cs="Times New Roman"/>
                <w:iCs/>
                <w:color w:val="auto"/>
                <w:sz w:val="21"/>
                <w:szCs w:val="21"/>
                <w:highlight w:val="none"/>
                <w:u w:val="none" w:color="auto"/>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1" w:type="dxa"/>
            <w:vAlign w:val="center"/>
          </w:tcPr>
          <w:p>
            <w:pPr>
              <w:keepNext w:val="0"/>
              <w:keepLines w:val="0"/>
              <w:pageBreakBefore w:val="0"/>
              <w:widowControl w:val="0"/>
              <w:kinsoku/>
              <w:wordWrap w:val="0"/>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D2</w:t>
            </w:r>
          </w:p>
        </w:tc>
        <w:tc>
          <w:tcPr>
            <w:tcW w:w="7387" w:type="dxa"/>
            <w:vAlign w:val="center"/>
          </w:tcPr>
          <w:p>
            <w:pPr>
              <w:keepNext w:val="0"/>
              <w:keepLines w:val="0"/>
              <w:pageBreakBefore w:val="0"/>
              <w:widowControl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u w:val="none" w:color="auto"/>
              </w:rPr>
            </w:pPr>
            <w:r>
              <w:rPr>
                <w:rFonts w:hint="default" w:ascii="Times New Roman" w:hAnsi="Times New Roman" w:eastAsia="宋体" w:cs="Times New Roman"/>
                <w:iCs/>
                <w:color w:val="auto"/>
                <w:sz w:val="21"/>
                <w:szCs w:val="21"/>
                <w:highlight w:val="none"/>
                <w:u w:val="none" w:color="auto"/>
              </w:rPr>
              <w:t>0.5m≤Mb&lt;1.0m，K≤1.0×10</w:t>
            </w:r>
            <w:r>
              <w:rPr>
                <w:rFonts w:hint="default" w:ascii="Times New Roman" w:hAnsi="Times New Roman" w:eastAsia="宋体" w:cs="Times New Roman"/>
                <w:iCs/>
                <w:color w:val="auto"/>
                <w:sz w:val="21"/>
                <w:szCs w:val="21"/>
                <w:highlight w:val="none"/>
                <w:u w:val="none" w:color="auto"/>
                <w:vertAlign w:val="superscript"/>
              </w:rPr>
              <w:t>-6</w:t>
            </w:r>
            <w:r>
              <w:rPr>
                <w:rFonts w:hint="default" w:ascii="Times New Roman" w:hAnsi="Times New Roman" w:eastAsia="宋体" w:cs="Times New Roman"/>
                <w:iCs/>
                <w:color w:val="auto"/>
                <w:sz w:val="21"/>
                <w:szCs w:val="21"/>
                <w:highlight w:val="none"/>
                <w:u w:val="none" w:color="auto"/>
              </w:rPr>
              <w:t>cm/s，且分布连续、稳定</w:t>
            </w:r>
          </w:p>
          <w:p>
            <w:pPr>
              <w:keepNext w:val="0"/>
              <w:keepLines w:val="0"/>
              <w:pageBreakBefore w:val="0"/>
              <w:widowControl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u w:val="none" w:color="auto"/>
              </w:rPr>
            </w:pPr>
            <w:r>
              <w:rPr>
                <w:rFonts w:hint="default" w:ascii="Times New Roman" w:hAnsi="Times New Roman" w:eastAsia="宋体" w:cs="Times New Roman"/>
                <w:iCs/>
                <w:color w:val="auto"/>
                <w:sz w:val="21"/>
                <w:szCs w:val="21"/>
                <w:highlight w:val="none"/>
                <w:u w:val="none" w:color="auto"/>
              </w:rPr>
              <w:t>Mb≥1.0m，1.0×10</w:t>
            </w:r>
            <w:r>
              <w:rPr>
                <w:rFonts w:hint="default" w:ascii="Times New Roman" w:hAnsi="Times New Roman" w:eastAsia="宋体" w:cs="Times New Roman"/>
                <w:iCs/>
                <w:color w:val="auto"/>
                <w:sz w:val="21"/>
                <w:szCs w:val="21"/>
                <w:highlight w:val="none"/>
                <w:u w:val="none" w:color="auto"/>
                <w:vertAlign w:val="superscript"/>
              </w:rPr>
              <w:t>-6</w:t>
            </w:r>
            <w:r>
              <w:rPr>
                <w:rFonts w:hint="default" w:ascii="Times New Roman" w:hAnsi="Times New Roman" w:eastAsia="宋体" w:cs="Times New Roman"/>
                <w:iCs/>
                <w:color w:val="auto"/>
                <w:sz w:val="21"/>
                <w:szCs w:val="21"/>
                <w:highlight w:val="none"/>
                <w:u w:val="none" w:color="auto"/>
              </w:rPr>
              <w:t>cm/s＜K≤1.0×10</w:t>
            </w:r>
            <w:r>
              <w:rPr>
                <w:rFonts w:hint="default" w:ascii="Times New Roman" w:hAnsi="Times New Roman" w:eastAsia="宋体" w:cs="Times New Roman"/>
                <w:iCs/>
                <w:color w:val="auto"/>
                <w:sz w:val="21"/>
                <w:szCs w:val="21"/>
                <w:highlight w:val="none"/>
                <w:u w:val="none" w:color="auto"/>
                <w:vertAlign w:val="superscript"/>
              </w:rPr>
              <w:t>-4</w:t>
            </w:r>
            <w:r>
              <w:rPr>
                <w:rFonts w:hint="default" w:ascii="Times New Roman" w:hAnsi="Times New Roman" w:eastAsia="宋体" w:cs="Times New Roman"/>
                <w:iCs/>
                <w:color w:val="auto"/>
                <w:sz w:val="21"/>
                <w:szCs w:val="21"/>
                <w:highlight w:val="none"/>
                <w:u w:val="none" w:color="auto"/>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1" w:type="dxa"/>
            <w:vAlign w:val="center"/>
          </w:tcPr>
          <w:p>
            <w:pPr>
              <w:keepNext w:val="0"/>
              <w:keepLines w:val="0"/>
              <w:pageBreakBefore w:val="0"/>
              <w:widowControl w:val="0"/>
              <w:kinsoku/>
              <w:wordWrap w:val="0"/>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D1</w:t>
            </w:r>
          </w:p>
        </w:tc>
        <w:tc>
          <w:tcPr>
            <w:tcW w:w="7387" w:type="dxa"/>
            <w:vAlign w:val="center"/>
          </w:tcPr>
          <w:p>
            <w:pPr>
              <w:keepNext w:val="0"/>
              <w:keepLines w:val="0"/>
              <w:pageBreakBefore w:val="0"/>
              <w:widowControl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Cs/>
                <w:color w:val="auto"/>
                <w:sz w:val="21"/>
                <w:szCs w:val="21"/>
                <w:highlight w:val="none"/>
                <w:u w:val="none" w:color="auto"/>
              </w:rPr>
            </w:pPr>
            <w:r>
              <w:rPr>
                <w:rFonts w:hint="default" w:ascii="Times New Roman" w:hAnsi="Times New Roman" w:eastAsia="宋体" w:cs="Times New Roman"/>
                <w:iCs/>
                <w:color w:val="auto"/>
                <w:sz w:val="21"/>
                <w:szCs w:val="21"/>
                <w:highlight w:val="none"/>
                <w:u w:val="none" w:color="auto"/>
              </w:rPr>
              <w:t>岩（土）层不满足上述“D2”和“D3”条件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8" w:type="dxa"/>
            <w:gridSpan w:val="2"/>
            <w:vAlign w:val="center"/>
          </w:tcPr>
          <w:p>
            <w:pPr>
              <w:keepNext w:val="0"/>
              <w:keepLines w:val="0"/>
              <w:pageBreakBefore w:val="0"/>
              <w:widowControl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Cs/>
                <w:color w:val="auto"/>
                <w:sz w:val="21"/>
                <w:szCs w:val="21"/>
                <w:highlight w:val="none"/>
                <w:u w:val="none" w:color="auto"/>
              </w:rPr>
            </w:pPr>
            <w:r>
              <w:rPr>
                <w:rFonts w:hint="default" w:ascii="Times New Roman" w:hAnsi="Times New Roman" w:eastAsia="宋体" w:cs="Times New Roman"/>
                <w:iCs/>
                <w:color w:val="auto"/>
                <w:sz w:val="21"/>
                <w:szCs w:val="21"/>
                <w:highlight w:val="none"/>
                <w:u w:val="none" w:color="auto"/>
              </w:rPr>
              <w:t>Mb：岩土层单层厚度。</w:t>
            </w:r>
          </w:p>
          <w:p>
            <w:pPr>
              <w:keepNext w:val="0"/>
              <w:keepLines w:val="0"/>
              <w:pageBreakBefore w:val="0"/>
              <w:widowControl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i/>
                <w:iCs/>
                <w:color w:val="auto"/>
                <w:sz w:val="21"/>
                <w:szCs w:val="21"/>
                <w:highlight w:val="none"/>
                <w:u w:val="none" w:color="auto"/>
              </w:rPr>
            </w:pPr>
            <w:r>
              <w:rPr>
                <w:rFonts w:hint="default" w:ascii="Times New Roman" w:hAnsi="Times New Roman" w:eastAsia="宋体" w:cs="Times New Roman"/>
                <w:iCs/>
                <w:color w:val="auto"/>
                <w:sz w:val="21"/>
                <w:szCs w:val="21"/>
                <w:highlight w:val="none"/>
                <w:u w:val="none" w:color="auto"/>
              </w:rPr>
              <w:t>K：渗透系数。</w:t>
            </w:r>
          </w:p>
        </w:tc>
      </w:tr>
    </w:tbl>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根据项目的地勘资料，本项目所在区域岩土层分布均匀、稳定，土层单层厚度均≥1.0m，土地主要为素填土、粉质黏土、粗砂及中风化灰岩。项目所在区域包气带防污性能分级为D</w:t>
      </w:r>
      <w:r>
        <w:rPr>
          <w:rFonts w:hint="default" w:ascii="Times New Roman" w:hAnsi="Times New Roman" w:cs="Times New Roman"/>
          <w:bCs/>
          <w:color w:val="auto"/>
          <w:kern w:val="0"/>
          <w:sz w:val="24"/>
          <w:szCs w:val="24"/>
          <w:highlight w:val="none"/>
          <w:u w:val="none" w:color="auto"/>
          <w:lang w:val="en-US" w:eastAsia="zh-CN"/>
        </w:rPr>
        <w:t>3</w:t>
      </w:r>
      <w:r>
        <w:rPr>
          <w:rFonts w:hint="default" w:ascii="Times New Roman" w:hAnsi="Times New Roman" w:eastAsia="宋体" w:cs="Times New Roman"/>
          <w:bCs/>
          <w:color w:val="auto"/>
          <w:kern w:val="0"/>
          <w:sz w:val="24"/>
          <w:szCs w:val="24"/>
          <w:highlight w:val="none"/>
          <w:u w:val="none" w:color="auto"/>
          <w:lang w:val="zh-CN"/>
        </w:rPr>
        <w:t>。</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24"/>
          <w:highlight w:val="none"/>
          <w:u w:val="none" w:color="auto"/>
          <w:lang w:val="zh-CN"/>
        </w:rPr>
      </w:pPr>
      <w:r>
        <w:rPr>
          <w:rFonts w:hint="default" w:ascii="Times New Roman" w:hAnsi="Times New Roman" w:eastAsia="宋体" w:cs="Times New Roman"/>
          <w:bCs/>
          <w:color w:val="auto"/>
          <w:kern w:val="0"/>
          <w:sz w:val="24"/>
          <w:szCs w:val="24"/>
          <w:highlight w:val="none"/>
          <w:u w:val="none" w:color="auto"/>
          <w:lang w:val="zh-CN"/>
        </w:rPr>
        <w:t>对照《建设项目环境风险评价技术导则》（HJ169-2018）附录D中地下水环境敏感程度分级，本项目地下水环境敏感程度为E3。</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eastAsia="zh-CN"/>
        </w:rPr>
      </w:pPr>
      <w:r>
        <w:rPr>
          <w:rFonts w:hint="default" w:ascii="Times New Roman" w:hAnsi="Times New Roman" w:eastAsia="宋体" w:cs="Times New Roman"/>
          <w:color w:val="auto"/>
          <w:sz w:val="24"/>
          <w:szCs w:val="24"/>
          <w:u w:val="none" w:color="auto"/>
          <w:lang w:val="zh-CN" w:eastAsia="zh-CN"/>
        </w:rPr>
        <w:t>表</w:t>
      </w:r>
      <w:r>
        <w:rPr>
          <w:rFonts w:hint="default" w:ascii="Times New Roman" w:hAnsi="Times New Roman"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zh-CN" w:eastAsia="zh-CN"/>
        </w:rPr>
        <w:t>.3-7地下水环境敏感程度分级</w:t>
      </w:r>
    </w:p>
    <w:tbl>
      <w:tblPr>
        <w:tblStyle w:val="29"/>
        <w:tblpPr w:leftFromText="180" w:rightFromText="180" w:vertAnchor="text" w:horzAnchor="margin" w:tblpXSpec="center" w:tblpY="3"/>
        <w:tblW w:w="855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10"/>
        <w:gridCol w:w="2079"/>
        <w:gridCol w:w="2497"/>
        <w:gridCol w:w="17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210" w:type="dxa"/>
            <w:vMerge w:val="restart"/>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包气带防污性能</w:t>
            </w:r>
          </w:p>
        </w:tc>
        <w:tc>
          <w:tcPr>
            <w:tcW w:w="6348" w:type="dxa"/>
            <w:gridSpan w:val="3"/>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地下水功能敏感性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210" w:type="dxa"/>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2079"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G1</w:t>
            </w:r>
          </w:p>
        </w:tc>
        <w:tc>
          <w:tcPr>
            <w:tcW w:w="2497"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G2</w:t>
            </w:r>
          </w:p>
        </w:tc>
        <w:tc>
          <w:tcPr>
            <w:tcW w:w="177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G3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21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D1</w:t>
            </w:r>
          </w:p>
        </w:tc>
        <w:tc>
          <w:tcPr>
            <w:tcW w:w="2079"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2497"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177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21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D2</w:t>
            </w:r>
          </w:p>
        </w:tc>
        <w:tc>
          <w:tcPr>
            <w:tcW w:w="2079"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E1</w:t>
            </w:r>
          </w:p>
        </w:tc>
        <w:tc>
          <w:tcPr>
            <w:tcW w:w="2497"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c>
          <w:tcPr>
            <w:tcW w:w="1772"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21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D3</w:t>
            </w:r>
          </w:p>
        </w:tc>
        <w:tc>
          <w:tcPr>
            <w:tcW w:w="2079"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E2</w:t>
            </w:r>
          </w:p>
        </w:tc>
        <w:tc>
          <w:tcPr>
            <w:tcW w:w="2497"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c>
          <w:tcPr>
            <w:tcW w:w="1772" w:type="dxa"/>
            <w:tcBorders>
              <w:tl2br w:val="nil"/>
              <w:tr2bl w:val="nil"/>
            </w:tcBorders>
            <w:shd w:val="clear" w:color="auto" w:fill="7E7E7E" w:themeFill="background1" w:themeFillShade="7F"/>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r>
    </w:tbl>
    <w:p>
      <w:pPr>
        <w:widowControl w:val="0"/>
        <w:numPr>
          <w:ilvl w:val="0"/>
          <w:numId w:val="0"/>
        </w:numPr>
        <w:bidi w:val="0"/>
        <w:spacing w:line="360" w:lineRule="auto"/>
        <w:ind w:leftChars="0"/>
        <w:jc w:val="left"/>
        <w:outlineLvl w:val="2"/>
        <w:rPr>
          <w:rFonts w:hint="default" w:ascii="Times New Roman" w:hAnsi="Times New Roman" w:eastAsia="宋体" w:cs="Times New Roman"/>
          <w:b/>
          <w:color w:val="auto"/>
          <w:kern w:val="2"/>
          <w:sz w:val="24"/>
          <w:szCs w:val="22"/>
          <w:highlight w:val="none"/>
          <w:u w:val="none" w:color="auto"/>
          <w:lang w:val="zh-CN" w:eastAsia="zh-CN" w:bidi="zh-CN"/>
        </w:rPr>
      </w:pPr>
      <w:bookmarkStart w:id="114" w:name="6.3.2_危险物质及工艺系统危害性（P）确定"/>
      <w:bookmarkEnd w:id="114"/>
      <w:bookmarkStart w:id="115" w:name="_Toc4054"/>
      <w:r>
        <w:rPr>
          <w:rFonts w:hint="default" w:ascii="Times New Roman" w:hAnsi="Times New Roman" w:eastAsia="宋体" w:cs="Times New Roman"/>
          <w:b/>
          <w:color w:val="auto"/>
          <w:kern w:val="2"/>
          <w:sz w:val="24"/>
          <w:szCs w:val="22"/>
          <w:highlight w:val="none"/>
          <w:u w:val="none" w:color="auto"/>
          <w:lang w:val="en-US" w:eastAsia="zh-CN" w:bidi="zh-CN"/>
        </w:rPr>
        <w:t>2.3.2</w:t>
      </w:r>
      <w:r>
        <w:rPr>
          <w:rFonts w:hint="default" w:ascii="Times New Roman" w:hAnsi="Times New Roman" w:eastAsia="宋体" w:cs="Times New Roman"/>
          <w:b/>
          <w:color w:val="auto"/>
          <w:kern w:val="2"/>
          <w:sz w:val="24"/>
          <w:szCs w:val="22"/>
          <w:highlight w:val="none"/>
          <w:u w:val="none" w:color="auto"/>
          <w:lang w:val="zh-CN" w:eastAsia="zh-CN" w:bidi="zh-CN"/>
        </w:rPr>
        <w:t>危险物质及工艺系统危害性（</w:t>
      </w:r>
      <w:r>
        <w:rPr>
          <w:rFonts w:hint="default" w:ascii="Times New Roman" w:hAnsi="Times New Roman" w:eastAsia="Times New Roman" w:cs="Times New Roman"/>
          <w:b/>
          <w:color w:val="auto"/>
          <w:kern w:val="2"/>
          <w:sz w:val="24"/>
          <w:szCs w:val="22"/>
          <w:highlight w:val="none"/>
          <w:u w:val="none" w:color="auto"/>
          <w:lang w:val="zh-CN" w:eastAsia="zh-CN" w:bidi="zh-CN"/>
        </w:rPr>
        <w:t>P</w:t>
      </w:r>
      <w:r>
        <w:rPr>
          <w:rFonts w:hint="default" w:ascii="Times New Roman" w:hAnsi="Times New Roman" w:eastAsia="宋体" w:cs="Times New Roman"/>
          <w:b/>
          <w:color w:val="auto"/>
          <w:kern w:val="2"/>
          <w:sz w:val="24"/>
          <w:szCs w:val="22"/>
          <w:highlight w:val="none"/>
          <w:u w:val="none" w:color="auto"/>
          <w:lang w:val="zh-CN" w:eastAsia="zh-CN" w:bidi="zh-CN"/>
        </w:rPr>
        <w:t>）确定</w:t>
      </w:r>
      <w:bookmarkEnd w:id="115"/>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根据《建设项目环境风险评价技术导则》（HJ169</w:t>
      </w:r>
      <w:r>
        <w:rPr>
          <w:rFonts w:hint="default" w:ascii="Times New Roman" w:hAnsi="Times New Roman" w:cs="Times New Roman"/>
          <w:bCs/>
          <w:color w:val="auto"/>
          <w:kern w:val="0"/>
          <w:sz w:val="24"/>
          <w:szCs w:val="32"/>
          <w:highlight w:val="none"/>
          <w:u w:val="none" w:color="auto"/>
          <w:lang w:val="en-US" w:eastAsia="zh-CN"/>
        </w:rPr>
        <w:t>-</w:t>
      </w:r>
      <w:r>
        <w:rPr>
          <w:rFonts w:hint="default" w:ascii="Times New Roman" w:hAnsi="Times New Roman" w:eastAsia="宋体" w:cs="Times New Roman"/>
          <w:bCs/>
          <w:color w:val="auto"/>
          <w:kern w:val="0"/>
          <w:sz w:val="24"/>
          <w:szCs w:val="32"/>
          <w:highlight w:val="none"/>
          <w:u w:val="none" w:color="auto"/>
          <w:lang w:val="zh-CN"/>
        </w:rPr>
        <w:t>2018），危险物质及工艺系统危害性（P）应根据危险物质数量与临界量的比值（Q）和行业及生产工艺（M）确定。</w:t>
      </w:r>
    </w:p>
    <w:p>
      <w:pPr>
        <w:autoSpaceDE w:val="0"/>
        <w:autoSpaceDN w:val="0"/>
        <w:adjustRightInd/>
        <w:snapToGrid/>
        <w:spacing w:line="360" w:lineRule="auto"/>
        <w:ind w:firstLine="0" w:firstLineChars="0"/>
        <w:jc w:val="left"/>
        <w:rPr>
          <w:rFonts w:hint="default" w:ascii="Times New Roman" w:hAnsi="Times New Roman" w:eastAsia="宋体" w:cs="Times New Roman"/>
          <w:b/>
          <w:bCs/>
          <w:color w:val="auto"/>
          <w:kern w:val="0"/>
          <w:sz w:val="24"/>
          <w:szCs w:val="24"/>
          <w:highlight w:val="none"/>
          <w:u w:val="none" w:color="auto"/>
          <w:lang w:val="zh-CN" w:bidi="zh-CN"/>
        </w:rPr>
      </w:pPr>
      <w:r>
        <w:rPr>
          <w:rFonts w:hint="default" w:ascii="Times New Roman" w:hAnsi="Times New Roman" w:eastAsia="宋体" w:cs="Times New Roman"/>
          <w:b/>
          <w:bCs/>
          <w:color w:val="auto"/>
          <w:kern w:val="0"/>
          <w:sz w:val="24"/>
          <w:szCs w:val="24"/>
          <w:highlight w:val="none"/>
          <w:u w:val="none" w:color="auto"/>
          <w:lang w:val="zh-CN" w:bidi="zh-CN"/>
        </w:rPr>
        <w:t>（1）Q值的确定</w:t>
      </w:r>
    </w:p>
    <w:p>
      <w:pPr>
        <w:pStyle w:val="12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根据《建设项目环境风险评价技术导则》(HJ169-2018)附录C，计算所涉及的每种危险物质在厂界内的最大存在总量与其附录B中对应临界量的比值Q。</w:t>
      </w:r>
    </w:p>
    <w:p>
      <w:pPr>
        <w:ind w:firstLine="480"/>
        <w:jc w:val="center"/>
        <w:rPr>
          <w:rFonts w:hint="default" w:ascii="Times New Roman" w:hAnsi="Times New Roman" w:eastAsia="宋体" w:cs="Times New Roman"/>
          <w:color w:val="auto"/>
          <w:sz w:val="24"/>
          <w:szCs w:val="24"/>
          <w:u w:val="none" w:color="auto"/>
        </w:rPr>
      </w:pPr>
      <m:oMathPara>
        <m:oMath>
          <m:f>
            <m:fPr>
              <m:ctrlPr>
                <w:rPr>
                  <w:rFonts w:hint="default" w:ascii="Cambria Math" w:hAnsi="Cambria Math" w:cs="Times New Roman"/>
                  <w:i/>
                  <w:color w:val="auto"/>
                  <w:u w:val="none" w:color="auto"/>
                </w:rPr>
              </m:ctrlPr>
            </m:fPr>
            <m:num>
              <m:sSub>
                <m:sSubPr>
                  <m:ctrlPr>
                    <w:rPr>
                      <w:rFonts w:hint="default" w:ascii="Cambria Math" w:hAnsi="Cambria Math" w:cs="Times New Roman"/>
                      <w:i/>
                      <w:color w:val="auto"/>
                      <w:u w:val="none" w:color="auto"/>
                    </w:rPr>
                  </m:ctrlPr>
                </m:sSubPr>
                <m:e>
                  <m:r>
                    <m:rPr/>
                    <w:rPr>
                      <w:rFonts w:hint="default" w:ascii="Cambria Math" w:hAnsi="Cambria Math" w:cs="Times New Roman"/>
                      <w:color w:val="auto"/>
                      <w:u w:val="none" w:color="auto"/>
                    </w:rPr>
                    <m:t>q</m:t>
                  </m:r>
                  <m:ctrlPr>
                    <w:rPr>
                      <w:rFonts w:hint="default" w:ascii="Cambria Math" w:hAnsi="Cambria Math" w:cs="Times New Roman"/>
                      <w:i/>
                      <w:color w:val="auto"/>
                      <w:u w:val="none" w:color="auto"/>
                    </w:rPr>
                  </m:ctrlPr>
                </m:e>
                <m:sub>
                  <m:r>
                    <m:rPr/>
                    <w:rPr>
                      <w:rFonts w:hint="default" w:ascii="Cambria Math" w:hAnsi="Cambria Math" w:cs="Times New Roman"/>
                      <w:color w:val="auto"/>
                      <w:u w:val="none" w:color="auto"/>
                    </w:rPr>
                    <m:t>1</m:t>
                  </m:r>
                  <m:ctrlPr>
                    <w:rPr>
                      <w:rFonts w:hint="default" w:ascii="Cambria Math" w:hAnsi="Cambria Math" w:cs="Times New Roman"/>
                      <w:i/>
                      <w:color w:val="auto"/>
                      <w:u w:val="none" w:color="auto"/>
                    </w:rPr>
                  </m:ctrlPr>
                </m:sub>
              </m:sSub>
              <m:ctrlPr>
                <w:rPr>
                  <w:rFonts w:hint="default" w:ascii="Cambria Math" w:hAnsi="Cambria Math" w:cs="Times New Roman"/>
                  <w:i/>
                  <w:color w:val="auto"/>
                  <w:u w:val="none" w:color="auto"/>
                </w:rPr>
              </m:ctrlPr>
            </m:num>
            <m:den>
              <m:sSub>
                <m:sSubPr>
                  <m:ctrlPr>
                    <w:rPr>
                      <w:rFonts w:hint="default" w:ascii="Cambria Math" w:hAnsi="Cambria Math" w:cs="Times New Roman"/>
                      <w:i/>
                      <w:color w:val="auto"/>
                      <w:u w:val="none" w:color="auto"/>
                    </w:rPr>
                  </m:ctrlPr>
                </m:sSubPr>
                <m:e>
                  <m:r>
                    <m:rPr/>
                    <w:rPr>
                      <w:rFonts w:hint="default" w:ascii="Cambria Math" w:hAnsi="Cambria Math" w:cs="Times New Roman"/>
                      <w:color w:val="auto"/>
                      <w:u w:val="none" w:color="auto"/>
                    </w:rPr>
                    <m:t>Q</m:t>
                  </m:r>
                  <m:ctrlPr>
                    <w:rPr>
                      <w:rFonts w:hint="default" w:ascii="Cambria Math" w:hAnsi="Cambria Math" w:cs="Times New Roman"/>
                      <w:i/>
                      <w:color w:val="auto"/>
                      <w:u w:val="none" w:color="auto"/>
                    </w:rPr>
                  </m:ctrlPr>
                </m:e>
                <m:sub>
                  <m:r>
                    <m:rPr/>
                    <w:rPr>
                      <w:rFonts w:hint="default" w:ascii="Cambria Math" w:hAnsi="Cambria Math" w:cs="Times New Roman"/>
                      <w:color w:val="auto"/>
                      <w:u w:val="none" w:color="auto"/>
                    </w:rPr>
                    <m:t>1</m:t>
                  </m:r>
                  <m:ctrlPr>
                    <w:rPr>
                      <w:rFonts w:hint="default" w:ascii="Cambria Math" w:hAnsi="Cambria Math" w:cs="Times New Roman"/>
                      <w:i/>
                      <w:color w:val="auto"/>
                      <w:u w:val="none" w:color="auto"/>
                    </w:rPr>
                  </m:ctrlPr>
                </m:sub>
              </m:sSub>
              <m:ctrlPr>
                <w:rPr>
                  <w:rFonts w:hint="default" w:ascii="Cambria Math" w:hAnsi="Cambria Math" w:cs="Times New Roman"/>
                  <w:i/>
                  <w:color w:val="auto"/>
                  <w:u w:val="none" w:color="auto"/>
                </w:rPr>
              </m:ctrlPr>
            </m:den>
          </m:f>
          <m:r>
            <m:rPr/>
            <w:rPr>
              <w:rFonts w:hint="default" w:ascii="Cambria Math" w:hAnsi="Cambria Math" w:cs="Times New Roman"/>
              <w:color w:val="auto"/>
              <w:u w:val="none" w:color="auto"/>
            </w:rPr>
            <m:t>+</m:t>
          </m:r>
          <m:f>
            <m:fPr>
              <m:ctrlPr>
                <w:rPr>
                  <w:rFonts w:hint="default" w:ascii="Cambria Math" w:hAnsi="Cambria Math" w:cs="Times New Roman"/>
                  <w:i/>
                  <w:color w:val="auto"/>
                  <w:u w:val="none" w:color="auto"/>
                </w:rPr>
              </m:ctrlPr>
            </m:fPr>
            <m:num>
              <m:sSub>
                <m:sSubPr>
                  <m:ctrlPr>
                    <w:rPr>
                      <w:rFonts w:hint="default" w:ascii="Cambria Math" w:hAnsi="Cambria Math" w:cs="Times New Roman"/>
                      <w:i/>
                      <w:color w:val="auto"/>
                      <w:u w:val="none" w:color="auto"/>
                    </w:rPr>
                  </m:ctrlPr>
                </m:sSubPr>
                <m:e>
                  <m:r>
                    <m:rPr/>
                    <w:rPr>
                      <w:rFonts w:hint="default" w:ascii="Cambria Math" w:hAnsi="Cambria Math" w:cs="Times New Roman"/>
                      <w:color w:val="auto"/>
                      <w:u w:val="none" w:color="auto"/>
                    </w:rPr>
                    <m:t>q</m:t>
                  </m:r>
                  <m:ctrlPr>
                    <w:rPr>
                      <w:rFonts w:hint="default" w:ascii="Cambria Math" w:hAnsi="Cambria Math" w:cs="Times New Roman"/>
                      <w:i/>
                      <w:color w:val="auto"/>
                      <w:u w:val="none" w:color="auto"/>
                    </w:rPr>
                  </m:ctrlPr>
                </m:e>
                <m:sub>
                  <m:r>
                    <m:rPr/>
                    <w:rPr>
                      <w:rFonts w:hint="default" w:ascii="Cambria Math" w:hAnsi="Cambria Math" w:cs="Times New Roman"/>
                      <w:color w:val="auto"/>
                      <w:u w:val="none" w:color="auto"/>
                    </w:rPr>
                    <m:t>2</m:t>
                  </m:r>
                  <m:ctrlPr>
                    <w:rPr>
                      <w:rFonts w:hint="default" w:ascii="Cambria Math" w:hAnsi="Cambria Math" w:cs="Times New Roman"/>
                      <w:i/>
                      <w:color w:val="auto"/>
                      <w:u w:val="none" w:color="auto"/>
                    </w:rPr>
                  </m:ctrlPr>
                </m:sub>
              </m:sSub>
              <m:ctrlPr>
                <w:rPr>
                  <w:rFonts w:hint="default" w:ascii="Cambria Math" w:hAnsi="Cambria Math" w:cs="Times New Roman"/>
                  <w:i/>
                  <w:color w:val="auto"/>
                  <w:u w:val="none" w:color="auto"/>
                </w:rPr>
              </m:ctrlPr>
            </m:num>
            <m:den>
              <m:sSub>
                <m:sSubPr>
                  <m:ctrlPr>
                    <w:rPr>
                      <w:rFonts w:hint="default" w:ascii="Cambria Math" w:hAnsi="Cambria Math" w:cs="Times New Roman"/>
                      <w:i/>
                      <w:color w:val="auto"/>
                      <w:u w:val="none" w:color="auto"/>
                    </w:rPr>
                  </m:ctrlPr>
                </m:sSubPr>
                <m:e>
                  <m:r>
                    <m:rPr/>
                    <w:rPr>
                      <w:rFonts w:hint="default" w:ascii="Cambria Math" w:hAnsi="Cambria Math" w:cs="Times New Roman"/>
                      <w:color w:val="auto"/>
                      <w:u w:val="none" w:color="auto"/>
                    </w:rPr>
                    <m:t>Q</m:t>
                  </m:r>
                  <m:ctrlPr>
                    <w:rPr>
                      <w:rFonts w:hint="default" w:ascii="Cambria Math" w:hAnsi="Cambria Math" w:cs="Times New Roman"/>
                      <w:i/>
                      <w:color w:val="auto"/>
                      <w:u w:val="none" w:color="auto"/>
                    </w:rPr>
                  </m:ctrlPr>
                </m:e>
                <m:sub>
                  <m:r>
                    <m:rPr/>
                    <w:rPr>
                      <w:rFonts w:hint="default" w:ascii="Cambria Math" w:hAnsi="Cambria Math" w:cs="Times New Roman"/>
                      <w:color w:val="auto"/>
                      <w:u w:val="none" w:color="auto"/>
                    </w:rPr>
                    <m:t>2</m:t>
                  </m:r>
                  <m:ctrlPr>
                    <w:rPr>
                      <w:rFonts w:hint="default" w:ascii="Cambria Math" w:hAnsi="Cambria Math" w:cs="Times New Roman"/>
                      <w:i/>
                      <w:color w:val="auto"/>
                      <w:u w:val="none" w:color="auto"/>
                    </w:rPr>
                  </m:ctrlPr>
                </m:sub>
              </m:sSub>
              <m:ctrlPr>
                <w:rPr>
                  <w:rFonts w:hint="default" w:ascii="Cambria Math" w:hAnsi="Cambria Math" w:cs="Times New Roman"/>
                  <w:i/>
                  <w:color w:val="auto"/>
                  <w:u w:val="none" w:color="auto"/>
                </w:rPr>
              </m:ctrlPr>
            </m:den>
          </m:f>
          <m:r>
            <m:rPr/>
            <w:rPr>
              <w:rFonts w:hint="default" w:ascii="Cambria Math" w:hAnsi="Cambria Math" w:cs="Times New Roman"/>
              <w:color w:val="auto"/>
              <w:u w:val="none" w:color="auto"/>
            </w:rPr>
            <m:t>+…+</m:t>
          </m:r>
          <m:f>
            <m:fPr>
              <m:ctrlPr>
                <w:rPr>
                  <w:rFonts w:hint="default" w:ascii="Cambria Math" w:hAnsi="Cambria Math" w:cs="Times New Roman"/>
                  <w:i/>
                  <w:color w:val="auto"/>
                  <w:u w:val="none" w:color="auto"/>
                </w:rPr>
              </m:ctrlPr>
            </m:fPr>
            <m:num>
              <m:sSub>
                <m:sSubPr>
                  <m:ctrlPr>
                    <w:rPr>
                      <w:rFonts w:hint="default" w:ascii="Cambria Math" w:hAnsi="Cambria Math" w:cs="Times New Roman"/>
                      <w:i/>
                      <w:color w:val="auto"/>
                      <w:u w:val="none" w:color="auto"/>
                    </w:rPr>
                  </m:ctrlPr>
                </m:sSubPr>
                <m:e>
                  <m:r>
                    <m:rPr/>
                    <w:rPr>
                      <w:rFonts w:hint="default" w:ascii="Cambria Math" w:hAnsi="Cambria Math" w:cs="Times New Roman"/>
                      <w:color w:val="auto"/>
                      <w:u w:val="none" w:color="auto"/>
                    </w:rPr>
                    <m:t>q</m:t>
                  </m:r>
                  <m:ctrlPr>
                    <w:rPr>
                      <w:rFonts w:hint="default" w:ascii="Cambria Math" w:hAnsi="Cambria Math" w:cs="Times New Roman"/>
                      <w:i/>
                      <w:color w:val="auto"/>
                      <w:u w:val="none" w:color="auto"/>
                    </w:rPr>
                  </m:ctrlPr>
                </m:e>
                <m:sub>
                  <m:r>
                    <m:rPr/>
                    <w:rPr>
                      <w:rFonts w:hint="default" w:ascii="Cambria Math" w:hAnsi="Cambria Math" w:cs="Times New Roman"/>
                      <w:color w:val="auto"/>
                      <w:u w:val="none" w:color="auto"/>
                    </w:rPr>
                    <m:t>n</m:t>
                  </m:r>
                  <m:ctrlPr>
                    <w:rPr>
                      <w:rFonts w:hint="default" w:ascii="Cambria Math" w:hAnsi="Cambria Math" w:cs="Times New Roman"/>
                      <w:i/>
                      <w:color w:val="auto"/>
                      <w:u w:val="none" w:color="auto"/>
                    </w:rPr>
                  </m:ctrlPr>
                </m:sub>
              </m:sSub>
              <m:ctrlPr>
                <w:rPr>
                  <w:rFonts w:hint="default" w:ascii="Cambria Math" w:hAnsi="Cambria Math" w:cs="Times New Roman"/>
                  <w:i/>
                  <w:color w:val="auto"/>
                  <w:u w:val="none" w:color="auto"/>
                </w:rPr>
              </m:ctrlPr>
            </m:num>
            <m:den>
              <m:sSub>
                <m:sSubPr>
                  <m:ctrlPr>
                    <w:rPr>
                      <w:rFonts w:hint="default" w:ascii="Cambria Math" w:hAnsi="Cambria Math" w:cs="Times New Roman"/>
                      <w:i/>
                      <w:color w:val="auto"/>
                      <w:u w:val="none" w:color="auto"/>
                    </w:rPr>
                  </m:ctrlPr>
                </m:sSubPr>
                <m:e>
                  <m:r>
                    <m:rPr/>
                    <w:rPr>
                      <w:rFonts w:hint="default" w:ascii="Cambria Math" w:hAnsi="Cambria Math" w:cs="Times New Roman"/>
                      <w:color w:val="auto"/>
                      <w:u w:val="none" w:color="auto"/>
                    </w:rPr>
                    <m:t>Q</m:t>
                  </m:r>
                  <m:ctrlPr>
                    <w:rPr>
                      <w:rFonts w:hint="default" w:ascii="Cambria Math" w:hAnsi="Cambria Math" w:cs="Times New Roman"/>
                      <w:i/>
                      <w:color w:val="auto"/>
                      <w:u w:val="none" w:color="auto"/>
                    </w:rPr>
                  </m:ctrlPr>
                </m:e>
                <m:sub>
                  <m:r>
                    <m:rPr/>
                    <w:rPr>
                      <w:rFonts w:hint="default" w:ascii="Cambria Math" w:hAnsi="Cambria Math" w:cs="Times New Roman"/>
                      <w:color w:val="auto"/>
                      <w:u w:val="none" w:color="auto"/>
                    </w:rPr>
                    <m:t>n</m:t>
                  </m:r>
                  <m:ctrlPr>
                    <w:rPr>
                      <w:rFonts w:hint="default" w:ascii="Cambria Math" w:hAnsi="Cambria Math" w:cs="Times New Roman"/>
                      <w:i/>
                      <w:color w:val="auto"/>
                      <w:u w:val="none" w:color="auto"/>
                    </w:rPr>
                  </m:ctrlPr>
                </m:sub>
              </m:sSub>
              <m:ctrlPr>
                <w:rPr>
                  <w:rFonts w:hint="default" w:ascii="Cambria Math" w:hAnsi="Cambria Math" w:cs="Times New Roman"/>
                  <w:i/>
                  <w:color w:val="auto"/>
                  <w:u w:val="none" w:color="auto"/>
                </w:rPr>
              </m:ctrlPr>
            </m:den>
          </m:f>
          <m:r>
            <m:rPr/>
            <w:rPr>
              <w:rFonts w:hint="default" w:ascii="Cambria Math" w:hAnsi="Cambria Math" w:cs="Times New Roman"/>
              <w:color w:val="auto"/>
              <w:u w:val="none" w:color="auto"/>
            </w:rPr>
            <m:t>=Q</m:t>
          </m:r>
        </m:oMath>
      </m:oMathPara>
    </w:p>
    <w:p>
      <w:pPr>
        <w:pStyle w:val="12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式中：q</w:t>
      </w:r>
      <w:r>
        <w:rPr>
          <w:rFonts w:hint="default" w:ascii="Times New Roman" w:hAnsi="Times New Roman" w:eastAsia="宋体" w:cs="Times New Roman"/>
          <w:color w:val="auto"/>
          <w:sz w:val="24"/>
          <w:szCs w:val="24"/>
          <w:u w:val="none" w:color="auto"/>
          <w:vertAlign w:val="subscript"/>
        </w:rPr>
        <w:t>1</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n——</w:t>
      </w:r>
      <w:r>
        <w:rPr>
          <w:rFonts w:hint="default" w:ascii="Times New Roman" w:hAnsi="Times New Roman" w:eastAsia="宋体" w:cs="Times New Roman"/>
          <w:color w:val="auto"/>
          <w:sz w:val="24"/>
          <w:szCs w:val="24"/>
          <w:u w:val="none" w:color="auto"/>
        </w:rPr>
        <w:t>每一种危险物质的最大存在总量，t；</w:t>
      </w:r>
    </w:p>
    <w:p>
      <w:pPr>
        <w:pStyle w:val="120"/>
        <w:ind w:firstLine="1200" w:firstLineChars="50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1</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…Q</w:t>
      </w:r>
      <w:r>
        <w:rPr>
          <w:rFonts w:hint="default" w:ascii="Times New Roman" w:hAnsi="Times New Roman" w:eastAsia="宋体" w:cs="Times New Roman"/>
          <w:color w:val="auto"/>
          <w:sz w:val="24"/>
          <w:szCs w:val="24"/>
          <w:u w:val="none" w:color="auto"/>
          <w:vertAlign w:val="subscript"/>
        </w:rPr>
        <w:t>n——</w:t>
      </w:r>
      <w:r>
        <w:rPr>
          <w:rFonts w:hint="default" w:ascii="Times New Roman" w:hAnsi="Times New Roman" w:eastAsia="宋体" w:cs="Times New Roman"/>
          <w:color w:val="auto"/>
          <w:sz w:val="24"/>
          <w:szCs w:val="24"/>
          <w:u w:val="none" w:color="auto"/>
        </w:rPr>
        <w:t>每种危险物质的临界量，t。</w:t>
      </w:r>
    </w:p>
    <w:p>
      <w:pPr>
        <w:pStyle w:val="12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当Q＜1时，该项目环境风险潜势为I。</w:t>
      </w:r>
    </w:p>
    <w:p>
      <w:pPr>
        <w:pStyle w:val="120"/>
        <w:wordWrap/>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当Q≥1时，将Q值划分为：（1）1≤Q＜10；（2）10≤Q＜100；（3）Q≥100。</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lang w:eastAsia="zh-CN"/>
        </w:rPr>
        <w:t>表</w:t>
      </w:r>
      <w:r>
        <w:rPr>
          <w:rFonts w:hint="default" w:ascii="Times New Roman" w:hAnsi="Times New Roman" w:cs="Times New Roman"/>
          <w:color w:val="auto"/>
          <w:sz w:val="24"/>
          <w:szCs w:val="24"/>
          <w:u w:val="single" w:color="auto"/>
          <w:lang w:val="en-US" w:eastAsia="zh-CN"/>
        </w:rPr>
        <w:t>2.3-8</w:t>
      </w:r>
      <w:r>
        <w:rPr>
          <w:rFonts w:hint="default" w:ascii="Times New Roman" w:hAnsi="Times New Roman" w:eastAsia="宋体" w:cs="Times New Roman"/>
          <w:color w:val="auto"/>
          <w:sz w:val="24"/>
          <w:szCs w:val="24"/>
          <w:u w:val="single" w:color="auto"/>
        </w:rPr>
        <w:t>Q值计算结果一览表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762"/>
        <w:gridCol w:w="1566"/>
        <w:gridCol w:w="1599"/>
        <w:gridCol w:w="885"/>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危险物质</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主要危险特性</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储存地/</w:t>
            </w:r>
          </w:p>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储存方式</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最大储存量/t</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临界量</w:t>
            </w:r>
          </w:p>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/t</w:t>
            </w:r>
          </w:p>
        </w:tc>
        <w:tc>
          <w:tcPr>
            <w:tcW w:w="109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single" w:color="auto"/>
                <w:lang w:val="en-US" w:eastAsia="zh-CN" w:bidi="ar-SA"/>
              </w:rPr>
            </w:pPr>
            <w:r>
              <w:rPr>
                <w:rFonts w:hint="default" w:ascii="Times New Roman" w:hAnsi="Times New Roman" w:eastAsia="宋体" w:cs="Times New Roman"/>
                <w:b/>
                <w:bCs/>
                <w:color w:val="auto"/>
                <w:kern w:val="0"/>
                <w:sz w:val="21"/>
                <w:szCs w:val="21"/>
                <w:u w:val="single" w:color="auto"/>
                <w:lang w:val="en-US" w:eastAsia="zh-CN" w:bidi="ar-SA"/>
              </w:rPr>
              <w:t>存储量/临界量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9</w:t>
            </w:r>
            <w:r>
              <w:rPr>
                <w:rFonts w:hint="eastAsia" w:cs="Times New Roman"/>
                <w:color w:val="auto"/>
                <w:kern w:val="0"/>
                <w:sz w:val="21"/>
                <w:szCs w:val="21"/>
                <w:u w:val="single" w:color="auto"/>
                <w:lang w:val="en-US" w:eastAsia="zh-CN" w:bidi="ar-SA"/>
              </w:rPr>
              <w:t>6</w:t>
            </w:r>
            <w:r>
              <w:rPr>
                <w:rFonts w:hint="default" w:ascii="Times New Roman" w:hAnsi="Times New Roman" w:eastAsia="宋体" w:cs="Times New Roman"/>
                <w:color w:val="auto"/>
                <w:kern w:val="0"/>
                <w:sz w:val="21"/>
                <w:szCs w:val="21"/>
                <w:u w:val="single" w:color="auto"/>
                <w:lang w:val="en-US" w:eastAsia="zh-CN" w:bidi="ar-SA"/>
              </w:rPr>
              <w:t>%硫酸</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有毒液态物质</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储罐</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30</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10</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96%</w:t>
            </w:r>
            <w:r>
              <w:rPr>
                <w:rFonts w:hint="default" w:ascii="Times New Roman" w:hAnsi="Times New Roman" w:eastAsia="宋体" w:cs="Times New Roman"/>
                <w:color w:val="auto"/>
                <w:kern w:val="0"/>
                <w:sz w:val="21"/>
                <w:szCs w:val="21"/>
                <w:u w:val="single" w:color="auto"/>
                <w:lang w:val="en-US" w:eastAsia="zh-CN" w:bidi="ar-SA"/>
              </w:rPr>
              <w:t>硫酸</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有毒液态物质</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高位罐</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8.8</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10</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氨气（液氨）</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有毒气体</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储罐</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0.8</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5</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酸洗槽</w:t>
            </w:r>
            <w:r>
              <w:rPr>
                <w:rFonts w:hint="default" w:ascii="Times New Roman" w:hAnsi="Times New Roman" w:eastAsia="宋体" w:cs="Times New Roman"/>
                <w:color w:val="auto"/>
                <w:kern w:val="0"/>
                <w:sz w:val="21"/>
                <w:szCs w:val="21"/>
                <w:u w:val="single" w:color="auto"/>
                <w:lang w:val="en-US" w:eastAsia="zh-CN" w:bidi="ar-SA"/>
              </w:rPr>
              <w:t>槽液</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有毒液态物质</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槽体</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4.375</w:t>
            </w:r>
            <w:r>
              <w:rPr>
                <w:rFonts w:hint="default" w:ascii="Times New Roman" w:hAnsi="Times New Roman" w:eastAsia="宋体" w:cs="Times New Roman"/>
                <w:color w:val="auto"/>
                <w:kern w:val="0"/>
                <w:sz w:val="21"/>
                <w:szCs w:val="21"/>
                <w:u w:val="single" w:color="auto"/>
                <w:lang w:val="en-US" w:eastAsia="zh-CN" w:bidi="ar-SA"/>
              </w:rPr>
              <w:t>（在线量）</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10</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r>
              <w:rPr>
                <w:rFonts w:hint="eastAsia" w:cs="Times New Roman"/>
                <w:i w:val="0"/>
                <w:iCs w:val="0"/>
                <w:color w:val="auto"/>
                <w:kern w:val="0"/>
                <w:sz w:val="21"/>
                <w:szCs w:val="21"/>
                <w:u w:val="single" w:color="auto"/>
                <w:lang w:val="en-US" w:eastAsia="zh-CN" w:bidi="a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污泥</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危害水环境物质</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污泥暂存间</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5</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100</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废机油</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易燃物质</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危废暂存间</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0.1</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2500</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cs="Times New Roman"/>
                <w:i w:val="0"/>
                <w:iCs w:val="0"/>
                <w:color w:val="auto"/>
                <w:kern w:val="0"/>
                <w:sz w:val="21"/>
                <w:szCs w:val="21"/>
                <w:u w:val="single" w:color="auto"/>
                <w:lang w:val="en-US" w:eastAsia="zh-CN" w:bidi="ar"/>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1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金属锰</w:t>
            </w:r>
          </w:p>
        </w:tc>
        <w:tc>
          <w:tcPr>
            <w:tcW w:w="176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重金属</w:t>
            </w:r>
          </w:p>
        </w:tc>
        <w:tc>
          <w:tcPr>
            <w:tcW w:w="1566"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车间内暂存区</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1</w:t>
            </w:r>
          </w:p>
        </w:tc>
        <w:tc>
          <w:tcPr>
            <w:tcW w:w="885"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bidi="ar-SA"/>
              </w:rPr>
              <w:t>0.25</w:t>
            </w:r>
          </w:p>
        </w:tc>
        <w:tc>
          <w:tcPr>
            <w:tcW w:w="109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single" w:color="auto"/>
                <w:lang w:val="en-US" w:eastAsia="zh-CN" w:bidi="ar"/>
              </w:rPr>
            </w:pPr>
            <w:r>
              <w:rPr>
                <w:rFonts w:hint="eastAsia" w:ascii="Times New Roman" w:hAnsi="Times New Roman" w:cs="Times New Roman"/>
                <w:i w:val="0"/>
                <w:iCs w:val="0"/>
                <w:color w:val="auto"/>
                <w:kern w:val="0"/>
                <w:sz w:val="21"/>
                <w:szCs w:val="21"/>
                <w:u w:val="single" w:color="auto"/>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14" w:type="dxa"/>
            <w:noWrap w:val="0"/>
            <w:vAlign w:val="center"/>
          </w:tcPr>
          <w:p>
            <w:pPr>
              <w:widowControl w:val="0"/>
              <w:wordWrap w:val="0"/>
              <w:snapToGrid w:val="0"/>
              <w:spacing w:line="240" w:lineRule="auto"/>
              <w:ind w:firstLine="0" w:firstLineChars="0"/>
              <w:jc w:val="center"/>
              <w:rPr>
                <w:rFonts w:hint="eastAsia"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润滑油</w:t>
            </w:r>
          </w:p>
        </w:tc>
        <w:tc>
          <w:tcPr>
            <w:tcW w:w="1762" w:type="dxa"/>
            <w:noWrap w:val="0"/>
            <w:vAlign w:val="center"/>
          </w:tcPr>
          <w:p>
            <w:pPr>
              <w:widowControl w:val="0"/>
              <w:wordWrap w:val="0"/>
              <w:snapToGrid w:val="0"/>
              <w:spacing w:line="240" w:lineRule="auto"/>
              <w:ind w:firstLine="0" w:firstLineChars="0"/>
              <w:jc w:val="center"/>
              <w:rPr>
                <w:rFonts w:hint="eastAsia"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易燃物质</w:t>
            </w:r>
          </w:p>
        </w:tc>
        <w:tc>
          <w:tcPr>
            <w:tcW w:w="1566" w:type="dxa"/>
            <w:noWrap w:val="0"/>
            <w:vAlign w:val="center"/>
          </w:tcPr>
          <w:p>
            <w:pPr>
              <w:widowControl w:val="0"/>
              <w:wordWrap w:val="0"/>
              <w:snapToGrid w:val="0"/>
              <w:spacing w:line="240" w:lineRule="auto"/>
              <w:ind w:firstLine="0" w:firstLineChars="0"/>
              <w:jc w:val="center"/>
              <w:rPr>
                <w:rFonts w:hint="eastAsia" w:ascii="Times New Roman" w:hAnsi="Times New Roman" w:eastAsia="宋体" w:cs="Times New Roman"/>
                <w:color w:val="auto"/>
                <w:kern w:val="0"/>
                <w:sz w:val="21"/>
                <w:szCs w:val="21"/>
                <w:u w:val="single" w:color="auto"/>
                <w:lang w:val="en-US" w:eastAsia="zh-CN" w:bidi="ar-SA"/>
              </w:rPr>
            </w:pPr>
            <w:r>
              <w:rPr>
                <w:rFonts w:hint="eastAsia" w:cs="Times New Roman"/>
                <w:color w:val="auto"/>
                <w:szCs w:val="21"/>
                <w:u w:val="none"/>
                <w:lang w:val="en-US" w:eastAsia="zh-CN"/>
              </w:rPr>
              <w:t>原料堆场</w:t>
            </w:r>
          </w:p>
        </w:tc>
        <w:tc>
          <w:tcPr>
            <w:tcW w:w="1599"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1</w:t>
            </w:r>
          </w:p>
        </w:tc>
        <w:tc>
          <w:tcPr>
            <w:tcW w:w="885" w:type="dxa"/>
            <w:noWrap w:val="0"/>
            <w:vAlign w:val="center"/>
          </w:tcPr>
          <w:p>
            <w:pPr>
              <w:widowControl w:val="0"/>
              <w:wordWrap w:val="0"/>
              <w:snapToGrid w:val="0"/>
              <w:spacing w:line="240" w:lineRule="auto"/>
              <w:ind w:firstLine="0" w:firstLineChars="0"/>
              <w:jc w:val="center"/>
              <w:rPr>
                <w:rFonts w:hint="eastAsia"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2500</w:t>
            </w:r>
          </w:p>
        </w:tc>
        <w:tc>
          <w:tcPr>
            <w:tcW w:w="109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426" w:type="dxa"/>
            <w:gridSpan w:val="5"/>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合计</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eastAsia" w:cs="Times New Roman"/>
                <w:i w:val="0"/>
                <w:iCs w:val="0"/>
                <w:color w:val="auto"/>
                <w:kern w:val="0"/>
                <w:sz w:val="21"/>
                <w:szCs w:val="21"/>
                <w:u w:val="single" w:color="auto"/>
                <w:lang w:val="en-US" w:eastAsia="zh-CN" w:bidi="ar"/>
              </w:rPr>
              <w:t>8.5284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522" w:type="dxa"/>
            <w:gridSpan w:val="6"/>
            <w:noWrap w:val="0"/>
            <w:vAlign w:val="center"/>
          </w:tcPr>
          <w:p>
            <w:pPr>
              <w:keepNext w:val="0"/>
              <w:keepLines w:val="0"/>
              <w:widowControl/>
              <w:suppressLineNumbers w:val="0"/>
              <w:jc w:val="left"/>
              <w:textAlignment w:val="center"/>
              <w:rPr>
                <w:rFonts w:hint="default" w:cs="Times New Roman"/>
                <w:i w:val="0"/>
                <w:iCs w:val="0"/>
                <w:color w:val="auto"/>
                <w:kern w:val="0"/>
                <w:sz w:val="21"/>
                <w:szCs w:val="21"/>
                <w:u w:val="single" w:color="auto"/>
                <w:lang w:val="en-US" w:eastAsia="zh-CN" w:bidi="ar"/>
              </w:rPr>
            </w:pPr>
            <w:r>
              <w:rPr>
                <w:rFonts w:hint="eastAsia" w:cs="Times New Roman"/>
                <w:i w:val="0"/>
                <w:iCs w:val="0"/>
                <w:color w:val="auto"/>
                <w:kern w:val="0"/>
                <w:sz w:val="21"/>
                <w:szCs w:val="21"/>
                <w:u w:val="single" w:color="auto"/>
                <w:lang w:val="en-US" w:eastAsia="zh-CN" w:bidi="ar"/>
              </w:rPr>
              <w:t>注：30%槽液折算成96%硫酸=14t*30%/96%=4.375t</w:t>
            </w:r>
          </w:p>
        </w:tc>
      </w:tr>
    </w:tbl>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single" w:color="auto"/>
          <w:lang w:val="zh-CN"/>
        </w:rPr>
        <w:t>经计算，项目的环境风险物质数量与其临界量比值Q=</w:t>
      </w:r>
      <w:r>
        <w:rPr>
          <w:rFonts w:hint="default" w:ascii="Times New Roman" w:hAnsi="Times New Roman" w:eastAsia="宋体" w:cs="Times New Roman"/>
          <w:bCs/>
          <w:color w:val="auto"/>
          <w:kern w:val="0"/>
          <w:sz w:val="24"/>
          <w:szCs w:val="32"/>
          <w:highlight w:val="none"/>
          <w:u w:val="single" w:color="auto"/>
          <w:lang w:val="zh-CN" w:eastAsia="zh-CN"/>
        </w:rPr>
        <w:t>8.5284</w:t>
      </w:r>
      <w:r>
        <w:rPr>
          <w:rFonts w:hint="default" w:ascii="Times New Roman" w:hAnsi="Times New Roman" w:eastAsia="宋体" w:cs="Times New Roman"/>
          <w:bCs/>
          <w:color w:val="auto"/>
          <w:kern w:val="0"/>
          <w:sz w:val="24"/>
          <w:szCs w:val="32"/>
          <w:highlight w:val="none"/>
          <w:u w:val="single" w:color="auto"/>
          <w:lang w:val="zh-CN"/>
        </w:rPr>
        <w:t>，为</w:t>
      </w:r>
      <w:r>
        <w:rPr>
          <w:rFonts w:hint="default" w:ascii="Times New Roman" w:hAnsi="Times New Roman" w:eastAsia="宋体" w:cs="Times New Roman"/>
          <w:color w:val="auto"/>
          <w:sz w:val="24"/>
          <w:szCs w:val="24"/>
          <w:u w:val="single" w:color="auto"/>
        </w:rPr>
        <w:t>1≤Q＜10</w:t>
      </w:r>
      <w:r>
        <w:rPr>
          <w:rFonts w:hint="default" w:ascii="Times New Roman" w:hAnsi="Times New Roman" w:eastAsia="宋体" w:cs="Times New Roman"/>
          <w:bCs/>
          <w:color w:val="auto"/>
          <w:kern w:val="0"/>
          <w:sz w:val="24"/>
          <w:szCs w:val="32"/>
          <w:highlight w:val="none"/>
          <w:u w:val="single" w:color="auto"/>
          <w:lang w:val="zh-CN"/>
        </w:rPr>
        <w:t>。</w:t>
      </w:r>
    </w:p>
    <w:p>
      <w:pPr>
        <w:autoSpaceDE w:val="0"/>
        <w:autoSpaceDN w:val="0"/>
        <w:adjustRightInd/>
        <w:snapToGrid/>
        <w:spacing w:line="360" w:lineRule="auto"/>
        <w:ind w:firstLine="0" w:firstLineChars="0"/>
        <w:jc w:val="left"/>
        <w:rPr>
          <w:rFonts w:hint="default" w:ascii="Times New Roman" w:hAnsi="Times New Roman" w:eastAsia="宋体" w:cs="Times New Roman"/>
          <w:b/>
          <w:bCs/>
          <w:color w:val="auto"/>
          <w:kern w:val="0"/>
          <w:sz w:val="24"/>
          <w:szCs w:val="24"/>
          <w:highlight w:val="none"/>
          <w:u w:val="none" w:color="auto"/>
          <w:lang w:val="zh-CN" w:bidi="zh-CN"/>
        </w:rPr>
      </w:pPr>
      <w:r>
        <w:rPr>
          <w:rFonts w:hint="default" w:ascii="Times New Roman" w:hAnsi="Times New Roman" w:eastAsia="宋体" w:cs="Times New Roman"/>
          <w:b/>
          <w:bCs/>
          <w:color w:val="auto"/>
          <w:kern w:val="0"/>
          <w:sz w:val="24"/>
          <w:szCs w:val="24"/>
          <w:highlight w:val="none"/>
          <w:u w:val="none" w:color="auto"/>
          <w:lang w:val="zh-CN" w:bidi="zh-CN"/>
        </w:rPr>
        <w:t>（2）M值的确定</w:t>
      </w:r>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根据《建设项目环境风险评价技术导则》（HJ169</w:t>
      </w:r>
      <w:r>
        <w:rPr>
          <w:rFonts w:hint="default" w:ascii="Times New Roman" w:hAnsi="Times New Roman" w:cs="Times New Roman"/>
          <w:bCs/>
          <w:color w:val="auto"/>
          <w:kern w:val="0"/>
          <w:sz w:val="24"/>
          <w:szCs w:val="32"/>
          <w:highlight w:val="none"/>
          <w:u w:val="none" w:color="auto"/>
          <w:lang w:val="en-US" w:eastAsia="zh-CN"/>
        </w:rPr>
        <w:t>-</w:t>
      </w:r>
      <w:r>
        <w:rPr>
          <w:rFonts w:hint="default" w:ascii="Times New Roman" w:hAnsi="Times New Roman" w:eastAsia="宋体" w:cs="Times New Roman"/>
          <w:bCs/>
          <w:color w:val="auto"/>
          <w:kern w:val="0"/>
          <w:sz w:val="24"/>
          <w:szCs w:val="32"/>
          <w:highlight w:val="none"/>
          <w:u w:val="none" w:color="auto"/>
          <w:lang w:val="zh-CN"/>
        </w:rPr>
        <w:t>2018）附录C，根据划分依据，本项目工艺具体见下表。</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表</w:t>
      </w:r>
      <w:r>
        <w:rPr>
          <w:rFonts w:hint="default" w:ascii="Times New Roman" w:hAnsi="Times New Roman" w:cs="Times New Roman"/>
          <w:color w:val="auto"/>
          <w:sz w:val="24"/>
          <w:szCs w:val="24"/>
          <w:u w:val="none" w:color="auto"/>
          <w:lang w:val="en-US" w:eastAsia="zh-CN"/>
        </w:rPr>
        <w:t>2.3</w:t>
      </w:r>
      <w:r>
        <w:rPr>
          <w:rFonts w:hint="default" w:ascii="Times New Roman" w:hAnsi="Times New Roman" w:eastAsia="宋体" w:cs="Times New Roman"/>
          <w:color w:val="auto"/>
          <w:sz w:val="24"/>
          <w:szCs w:val="24"/>
          <w:u w:val="none" w:color="auto"/>
          <w:lang w:val="zh-CN"/>
        </w:rPr>
        <w:t>-</w:t>
      </w:r>
      <w:r>
        <w:rPr>
          <w:rFonts w:hint="default" w:ascii="Times New Roman" w:hAnsi="Times New Roman" w:eastAsia="宋体" w:cs="Times New Roman"/>
          <w:color w:val="auto"/>
          <w:sz w:val="24"/>
          <w:szCs w:val="24"/>
          <w:u w:val="none" w:color="auto"/>
        </w:rPr>
        <w:t>9</w:t>
      </w:r>
      <w:r>
        <w:rPr>
          <w:rFonts w:hint="default" w:ascii="Times New Roman" w:hAnsi="Times New Roman" w:eastAsia="宋体" w:cs="Times New Roman"/>
          <w:color w:val="auto"/>
          <w:sz w:val="24"/>
          <w:szCs w:val="24"/>
          <w:u w:val="none" w:color="auto"/>
          <w:lang w:val="zh-CN"/>
        </w:rPr>
        <w:t>项目M值确定表</w:t>
      </w:r>
    </w:p>
    <w:tbl>
      <w:tblPr>
        <w:tblStyle w:val="29"/>
        <w:tblW w:w="879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4"/>
        <w:gridCol w:w="3971"/>
        <w:gridCol w:w="1116"/>
        <w:gridCol w:w="1466"/>
        <w:gridCol w:w="12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jc w:val="center"/>
        </w:trPr>
        <w:tc>
          <w:tcPr>
            <w:tcW w:w="103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行业</w:t>
            </w:r>
          </w:p>
        </w:tc>
        <w:tc>
          <w:tcPr>
            <w:tcW w:w="5087" w:type="dxa"/>
            <w:gridSpan w:val="2"/>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评估依据</w:t>
            </w:r>
          </w:p>
        </w:tc>
        <w:tc>
          <w:tcPr>
            <w:tcW w:w="146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项目水平</w:t>
            </w:r>
          </w:p>
        </w:tc>
        <w:tc>
          <w:tcPr>
            <w:tcW w:w="120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项目得分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7" w:hRule="atLeast"/>
          <w:jc w:val="center"/>
        </w:trPr>
        <w:tc>
          <w:tcPr>
            <w:tcW w:w="1034" w:type="dxa"/>
            <w:vMerge w:val="restart"/>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石化、化工、医药、轻工、化纤、有色冶炼等</w:t>
            </w:r>
          </w:p>
        </w:tc>
        <w:tc>
          <w:tcPr>
            <w:tcW w:w="397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1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10/套</w:t>
            </w:r>
          </w:p>
        </w:tc>
        <w:tc>
          <w:tcPr>
            <w:tcW w:w="146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不涉及</w:t>
            </w:r>
          </w:p>
        </w:tc>
        <w:tc>
          <w:tcPr>
            <w:tcW w:w="120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jc w:val="center"/>
        </w:trPr>
        <w:tc>
          <w:tcPr>
            <w:tcW w:w="1034" w:type="dxa"/>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397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无机酸制酸、焦化工艺</w:t>
            </w:r>
          </w:p>
        </w:tc>
        <w:tc>
          <w:tcPr>
            <w:tcW w:w="111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5/套</w:t>
            </w:r>
          </w:p>
        </w:tc>
        <w:tc>
          <w:tcPr>
            <w:tcW w:w="146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不涉及</w:t>
            </w:r>
          </w:p>
        </w:tc>
        <w:tc>
          <w:tcPr>
            <w:tcW w:w="120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034" w:type="dxa"/>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397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其他高温或高压、涉及易燃易爆等物质的工</w:t>
            </w:r>
          </w:p>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艺过程、危险物质贮存罐区</w:t>
            </w:r>
          </w:p>
        </w:tc>
        <w:tc>
          <w:tcPr>
            <w:tcW w:w="111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5/套</w:t>
            </w:r>
          </w:p>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（罐区）</w:t>
            </w:r>
          </w:p>
        </w:tc>
        <w:tc>
          <w:tcPr>
            <w:tcW w:w="146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硫酸罐、液氨罐</w:t>
            </w:r>
          </w:p>
        </w:tc>
        <w:tc>
          <w:tcPr>
            <w:tcW w:w="120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jc w:val="center"/>
        </w:trPr>
        <w:tc>
          <w:tcPr>
            <w:tcW w:w="7587" w:type="dxa"/>
            <w:gridSpan w:val="4"/>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合计</w:t>
            </w:r>
          </w:p>
        </w:tc>
        <w:tc>
          <w:tcPr>
            <w:tcW w:w="1206"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793" w:type="dxa"/>
            <w:gridSpan w:val="5"/>
            <w:tcBorders>
              <w:tl2br w:val="nil"/>
              <w:tr2bl w:val="nil"/>
            </w:tcBorders>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备注：高温指工艺温度≥300℃，高压指压力容器的设计压力（P）≥10.0Pa</w:t>
            </w:r>
          </w:p>
        </w:tc>
      </w:tr>
    </w:tbl>
    <w:p>
      <w:pPr>
        <w:autoSpaceDE w:val="0"/>
        <w:autoSpaceDN w:val="0"/>
        <w:adjustRightInd w:val="0"/>
        <w:snapToGrid w:val="0"/>
        <w:spacing w:before="61" w:line="360" w:lineRule="auto"/>
        <w:rPr>
          <w:rFonts w:hint="default" w:ascii="Times New Roman" w:hAnsi="Times New Roman" w:eastAsia="宋体" w:cs="Times New Roman"/>
          <w:color w:val="auto"/>
          <w:sz w:val="24"/>
          <w:szCs w:val="24"/>
          <w:highlight w:val="none"/>
          <w:u w:val="none" w:color="auto"/>
          <w:lang w:val="zh-CN" w:bidi="zh-CN"/>
        </w:rPr>
      </w:pPr>
      <w:r>
        <w:rPr>
          <w:rFonts w:hint="default" w:ascii="Times New Roman" w:hAnsi="Times New Roman" w:eastAsia="宋体" w:cs="Times New Roman"/>
          <w:color w:val="auto"/>
          <w:sz w:val="24"/>
          <w:szCs w:val="24"/>
          <w:highlight w:val="none"/>
          <w:u w:val="none" w:color="auto"/>
          <w:lang w:val="zh-CN" w:bidi="zh-CN"/>
        </w:rPr>
        <w:t>项目</w:t>
      </w:r>
      <w:r>
        <w:rPr>
          <w:rFonts w:hint="default" w:ascii="Times New Roman" w:hAnsi="Times New Roman" w:cs="Times New Roman"/>
          <w:color w:val="auto"/>
          <w:sz w:val="24"/>
          <w:szCs w:val="24"/>
          <w:highlight w:val="none"/>
          <w:u w:val="none" w:color="auto"/>
          <w:lang w:val="zh-CN" w:bidi="zh-CN"/>
        </w:rPr>
        <w:t>为</w:t>
      </w:r>
      <w:r>
        <w:rPr>
          <w:rFonts w:hint="default" w:ascii="Times New Roman" w:hAnsi="Times New Roman" w:cs="Times New Roman"/>
          <w:color w:val="auto"/>
          <w:sz w:val="24"/>
          <w:szCs w:val="24"/>
          <w:highlight w:val="none"/>
          <w:u w:val="none" w:color="auto"/>
          <w:lang w:val="en-US" w:bidi="zh-CN"/>
        </w:rPr>
        <w:t>5＜</w:t>
      </w:r>
      <w:r>
        <w:rPr>
          <w:rFonts w:hint="default" w:ascii="Times New Roman" w:hAnsi="Times New Roman" w:eastAsia="Times New Roman" w:cs="Times New Roman"/>
          <w:color w:val="auto"/>
          <w:sz w:val="24"/>
          <w:szCs w:val="24"/>
          <w:highlight w:val="none"/>
          <w:u w:val="none" w:color="auto"/>
          <w:lang w:val="zh-CN" w:bidi="zh-CN"/>
        </w:rPr>
        <w:t>M</w:t>
      </w:r>
      <w:r>
        <w:rPr>
          <w:rFonts w:hint="default" w:ascii="Times New Roman" w:hAnsi="Times New Roman" w:cs="Times New Roman"/>
          <w:color w:val="auto"/>
          <w:sz w:val="24"/>
          <w:szCs w:val="24"/>
          <w:highlight w:val="none"/>
          <w:u w:val="none" w:color="auto"/>
          <w:lang w:val="zh-CN" w:bidi="zh-CN"/>
        </w:rPr>
        <w:t>≤</w:t>
      </w:r>
      <w:r>
        <w:rPr>
          <w:rFonts w:hint="default" w:ascii="Times New Roman" w:hAnsi="Times New Roman" w:eastAsia="Times New Roman" w:cs="Times New Roman"/>
          <w:color w:val="auto"/>
          <w:sz w:val="24"/>
          <w:szCs w:val="24"/>
          <w:highlight w:val="none"/>
          <w:u w:val="none" w:color="auto"/>
          <w:lang w:val="en-US" w:bidi="zh-CN"/>
        </w:rPr>
        <w:t>10</w:t>
      </w:r>
      <w:r>
        <w:rPr>
          <w:rFonts w:hint="default" w:ascii="Times New Roman" w:hAnsi="Times New Roman" w:eastAsia="宋体" w:cs="Times New Roman"/>
          <w:color w:val="auto"/>
          <w:sz w:val="24"/>
          <w:szCs w:val="24"/>
          <w:highlight w:val="none"/>
          <w:u w:val="none" w:color="auto"/>
          <w:lang w:val="zh-CN" w:bidi="zh-CN"/>
        </w:rPr>
        <w:t>，为</w:t>
      </w:r>
      <w:r>
        <w:rPr>
          <w:rFonts w:hint="default" w:ascii="Times New Roman" w:hAnsi="Times New Roman" w:eastAsia="Times New Roman" w:cs="Times New Roman"/>
          <w:color w:val="auto"/>
          <w:sz w:val="24"/>
          <w:szCs w:val="24"/>
          <w:highlight w:val="none"/>
          <w:u w:val="none" w:color="auto"/>
          <w:lang w:val="zh-CN" w:bidi="zh-CN"/>
        </w:rPr>
        <w:t>M</w:t>
      </w:r>
      <w:r>
        <w:rPr>
          <w:rFonts w:hint="default" w:ascii="Times New Roman" w:hAnsi="Times New Roman" w:eastAsia="Times New Roman" w:cs="Times New Roman"/>
          <w:color w:val="auto"/>
          <w:sz w:val="24"/>
          <w:szCs w:val="24"/>
          <w:highlight w:val="none"/>
          <w:u w:val="none" w:color="auto"/>
          <w:lang w:val="en-US" w:bidi="zh-CN"/>
        </w:rPr>
        <w:t>3</w:t>
      </w:r>
      <w:r>
        <w:rPr>
          <w:rFonts w:hint="default" w:ascii="Times New Roman" w:hAnsi="Times New Roman" w:eastAsia="宋体" w:cs="Times New Roman"/>
          <w:color w:val="auto"/>
          <w:sz w:val="24"/>
          <w:szCs w:val="24"/>
          <w:highlight w:val="none"/>
          <w:u w:val="none" w:color="auto"/>
          <w:lang w:val="zh-CN" w:bidi="zh-CN"/>
        </w:rPr>
        <w:t>。</w:t>
      </w:r>
    </w:p>
    <w:p>
      <w:pPr>
        <w:pStyle w:val="120"/>
        <w:rPr>
          <w:rFonts w:hint="default" w:ascii="Times New Roman" w:hAnsi="Times New Roman" w:eastAsia="宋体" w:cs="Times New Roman"/>
          <w:b/>
          <w:bCs/>
          <w:color w:val="auto"/>
          <w:sz w:val="24"/>
          <w:szCs w:val="24"/>
          <w:u w:val="none" w:color="auto"/>
          <w:lang w:val="zh-CN"/>
        </w:rPr>
      </w:pPr>
      <w:r>
        <w:rPr>
          <w:rFonts w:hint="default" w:ascii="Times New Roman" w:hAnsi="Times New Roman" w:eastAsia="宋体" w:cs="Times New Roman"/>
          <w:b/>
          <w:bCs/>
          <w:color w:val="auto"/>
          <w:sz w:val="24"/>
          <w:szCs w:val="24"/>
          <w:u w:val="none" w:color="auto"/>
          <w:lang w:val="zh-CN"/>
        </w:rPr>
        <w:t>（3）P的确定</w:t>
      </w:r>
    </w:p>
    <w:p>
      <w:pPr>
        <w:pStyle w:val="120"/>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根据《建设项目环境风险评价技术导则》（HJ169－2018）附录C中P的确定依据，</w:t>
      </w:r>
      <w:r>
        <w:rPr>
          <w:rFonts w:hint="default" w:ascii="Times New Roman" w:hAnsi="Times New Roman" w:cs="Times New Roman"/>
          <w:color w:val="auto"/>
          <w:sz w:val="24"/>
          <w:szCs w:val="24"/>
          <w:u w:val="none" w:color="auto"/>
          <w:lang w:val="zh-CN"/>
        </w:rPr>
        <w:t>本项目</w:t>
      </w:r>
      <w:r>
        <w:rPr>
          <w:rFonts w:hint="default" w:ascii="Times New Roman" w:hAnsi="Times New Roman" w:eastAsia="宋体" w:cs="Times New Roman"/>
          <w:color w:val="auto"/>
          <w:sz w:val="24"/>
          <w:szCs w:val="24"/>
          <w:u w:val="none" w:color="auto"/>
          <w:lang w:val="zh-CN"/>
        </w:rPr>
        <w:t>危险物质及工艺系统危害性（P）的等级为P</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zh-CN"/>
        </w:rPr>
        <w:t>。</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表</w:t>
      </w:r>
      <w:r>
        <w:rPr>
          <w:rFonts w:hint="default" w:ascii="Times New Roman" w:hAnsi="Times New Roman" w:cs="Times New Roman"/>
          <w:color w:val="auto"/>
          <w:sz w:val="24"/>
          <w:szCs w:val="24"/>
          <w:u w:val="none" w:color="auto"/>
          <w:lang w:val="en-US" w:eastAsia="zh-CN"/>
        </w:rPr>
        <w:t>2.3</w:t>
      </w:r>
      <w:r>
        <w:rPr>
          <w:rFonts w:hint="default" w:ascii="Times New Roman" w:hAnsi="Times New Roman" w:eastAsia="宋体" w:cs="Times New Roman"/>
          <w:color w:val="auto"/>
          <w:sz w:val="24"/>
          <w:szCs w:val="24"/>
          <w:u w:val="none" w:color="auto"/>
          <w:lang w:val="zh-CN"/>
        </w:rPr>
        <w:t>-10危险物质及工艺系统危险性等级判断（P）</w:t>
      </w:r>
    </w:p>
    <w:tbl>
      <w:tblPr>
        <w:tblStyle w:val="29"/>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22"/>
        <w:gridCol w:w="1714"/>
        <w:gridCol w:w="2058"/>
        <w:gridCol w:w="1458"/>
        <w:gridCol w:w="14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1822" w:type="dxa"/>
            <w:vMerge w:val="restart"/>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危险物质数量与临界量比值（Q）</w:t>
            </w:r>
          </w:p>
        </w:tc>
        <w:tc>
          <w:tcPr>
            <w:tcW w:w="6682" w:type="dxa"/>
            <w:gridSpan w:val="4"/>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行业及生产工艺（M）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1822" w:type="dxa"/>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171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M1</w:t>
            </w:r>
          </w:p>
        </w:tc>
        <w:tc>
          <w:tcPr>
            <w:tcW w:w="205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M2</w:t>
            </w:r>
          </w:p>
        </w:tc>
        <w:tc>
          <w:tcPr>
            <w:tcW w:w="145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M3</w:t>
            </w:r>
          </w:p>
        </w:tc>
        <w:tc>
          <w:tcPr>
            <w:tcW w:w="145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M4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182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Q≥100</w:t>
            </w:r>
          </w:p>
        </w:tc>
        <w:tc>
          <w:tcPr>
            <w:tcW w:w="171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P1</w:t>
            </w:r>
          </w:p>
        </w:tc>
        <w:tc>
          <w:tcPr>
            <w:tcW w:w="2058"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P1</w:t>
            </w:r>
          </w:p>
        </w:tc>
        <w:tc>
          <w:tcPr>
            <w:tcW w:w="145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P2</w:t>
            </w:r>
          </w:p>
        </w:tc>
        <w:tc>
          <w:tcPr>
            <w:tcW w:w="1452"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1822"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10≤Q＜100</w:t>
            </w:r>
          </w:p>
        </w:tc>
        <w:tc>
          <w:tcPr>
            <w:tcW w:w="1714"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P1</w:t>
            </w:r>
          </w:p>
        </w:tc>
        <w:tc>
          <w:tcPr>
            <w:tcW w:w="2058"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P2</w:t>
            </w:r>
          </w:p>
        </w:tc>
        <w:tc>
          <w:tcPr>
            <w:tcW w:w="1458"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P3</w:t>
            </w:r>
          </w:p>
        </w:tc>
        <w:tc>
          <w:tcPr>
            <w:tcW w:w="145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1822" w:type="dxa"/>
            <w:tcBorders>
              <w:tl2br w:val="nil"/>
              <w:tr2bl w:val="nil"/>
            </w:tcBorders>
            <w:shd w:val="clear" w:color="auto" w:fill="7E7E7E" w:themeFill="background1" w:themeFillShade="7F"/>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1≤Q＜10</w:t>
            </w:r>
          </w:p>
        </w:tc>
        <w:tc>
          <w:tcPr>
            <w:tcW w:w="171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P2</w:t>
            </w:r>
          </w:p>
        </w:tc>
        <w:tc>
          <w:tcPr>
            <w:tcW w:w="205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P3</w:t>
            </w:r>
          </w:p>
        </w:tc>
        <w:tc>
          <w:tcPr>
            <w:tcW w:w="1458" w:type="dxa"/>
            <w:tcBorders>
              <w:tl2br w:val="nil"/>
              <w:tr2bl w:val="nil"/>
            </w:tcBorders>
            <w:shd w:val="clear" w:color="auto" w:fill="7E7E7E" w:themeFill="background1" w:themeFillShade="7F"/>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P4</w:t>
            </w:r>
          </w:p>
        </w:tc>
        <w:tc>
          <w:tcPr>
            <w:tcW w:w="145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P4</w:t>
            </w:r>
          </w:p>
        </w:tc>
      </w:tr>
    </w:tbl>
    <w:p>
      <w:pPr>
        <w:widowControl w:val="0"/>
        <w:numPr>
          <w:ilvl w:val="0"/>
          <w:numId w:val="0"/>
        </w:numPr>
        <w:bidi w:val="0"/>
        <w:spacing w:line="360" w:lineRule="auto"/>
        <w:ind w:leftChars="0"/>
        <w:jc w:val="left"/>
        <w:outlineLvl w:val="2"/>
        <w:rPr>
          <w:rFonts w:hint="default" w:ascii="Times New Roman" w:hAnsi="Times New Roman" w:eastAsia="宋体" w:cs="Times New Roman"/>
          <w:b/>
          <w:color w:val="auto"/>
          <w:kern w:val="0"/>
          <w:sz w:val="24"/>
          <w:szCs w:val="32"/>
          <w:u w:val="none" w:color="auto"/>
          <w:lang w:val="zh-CN" w:eastAsia="zh-CN" w:bidi="ar-SA"/>
        </w:rPr>
      </w:pPr>
      <w:bookmarkStart w:id="116" w:name="_Toc17884"/>
      <w:r>
        <w:rPr>
          <w:rFonts w:hint="default" w:ascii="Times New Roman" w:hAnsi="Times New Roman" w:eastAsia="宋体" w:cs="Times New Roman"/>
          <w:b/>
          <w:color w:val="auto"/>
          <w:kern w:val="0"/>
          <w:sz w:val="24"/>
          <w:szCs w:val="32"/>
          <w:u w:val="none" w:color="auto"/>
          <w:lang w:val="en-US" w:eastAsia="zh-CN" w:bidi="ar-SA"/>
        </w:rPr>
        <w:t>2.3.3</w:t>
      </w:r>
      <w:r>
        <w:rPr>
          <w:rFonts w:hint="default" w:ascii="Times New Roman" w:hAnsi="Times New Roman" w:eastAsia="宋体" w:cs="Times New Roman"/>
          <w:b/>
          <w:color w:val="auto"/>
          <w:kern w:val="0"/>
          <w:sz w:val="24"/>
          <w:szCs w:val="32"/>
          <w:u w:val="none" w:color="auto"/>
          <w:lang w:val="zh-CN" w:eastAsia="zh-CN" w:bidi="ar-SA"/>
        </w:rPr>
        <w:t>风险潜势判断</w:t>
      </w:r>
      <w:bookmarkEnd w:id="116"/>
    </w:p>
    <w:p>
      <w:pPr>
        <w:adjustRightInd/>
        <w:snapToGrid/>
        <w:spacing w:line="360" w:lineRule="auto"/>
        <w:ind w:firstLine="480" w:firstLineChars="200"/>
        <w:jc w:val="left"/>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Cs/>
          <w:color w:val="auto"/>
          <w:kern w:val="0"/>
          <w:sz w:val="24"/>
          <w:szCs w:val="32"/>
          <w:highlight w:val="none"/>
          <w:u w:val="none" w:color="auto"/>
          <w:lang w:val="zh-CN"/>
        </w:rPr>
        <w:t>根据上述分析，项目危险物质及工艺系统危险性P值为P</w:t>
      </w:r>
      <w:r>
        <w:rPr>
          <w:rFonts w:hint="eastAsia" w:ascii="Times New Roman" w:hAnsi="Times New Roman" w:cs="Times New Roman"/>
          <w:bCs/>
          <w:color w:val="auto"/>
          <w:kern w:val="0"/>
          <w:sz w:val="24"/>
          <w:szCs w:val="32"/>
          <w:highlight w:val="none"/>
          <w:u w:val="none" w:color="auto"/>
          <w:lang w:val="en-US" w:eastAsia="zh-CN"/>
        </w:rPr>
        <w:t>4</w:t>
      </w:r>
      <w:r>
        <w:rPr>
          <w:rFonts w:hint="default" w:ascii="Times New Roman" w:hAnsi="Times New Roman" w:eastAsia="宋体" w:cs="Times New Roman"/>
          <w:bCs/>
          <w:color w:val="auto"/>
          <w:kern w:val="0"/>
          <w:sz w:val="24"/>
          <w:szCs w:val="32"/>
          <w:highlight w:val="none"/>
          <w:u w:val="none" w:color="auto"/>
          <w:lang w:val="zh-CN"/>
        </w:rPr>
        <w:t>，大气、地表水及地下水的环境敏感程度分别为E</w:t>
      </w:r>
      <w:r>
        <w:rPr>
          <w:rFonts w:hint="default" w:ascii="Times New Roman" w:hAnsi="Times New Roman" w:cs="Times New Roman"/>
          <w:bCs/>
          <w:color w:val="auto"/>
          <w:kern w:val="0"/>
          <w:sz w:val="24"/>
          <w:szCs w:val="32"/>
          <w:highlight w:val="none"/>
          <w:u w:val="none" w:color="auto"/>
          <w:lang w:val="en-US" w:eastAsia="zh-CN"/>
        </w:rPr>
        <w:t>1</w:t>
      </w:r>
      <w:r>
        <w:rPr>
          <w:rFonts w:hint="default" w:ascii="Times New Roman" w:hAnsi="Times New Roman" w:eastAsia="宋体" w:cs="Times New Roman"/>
          <w:bCs/>
          <w:color w:val="auto"/>
          <w:kern w:val="0"/>
          <w:sz w:val="24"/>
          <w:szCs w:val="32"/>
          <w:highlight w:val="none"/>
          <w:u w:val="none" w:color="auto"/>
          <w:lang w:val="zh-CN"/>
        </w:rPr>
        <w:t>、E</w:t>
      </w:r>
      <w:r>
        <w:rPr>
          <w:rFonts w:hint="default" w:ascii="Times New Roman" w:hAnsi="Times New Roman" w:cs="Times New Roman"/>
          <w:bCs/>
          <w:color w:val="auto"/>
          <w:kern w:val="0"/>
          <w:sz w:val="24"/>
          <w:szCs w:val="32"/>
          <w:highlight w:val="none"/>
          <w:u w:val="none" w:color="auto"/>
          <w:lang w:val="en-US" w:eastAsia="zh-CN"/>
        </w:rPr>
        <w:t>3</w:t>
      </w:r>
      <w:r>
        <w:rPr>
          <w:rFonts w:hint="default" w:ascii="Times New Roman" w:hAnsi="Times New Roman" w:eastAsia="宋体" w:cs="Times New Roman"/>
          <w:bCs/>
          <w:color w:val="auto"/>
          <w:kern w:val="0"/>
          <w:sz w:val="24"/>
          <w:szCs w:val="32"/>
          <w:highlight w:val="none"/>
          <w:u w:val="none" w:color="auto"/>
          <w:lang w:val="zh-CN"/>
        </w:rPr>
        <w:t>、E3，对照根据《建设项目环境风险评价技术导则》（HJ169</w:t>
      </w:r>
      <w:r>
        <w:rPr>
          <w:rFonts w:hint="default" w:ascii="Times New Roman" w:hAnsi="Times New Roman" w:cs="Times New Roman"/>
          <w:bCs/>
          <w:color w:val="auto"/>
          <w:kern w:val="0"/>
          <w:sz w:val="24"/>
          <w:szCs w:val="32"/>
          <w:highlight w:val="none"/>
          <w:u w:val="none" w:color="auto"/>
          <w:lang w:val="en-US" w:eastAsia="zh-CN"/>
        </w:rPr>
        <w:t>-</w:t>
      </w:r>
      <w:r>
        <w:rPr>
          <w:rFonts w:hint="default" w:ascii="Times New Roman" w:hAnsi="Times New Roman" w:eastAsia="宋体" w:cs="Times New Roman"/>
          <w:bCs/>
          <w:color w:val="auto"/>
          <w:kern w:val="0"/>
          <w:sz w:val="24"/>
          <w:szCs w:val="32"/>
          <w:highlight w:val="none"/>
          <w:u w:val="none" w:color="auto"/>
          <w:lang w:val="zh-CN"/>
        </w:rPr>
        <w:t>2018）表2</w:t>
      </w:r>
      <w:r>
        <w:rPr>
          <w:rFonts w:hint="default" w:ascii="Times New Roman" w:hAnsi="Times New Roman" w:cs="Times New Roman"/>
          <w:bCs/>
          <w:color w:val="auto"/>
          <w:kern w:val="0"/>
          <w:sz w:val="24"/>
          <w:szCs w:val="32"/>
          <w:highlight w:val="none"/>
          <w:u w:val="none" w:color="auto"/>
          <w:lang w:val="en-US" w:eastAsia="zh-CN"/>
        </w:rPr>
        <w:t>.3-11</w:t>
      </w:r>
      <w:r>
        <w:rPr>
          <w:rFonts w:hint="default" w:ascii="Times New Roman" w:hAnsi="Times New Roman" w:eastAsia="宋体" w:cs="Times New Roman"/>
          <w:bCs/>
          <w:color w:val="auto"/>
          <w:kern w:val="0"/>
          <w:sz w:val="24"/>
          <w:szCs w:val="32"/>
          <w:highlight w:val="none"/>
          <w:u w:val="none" w:color="auto"/>
          <w:lang w:val="zh-CN"/>
        </w:rPr>
        <w:t>即下表划分</w:t>
      </w:r>
      <w:r>
        <w:rPr>
          <w:rFonts w:hint="default" w:ascii="Times New Roman" w:hAnsi="Times New Roman" w:eastAsia="宋体" w:cs="Times New Roman"/>
          <w:b w:val="0"/>
          <w:bCs/>
          <w:color w:val="auto"/>
          <w:kern w:val="0"/>
          <w:sz w:val="24"/>
          <w:szCs w:val="32"/>
          <w:highlight w:val="none"/>
          <w:u w:val="none" w:color="auto"/>
          <w:lang w:val="zh-CN"/>
        </w:rPr>
        <w:t>依据。</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表</w:t>
      </w:r>
      <w:r>
        <w:rPr>
          <w:rFonts w:hint="default" w:ascii="Times New Roman" w:hAnsi="Times New Roman" w:cs="Times New Roman"/>
          <w:color w:val="auto"/>
          <w:sz w:val="24"/>
          <w:szCs w:val="24"/>
          <w:highlight w:val="none"/>
          <w:u w:val="none" w:color="auto"/>
          <w:lang w:val="en-US" w:eastAsia="zh-CN"/>
        </w:rPr>
        <w:t>2.3</w:t>
      </w:r>
      <w:r>
        <w:rPr>
          <w:rFonts w:hint="default" w:ascii="Times New Roman" w:hAnsi="Times New Roman" w:eastAsia="宋体" w:cs="Times New Roman"/>
          <w:color w:val="auto"/>
          <w:sz w:val="24"/>
          <w:szCs w:val="24"/>
          <w:highlight w:val="none"/>
          <w:u w:val="none" w:color="auto"/>
          <w:lang w:val="zh-CN"/>
        </w:rPr>
        <w:t>-11项目环境风险潜势划分</w:t>
      </w:r>
    </w:p>
    <w:tbl>
      <w:tblPr>
        <w:tblStyle w:val="29"/>
        <w:tblW w:w="853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62"/>
        <w:gridCol w:w="1542"/>
        <w:gridCol w:w="1542"/>
        <w:gridCol w:w="1542"/>
        <w:gridCol w:w="15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2362" w:type="dxa"/>
            <w:vMerge w:val="restart"/>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环境敏感程度（E）</w:t>
            </w:r>
          </w:p>
        </w:tc>
        <w:tc>
          <w:tcPr>
            <w:tcW w:w="6170" w:type="dxa"/>
            <w:gridSpan w:val="4"/>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危险物质及工艺系统危险性（P）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2362" w:type="dxa"/>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极高危害（P1）</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高度危害（P2）</w:t>
            </w:r>
          </w:p>
        </w:tc>
        <w:tc>
          <w:tcPr>
            <w:tcW w:w="1542"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中度危害（P3）</w:t>
            </w:r>
          </w:p>
        </w:tc>
        <w:tc>
          <w:tcPr>
            <w:tcW w:w="154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轻度危害（P4）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6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环境高度敏感区（E1）</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Ⅳ+</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Ⅳ</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154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236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环境中度敏感区（E2）</w:t>
            </w:r>
          </w:p>
        </w:tc>
        <w:tc>
          <w:tcPr>
            <w:tcW w:w="1542"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Ⅳ</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154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236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环境轻度敏感区（E3）</w:t>
            </w:r>
          </w:p>
        </w:tc>
        <w:tc>
          <w:tcPr>
            <w:tcW w:w="1542" w:type="dxa"/>
            <w:tcBorders>
              <w:tl2br w:val="nil"/>
              <w:tr2bl w:val="nil"/>
            </w:tcBorders>
            <w:shd w:val="clear" w:color="auto" w:fill="auto"/>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154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Ⅱ</w:t>
            </w:r>
          </w:p>
        </w:tc>
        <w:tc>
          <w:tcPr>
            <w:tcW w:w="154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Ⅰ</w:t>
            </w:r>
          </w:p>
        </w:tc>
      </w:tr>
    </w:tbl>
    <w:p>
      <w:pPr>
        <w:widowControl w:val="0"/>
        <w:numPr>
          <w:ilvl w:val="0"/>
          <w:numId w:val="0"/>
        </w:numPr>
        <w:bidi w:val="0"/>
        <w:spacing w:line="360" w:lineRule="auto"/>
        <w:ind w:left="0" w:leftChars="0" w:firstLine="0"/>
        <w:jc w:val="both"/>
        <w:outlineLvl w:val="1"/>
        <w:rPr>
          <w:rFonts w:hint="default" w:ascii="Times New Roman" w:hAnsi="Times New Roman" w:eastAsia="宋体" w:cs="Times New Roman"/>
          <w:b/>
          <w:color w:val="auto"/>
          <w:kern w:val="2"/>
          <w:sz w:val="24"/>
          <w:szCs w:val="28"/>
          <w:u w:val="none" w:color="auto"/>
          <w:lang w:val="zh-CN" w:eastAsia="zh-CN" w:bidi="ar-SA"/>
        </w:rPr>
      </w:pPr>
      <w:bookmarkStart w:id="117" w:name="6.4_评价等级和评价范围"/>
      <w:bookmarkEnd w:id="117"/>
      <w:bookmarkStart w:id="118" w:name="_bookmark37"/>
      <w:bookmarkEnd w:id="118"/>
      <w:bookmarkStart w:id="119" w:name="_Toc13907"/>
      <w:bookmarkStart w:id="120" w:name="_Toc426"/>
      <w:bookmarkStart w:id="121" w:name="_Toc21045"/>
      <w:r>
        <w:rPr>
          <w:rFonts w:hint="default" w:ascii="Times New Roman" w:hAnsi="Times New Roman" w:eastAsia="宋体" w:cs="Times New Roman"/>
          <w:b/>
          <w:color w:val="auto"/>
          <w:kern w:val="2"/>
          <w:sz w:val="24"/>
          <w:szCs w:val="28"/>
          <w:u w:val="none" w:color="auto"/>
          <w:lang w:val="en-US" w:eastAsia="zh-CN" w:bidi="ar-SA"/>
        </w:rPr>
        <w:t>2.4</w:t>
      </w:r>
      <w:r>
        <w:rPr>
          <w:rFonts w:hint="default" w:ascii="Times New Roman" w:hAnsi="Times New Roman" w:eastAsia="宋体" w:cs="Times New Roman"/>
          <w:b/>
          <w:color w:val="auto"/>
          <w:kern w:val="2"/>
          <w:sz w:val="24"/>
          <w:szCs w:val="28"/>
          <w:u w:val="none" w:color="auto"/>
          <w:lang w:val="zh-CN" w:eastAsia="zh-CN" w:bidi="ar-SA"/>
        </w:rPr>
        <w:t>评价等级和评价范围</w:t>
      </w:r>
      <w:bookmarkEnd w:id="119"/>
      <w:bookmarkEnd w:id="120"/>
      <w:bookmarkEnd w:id="121"/>
    </w:p>
    <w:p>
      <w:pPr>
        <w:widowControl w:val="0"/>
        <w:numPr>
          <w:ilvl w:val="0"/>
          <w:numId w:val="0"/>
        </w:numPr>
        <w:bidi w:val="0"/>
        <w:spacing w:line="360" w:lineRule="auto"/>
        <w:ind w:leftChars="0"/>
        <w:jc w:val="left"/>
        <w:outlineLvl w:val="2"/>
        <w:rPr>
          <w:rFonts w:hint="default" w:ascii="Times New Roman" w:hAnsi="Times New Roman" w:eastAsia="宋体" w:cs="Times New Roman"/>
          <w:b/>
          <w:color w:val="auto"/>
          <w:kern w:val="0"/>
          <w:sz w:val="24"/>
          <w:szCs w:val="32"/>
          <w:u w:val="none" w:color="auto"/>
          <w:lang w:val="zh-CN" w:eastAsia="zh-CN" w:bidi="ar-SA"/>
        </w:rPr>
      </w:pPr>
      <w:bookmarkStart w:id="122" w:name="6.4.1_评价等级"/>
      <w:bookmarkEnd w:id="122"/>
      <w:bookmarkStart w:id="123" w:name="_Toc3469"/>
      <w:r>
        <w:rPr>
          <w:rFonts w:hint="default" w:ascii="Times New Roman" w:hAnsi="Times New Roman" w:eastAsia="宋体" w:cs="Times New Roman"/>
          <w:b/>
          <w:color w:val="auto"/>
          <w:kern w:val="0"/>
          <w:sz w:val="24"/>
          <w:szCs w:val="32"/>
          <w:u w:val="none" w:color="auto"/>
          <w:lang w:val="en-US" w:eastAsia="zh-CN" w:bidi="ar-SA"/>
        </w:rPr>
        <w:t>2.4.1</w:t>
      </w:r>
      <w:r>
        <w:rPr>
          <w:rFonts w:hint="default" w:ascii="Times New Roman" w:hAnsi="Times New Roman" w:eastAsia="宋体" w:cs="Times New Roman"/>
          <w:b/>
          <w:color w:val="auto"/>
          <w:kern w:val="0"/>
          <w:sz w:val="24"/>
          <w:szCs w:val="32"/>
          <w:u w:val="none" w:color="auto"/>
          <w:lang w:val="zh-CN" w:eastAsia="zh-CN" w:bidi="ar-SA"/>
        </w:rPr>
        <w:t>评价等级</w:t>
      </w:r>
      <w:bookmarkEnd w:id="123"/>
    </w:p>
    <w:p>
      <w:pPr>
        <w:adjustRightInd/>
        <w:snapToGrid/>
        <w:spacing w:line="360" w:lineRule="auto"/>
        <w:ind w:firstLine="480" w:firstLineChars="200"/>
        <w:jc w:val="left"/>
        <w:rPr>
          <w:rFonts w:hint="default" w:ascii="Times New Roman" w:hAnsi="Times New Roman" w:eastAsia="宋体" w:cs="Times New Roman"/>
          <w:bCs/>
          <w:color w:val="auto"/>
          <w:kern w:val="0"/>
          <w:sz w:val="24"/>
          <w:szCs w:val="32"/>
          <w:highlight w:val="none"/>
          <w:u w:val="none" w:color="auto"/>
          <w:lang w:val="zh-CN"/>
        </w:rPr>
      </w:pPr>
      <w:r>
        <w:rPr>
          <w:rFonts w:hint="default" w:ascii="Times New Roman" w:hAnsi="Times New Roman" w:eastAsia="宋体" w:cs="Times New Roman"/>
          <w:bCs/>
          <w:color w:val="auto"/>
          <w:kern w:val="0"/>
          <w:sz w:val="24"/>
          <w:szCs w:val="32"/>
          <w:highlight w:val="none"/>
          <w:u w:val="none" w:color="auto"/>
          <w:lang w:val="zh-CN"/>
        </w:rPr>
        <w:t>本项目危险物质在事故情形下的环境影响途径主要为大气、地表水及地下水，根据《建设项目环境风险评价技术导则》（HJ169－2018）评价工作等级划分要求。</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表</w:t>
      </w:r>
      <w:r>
        <w:rPr>
          <w:rFonts w:hint="default" w:ascii="Times New Roman" w:hAnsi="Times New Roman" w:cs="Times New Roman"/>
          <w:color w:val="auto"/>
          <w:sz w:val="24"/>
          <w:szCs w:val="24"/>
          <w:u w:val="none" w:color="auto"/>
          <w:lang w:val="en-US" w:eastAsia="zh-CN"/>
        </w:rPr>
        <w:t>2.4-1</w:t>
      </w:r>
      <w:r>
        <w:rPr>
          <w:rFonts w:hint="default" w:ascii="Times New Roman" w:hAnsi="Times New Roman" w:eastAsia="宋体" w:cs="Times New Roman"/>
          <w:color w:val="auto"/>
          <w:sz w:val="24"/>
          <w:szCs w:val="24"/>
          <w:u w:val="none" w:color="auto"/>
          <w:lang w:val="zh-CN"/>
        </w:rPr>
        <w:t>项目环境风险评价工作等级划分</w:t>
      </w:r>
    </w:p>
    <w:tbl>
      <w:tblPr>
        <w:tblStyle w:val="2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5"/>
        <w:gridCol w:w="1505"/>
        <w:gridCol w:w="1504"/>
        <w:gridCol w:w="1505"/>
        <w:gridCol w:w="15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33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环境风险潜势</w:t>
            </w:r>
          </w:p>
        </w:tc>
        <w:tc>
          <w:tcPr>
            <w:tcW w:w="152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Ⅳ、Ⅳ+</w:t>
            </w:r>
          </w:p>
        </w:tc>
        <w:tc>
          <w:tcPr>
            <w:tcW w:w="152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152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Ⅱ</w:t>
            </w:r>
          </w:p>
        </w:tc>
        <w:tc>
          <w:tcPr>
            <w:tcW w:w="152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33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评价工作等级</w:t>
            </w:r>
          </w:p>
        </w:tc>
        <w:tc>
          <w:tcPr>
            <w:tcW w:w="1522"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一</w:t>
            </w:r>
          </w:p>
        </w:tc>
        <w:tc>
          <w:tcPr>
            <w:tcW w:w="152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二</w:t>
            </w:r>
          </w:p>
        </w:tc>
        <w:tc>
          <w:tcPr>
            <w:tcW w:w="152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三</w:t>
            </w:r>
          </w:p>
        </w:tc>
        <w:tc>
          <w:tcPr>
            <w:tcW w:w="152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简单分析</w:t>
            </w:r>
          </w:p>
        </w:tc>
      </w:tr>
    </w:tbl>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rPr>
      </w:pPr>
      <w:bookmarkStart w:id="124" w:name="6.4.2_评价范围"/>
      <w:bookmarkEnd w:id="124"/>
      <w:r>
        <w:rPr>
          <w:rFonts w:hint="default" w:ascii="Times New Roman" w:hAnsi="Times New Roman" w:eastAsia="宋体" w:cs="Times New Roman"/>
          <w:color w:val="auto"/>
          <w:sz w:val="24"/>
          <w:szCs w:val="24"/>
          <w:u w:val="none" w:color="auto"/>
          <w:lang w:val="zh-CN"/>
        </w:rPr>
        <w:t>表</w:t>
      </w:r>
      <w:r>
        <w:rPr>
          <w:rFonts w:hint="default" w:ascii="Times New Roman" w:hAnsi="Times New Roman" w:cs="Times New Roman"/>
          <w:color w:val="auto"/>
          <w:sz w:val="24"/>
          <w:szCs w:val="24"/>
          <w:u w:val="none" w:color="auto"/>
          <w:lang w:val="en-US" w:eastAsia="zh-CN"/>
        </w:rPr>
        <w:t>2.4-2</w:t>
      </w:r>
      <w:r>
        <w:rPr>
          <w:rFonts w:hint="default" w:ascii="Times New Roman" w:hAnsi="Times New Roman" w:eastAsia="宋体" w:cs="Times New Roman"/>
          <w:color w:val="auto"/>
          <w:sz w:val="24"/>
          <w:szCs w:val="24"/>
          <w:u w:val="none" w:color="auto"/>
          <w:lang w:val="zh-CN"/>
        </w:rPr>
        <w:t>本项目风险评价工作级别</w:t>
      </w:r>
    </w:p>
    <w:tbl>
      <w:tblPr>
        <w:tblStyle w:val="29"/>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2"/>
        <w:gridCol w:w="2292"/>
        <w:gridCol w:w="2016"/>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7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评价要素</w:t>
            </w:r>
          </w:p>
        </w:tc>
        <w:tc>
          <w:tcPr>
            <w:tcW w:w="229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环境敏感程度（E）</w:t>
            </w:r>
          </w:p>
        </w:tc>
        <w:tc>
          <w:tcPr>
            <w:tcW w:w="2016"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风险潜势</w:t>
            </w:r>
          </w:p>
        </w:tc>
        <w:tc>
          <w:tcPr>
            <w:tcW w:w="2280"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u w:val="none" w:color="auto"/>
                <w:lang w:val="zh-CN" w:eastAsia="zh-CN" w:bidi="ar-SA"/>
              </w:rPr>
            </w:pPr>
            <w:r>
              <w:rPr>
                <w:rFonts w:hint="default" w:ascii="Times New Roman" w:hAnsi="Times New Roman" w:eastAsia="宋体" w:cs="Times New Roman"/>
                <w:b/>
                <w:bCs/>
                <w:color w:val="auto"/>
                <w:kern w:val="0"/>
                <w:sz w:val="21"/>
                <w:szCs w:val="21"/>
                <w:u w:val="none" w:color="auto"/>
                <w:lang w:val="zh-CN" w:eastAsia="zh-CN" w:bidi="ar-SA"/>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7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大气环境</w:t>
            </w:r>
          </w:p>
        </w:tc>
        <w:tc>
          <w:tcPr>
            <w:tcW w:w="229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w:t>
            </w:r>
            <w:r>
              <w:rPr>
                <w:rFonts w:hint="default" w:ascii="Times New Roman" w:hAnsi="Times New Roman" w:eastAsia="宋体" w:cs="Times New Roman"/>
                <w:color w:val="auto"/>
                <w:kern w:val="0"/>
                <w:sz w:val="21"/>
                <w:szCs w:val="21"/>
                <w:u w:val="none" w:color="auto"/>
                <w:lang w:val="en-US" w:eastAsia="zh-CN" w:bidi="ar-SA"/>
              </w:rPr>
              <w:t>1</w:t>
            </w:r>
          </w:p>
        </w:tc>
        <w:tc>
          <w:tcPr>
            <w:tcW w:w="2016"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Ⅲ</w:t>
            </w:r>
          </w:p>
        </w:tc>
        <w:tc>
          <w:tcPr>
            <w:tcW w:w="2280" w:type="dxa"/>
            <w:shd w:val="clear" w:color="auto" w:fill="A4A4A4" w:themeFill="background1" w:themeFillShade="A5"/>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7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地表水</w:t>
            </w:r>
          </w:p>
        </w:tc>
        <w:tc>
          <w:tcPr>
            <w:tcW w:w="229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w:t>
            </w:r>
            <w:r>
              <w:rPr>
                <w:rFonts w:hint="default" w:ascii="Times New Roman" w:hAnsi="Times New Roman" w:eastAsia="宋体" w:cs="Times New Roman"/>
                <w:color w:val="auto"/>
                <w:kern w:val="0"/>
                <w:sz w:val="21"/>
                <w:szCs w:val="21"/>
                <w:u w:val="none" w:color="auto"/>
                <w:lang w:val="en-US" w:eastAsia="zh-CN" w:bidi="ar-SA"/>
              </w:rPr>
              <w:t>3</w:t>
            </w:r>
          </w:p>
        </w:tc>
        <w:tc>
          <w:tcPr>
            <w:tcW w:w="2016"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Ⅰ</w:t>
            </w:r>
          </w:p>
        </w:tc>
        <w:tc>
          <w:tcPr>
            <w:tcW w:w="2280" w:type="dxa"/>
            <w:shd w:val="clear" w:color="auto" w:fill="A4A4A4" w:themeFill="background1" w:themeFillShade="A5"/>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eastAsia="zh-CN" w:bidi="ar-SA"/>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7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地下水</w:t>
            </w:r>
          </w:p>
        </w:tc>
        <w:tc>
          <w:tcPr>
            <w:tcW w:w="2292"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E3</w:t>
            </w:r>
          </w:p>
        </w:tc>
        <w:tc>
          <w:tcPr>
            <w:tcW w:w="2016" w:type="dxa"/>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Ⅰ</w:t>
            </w:r>
          </w:p>
        </w:tc>
        <w:tc>
          <w:tcPr>
            <w:tcW w:w="2280" w:type="dxa"/>
            <w:shd w:val="clear" w:color="auto" w:fill="A4A4A4" w:themeFill="background1" w:themeFillShade="A5"/>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eastAsia="zh-CN" w:bidi="ar-SA"/>
              </w:rPr>
              <w:t>简单分析</w:t>
            </w:r>
          </w:p>
        </w:tc>
      </w:tr>
    </w:tbl>
    <w:p>
      <w:pPr>
        <w:widowControl w:val="0"/>
        <w:numPr>
          <w:ilvl w:val="0"/>
          <w:numId w:val="0"/>
        </w:numPr>
        <w:bidi w:val="0"/>
        <w:spacing w:line="360" w:lineRule="auto"/>
        <w:ind w:leftChars="0" w:firstLine="482" w:firstLineChars="200"/>
        <w:jc w:val="left"/>
        <w:outlineLvl w:val="2"/>
        <w:rPr>
          <w:rFonts w:hint="default" w:ascii="Times New Roman" w:hAnsi="Times New Roman" w:eastAsia="宋体" w:cs="Times New Roman"/>
          <w:b/>
          <w:bCs/>
          <w:color w:val="auto"/>
          <w:kern w:val="0"/>
          <w:sz w:val="24"/>
          <w:szCs w:val="32"/>
          <w:u w:val="none" w:color="auto"/>
          <w:lang w:val="en-US" w:eastAsia="zh-CN" w:bidi="ar-SA"/>
        </w:rPr>
      </w:pPr>
      <w:r>
        <w:rPr>
          <w:rFonts w:hint="default" w:ascii="Times New Roman" w:hAnsi="Times New Roman" w:eastAsia="宋体" w:cs="Times New Roman"/>
          <w:b/>
          <w:bCs/>
          <w:color w:val="auto"/>
          <w:kern w:val="0"/>
          <w:sz w:val="24"/>
          <w:szCs w:val="32"/>
          <w:highlight w:val="none"/>
          <w:u w:val="none" w:color="auto"/>
          <w:lang w:val="zh-CN" w:eastAsia="zh-CN" w:bidi="ar-SA"/>
        </w:rPr>
        <w:t>确定本项目大气环境风险等级为二级</w:t>
      </w:r>
      <w:r>
        <w:rPr>
          <w:rFonts w:hint="eastAsia" w:cs="Times New Roman"/>
          <w:b/>
          <w:bCs/>
          <w:color w:val="auto"/>
          <w:kern w:val="0"/>
          <w:sz w:val="24"/>
          <w:szCs w:val="32"/>
          <w:highlight w:val="none"/>
          <w:u w:val="none" w:color="auto"/>
          <w:lang w:val="zh-CN" w:eastAsia="zh-CN" w:bidi="ar-SA"/>
        </w:rPr>
        <w:t>，</w:t>
      </w:r>
      <w:r>
        <w:rPr>
          <w:rFonts w:hint="default" w:ascii="Times New Roman" w:hAnsi="Times New Roman" w:eastAsia="宋体" w:cs="Times New Roman"/>
          <w:b/>
          <w:bCs/>
          <w:color w:val="auto"/>
          <w:kern w:val="0"/>
          <w:sz w:val="24"/>
          <w:szCs w:val="32"/>
          <w:highlight w:val="none"/>
          <w:u w:val="none" w:color="auto"/>
          <w:lang w:val="zh-CN" w:eastAsia="zh-CN" w:bidi="ar-SA"/>
        </w:rPr>
        <w:t>地表水</w:t>
      </w:r>
      <w:r>
        <w:rPr>
          <w:rFonts w:hint="eastAsia" w:ascii="Times New Roman" w:hAnsi="Times New Roman" w:eastAsia="宋体" w:cs="Times New Roman"/>
          <w:b/>
          <w:bCs/>
          <w:color w:val="auto"/>
          <w:kern w:val="0"/>
          <w:sz w:val="24"/>
          <w:szCs w:val="32"/>
          <w:highlight w:val="none"/>
          <w:u w:val="none" w:color="auto"/>
          <w:lang w:val="zh-CN" w:eastAsia="zh-CN" w:bidi="ar-SA"/>
        </w:rPr>
        <w:t>和</w:t>
      </w:r>
      <w:r>
        <w:rPr>
          <w:rFonts w:hint="default" w:ascii="Times New Roman" w:hAnsi="Times New Roman" w:eastAsia="宋体" w:cs="Times New Roman"/>
          <w:b/>
          <w:bCs/>
          <w:color w:val="auto"/>
          <w:kern w:val="0"/>
          <w:sz w:val="24"/>
          <w:szCs w:val="32"/>
          <w:highlight w:val="none"/>
          <w:u w:val="none" w:color="auto"/>
          <w:lang w:val="zh-CN" w:eastAsia="zh-CN" w:bidi="ar-SA"/>
        </w:rPr>
        <w:t>地下水环境风险等级为</w:t>
      </w:r>
      <w:r>
        <w:rPr>
          <w:rFonts w:hint="eastAsia" w:ascii="Times New Roman" w:hAnsi="Times New Roman" w:eastAsia="宋体" w:cs="Times New Roman"/>
          <w:b/>
          <w:bCs/>
          <w:color w:val="auto"/>
          <w:kern w:val="0"/>
          <w:sz w:val="24"/>
          <w:szCs w:val="32"/>
          <w:highlight w:val="none"/>
          <w:u w:val="none" w:color="auto"/>
          <w:lang w:val="zh-CN" w:eastAsia="zh-CN" w:bidi="ar-SA"/>
        </w:rPr>
        <w:t>简单分析</w:t>
      </w:r>
      <w:r>
        <w:rPr>
          <w:rFonts w:hint="default" w:ascii="Times New Roman" w:hAnsi="Times New Roman" w:eastAsia="宋体" w:cs="Times New Roman"/>
          <w:b/>
          <w:bCs/>
          <w:color w:val="auto"/>
          <w:kern w:val="0"/>
          <w:sz w:val="24"/>
          <w:szCs w:val="32"/>
          <w:highlight w:val="none"/>
          <w:u w:val="none" w:color="auto"/>
          <w:lang w:val="zh-CN" w:eastAsia="zh-CN" w:bidi="ar-SA"/>
        </w:rPr>
        <w:t>。则项目环境风险评价总体等级为二级。</w:t>
      </w:r>
    </w:p>
    <w:p>
      <w:pPr>
        <w:widowControl w:val="0"/>
        <w:numPr>
          <w:ilvl w:val="0"/>
          <w:numId w:val="0"/>
        </w:numPr>
        <w:bidi w:val="0"/>
        <w:spacing w:line="360" w:lineRule="auto"/>
        <w:ind w:leftChars="0"/>
        <w:jc w:val="left"/>
        <w:outlineLvl w:val="2"/>
        <w:rPr>
          <w:rFonts w:hint="default" w:ascii="Times New Roman" w:hAnsi="Times New Roman" w:eastAsia="宋体" w:cs="Times New Roman"/>
          <w:b/>
          <w:color w:val="auto"/>
          <w:kern w:val="0"/>
          <w:sz w:val="24"/>
          <w:szCs w:val="32"/>
          <w:highlight w:val="none"/>
          <w:u w:val="none" w:color="auto"/>
          <w:lang w:val="zh-CN" w:eastAsia="zh-CN" w:bidi="ar-SA"/>
        </w:rPr>
      </w:pPr>
      <w:r>
        <w:rPr>
          <w:rFonts w:hint="default" w:ascii="Times New Roman" w:hAnsi="Times New Roman" w:eastAsia="宋体" w:cs="Times New Roman"/>
          <w:b/>
          <w:color w:val="auto"/>
          <w:kern w:val="0"/>
          <w:sz w:val="24"/>
          <w:szCs w:val="32"/>
          <w:u w:val="none" w:color="auto"/>
          <w:lang w:val="en-US" w:eastAsia="zh-CN" w:bidi="ar-SA"/>
        </w:rPr>
        <w:t>2.</w:t>
      </w:r>
      <w:r>
        <w:rPr>
          <w:rFonts w:hint="default" w:ascii="Times New Roman" w:hAnsi="Times New Roman" w:eastAsia="宋体" w:cs="Times New Roman"/>
          <w:b/>
          <w:color w:val="auto"/>
          <w:kern w:val="0"/>
          <w:sz w:val="24"/>
          <w:szCs w:val="32"/>
          <w:highlight w:val="none"/>
          <w:u w:val="none" w:color="auto"/>
          <w:lang w:val="en-US" w:eastAsia="zh-CN" w:bidi="ar-SA"/>
        </w:rPr>
        <w:t>4.2</w:t>
      </w:r>
      <w:r>
        <w:rPr>
          <w:rFonts w:hint="default" w:ascii="Times New Roman" w:hAnsi="Times New Roman" w:eastAsia="宋体" w:cs="Times New Roman"/>
          <w:b/>
          <w:color w:val="auto"/>
          <w:kern w:val="0"/>
          <w:sz w:val="24"/>
          <w:szCs w:val="32"/>
          <w:highlight w:val="none"/>
          <w:u w:val="none" w:color="auto"/>
          <w:lang w:val="zh-CN" w:eastAsia="zh-CN" w:bidi="ar-SA"/>
        </w:rPr>
        <w:t>评价范围</w:t>
      </w:r>
    </w:p>
    <w:p>
      <w:pPr>
        <w:widowControl/>
        <w:spacing w:line="360" w:lineRule="auto"/>
        <w:ind w:firstLine="480"/>
        <w:jc w:val="left"/>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按照《建设项目环境风险评价技术导则》（HJ169-2018），各环境要素环境风险评价范围确定如下：</w:t>
      </w:r>
    </w:p>
    <w:p>
      <w:pPr>
        <w:pStyle w:val="119"/>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0" w:leftChars="0"/>
        <w:jc w:val="center"/>
        <w:textAlignment w:val="auto"/>
        <w:rPr>
          <w:rFonts w:hint="default" w:ascii="Times New Roman" w:hAnsi="Times New Roman" w:eastAsia="宋体" w:cs="Times New Roman"/>
          <w:color w:val="auto"/>
          <w:sz w:val="24"/>
          <w:szCs w:val="24"/>
          <w:u w:val="none" w:color="auto"/>
          <w:lang w:val="zh-CN"/>
        </w:rPr>
      </w:pPr>
      <w:r>
        <w:rPr>
          <w:rFonts w:hint="default" w:ascii="Times New Roman" w:hAnsi="Times New Roman" w:eastAsia="宋体" w:cs="Times New Roman"/>
          <w:color w:val="auto"/>
          <w:sz w:val="24"/>
          <w:szCs w:val="24"/>
          <w:u w:val="none" w:color="auto"/>
          <w:lang w:val="zh-CN"/>
        </w:rPr>
        <w:t>表</w:t>
      </w:r>
      <w:r>
        <w:rPr>
          <w:rFonts w:hint="default" w:ascii="Times New Roman" w:hAnsi="Times New Roman" w:eastAsia="宋体" w:cs="Times New Roman"/>
          <w:color w:val="auto"/>
          <w:sz w:val="24"/>
          <w:szCs w:val="24"/>
          <w:u w:val="none" w:color="auto"/>
          <w:lang w:val="en-US" w:eastAsia="zh-CN"/>
        </w:rPr>
        <w:t>2.4-3</w:t>
      </w:r>
      <w:r>
        <w:rPr>
          <w:rFonts w:hint="default" w:ascii="Times New Roman" w:hAnsi="Times New Roman" w:eastAsia="宋体" w:cs="Times New Roman"/>
          <w:color w:val="auto"/>
          <w:sz w:val="24"/>
          <w:szCs w:val="24"/>
          <w:u w:val="none" w:color="auto"/>
          <w:lang w:val="zh-CN"/>
        </w:rPr>
        <w:t>本项目的各环境要素环境风险评价范围确定表</w:t>
      </w:r>
    </w:p>
    <w:tbl>
      <w:tblPr>
        <w:tblStyle w:val="92"/>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6"/>
        <w:gridCol w:w="65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1626"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环</w:t>
            </w:r>
            <w:r>
              <w:rPr>
                <w:rFonts w:hint="default" w:ascii="Times New Roman" w:hAnsi="Times New Roman" w:eastAsia="宋体" w:cs="Times New Roman"/>
                <w:b/>
                <w:bCs/>
                <w:color w:val="auto"/>
                <w:spacing w:val="-1"/>
                <w:sz w:val="21"/>
                <w:szCs w:val="21"/>
              </w:rPr>
              <w:t>境要素</w:t>
            </w:r>
          </w:p>
        </w:tc>
        <w:tc>
          <w:tcPr>
            <w:tcW w:w="6585"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1"/>
                <w:sz w:val="21"/>
                <w:szCs w:val="21"/>
              </w:rPr>
              <w:t>评价范围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626"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大气环境</w:t>
            </w:r>
          </w:p>
        </w:tc>
        <w:tc>
          <w:tcPr>
            <w:tcW w:w="6585"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项</w:t>
            </w:r>
            <w:r>
              <w:rPr>
                <w:rFonts w:hint="default" w:ascii="Times New Roman" w:hAnsi="Times New Roman" w:eastAsia="宋体" w:cs="Times New Roman"/>
                <w:color w:val="auto"/>
                <w:spacing w:val="-4"/>
                <w:sz w:val="21"/>
                <w:szCs w:val="21"/>
              </w:rPr>
              <w:t>目厂址边界外</w:t>
            </w:r>
            <w:r>
              <w:rPr>
                <w:rFonts w:hint="default" w:ascii="Times New Roman" w:hAnsi="Times New Roman" w:eastAsia="宋体" w:cs="Times New Roman"/>
                <w:color w:val="auto"/>
                <w:spacing w:val="-4"/>
                <w:sz w:val="21"/>
                <w:szCs w:val="21"/>
                <w:lang w:val="en-US" w:eastAsia="zh-CN"/>
              </w:rPr>
              <w:t>5</w:t>
            </w:r>
            <w:r>
              <w:rPr>
                <w:rFonts w:hint="default" w:ascii="Times New Roman" w:hAnsi="Times New Roman" w:eastAsia="宋体" w:cs="Times New Roman"/>
                <w:color w:val="auto"/>
                <w:spacing w:val="-4"/>
                <w:sz w:val="21"/>
                <w:szCs w:val="21"/>
              </w:rPr>
              <w:t>km的范围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626"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地表水环境</w:t>
            </w:r>
          </w:p>
        </w:tc>
        <w:tc>
          <w:tcPr>
            <w:tcW w:w="6585"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简单分析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26"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地下水环境</w:t>
            </w:r>
          </w:p>
        </w:tc>
        <w:tc>
          <w:tcPr>
            <w:tcW w:w="6585" w:type="dxa"/>
            <w:noWrap w:val="0"/>
            <w:vAlign w:val="center"/>
          </w:tcPr>
          <w:p>
            <w:pPr>
              <w:keepNext/>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简单分析</w:t>
            </w:r>
          </w:p>
        </w:tc>
      </w:tr>
    </w:tbl>
    <w:p>
      <w:pPr>
        <w:adjustRightInd/>
        <w:snapToGrid/>
        <w:spacing w:line="360" w:lineRule="auto"/>
        <w:ind w:firstLine="480" w:firstLineChars="200"/>
        <w:jc w:val="both"/>
        <w:rPr>
          <w:rFonts w:hint="default" w:ascii="Times New Roman" w:hAnsi="Times New Roman" w:cs="Times New Roman"/>
          <w:color w:val="auto"/>
          <w:sz w:val="24"/>
          <w:szCs w:val="24"/>
          <w:u w:val="none" w:color="auto"/>
        </w:rPr>
      </w:pPr>
    </w:p>
    <w:p>
      <w:pPr>
        <w:rPr>
          <w:rFonts w:hint="default" w:ascii="Times New Roman" w:hAnsi="Times New Roman" w:cs="Times New Roman"/>
          <w:color w:val="auto"/>
          <w:sz w:val="24"/>
          <w:szCs w:val="24"/>
          <w:u w:val="none" w:color="auto"/>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12"/>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u w:val="none" w:color="auto"/>
          <w:lang w:val="en-US" w:eastAsia="zh-CN" w:bidi="ar-SA"/>
        </w:rPr>
      </w:pPr>
      <w:bookmarkStart w:id="125" w:name="_Toc25359"/>
      <w:r>
        <w:rPr>
          <w:rFonts w:hint="default" w:ascii="Times New Roman" w:hAnsi="Times New Roman" w:eastAsia="宋体" w:cs="Times New Roman"/>
          <w:b/>
          <w:bCs/>
          <w:color w:val="auto"/>
          <w:kern w:val="44"/>
          <w:sz w:val="36"/>
          <w:szCs w:val="44"/>
          <w:u w:val="none" w:color="auto"/>
          <w:lang w:val="zh-CN" w:eastAsia="zh-CN" w:bidi="ar-SA"/>
        </w:rPr>
        <w:t>风险识别</w:t>
      </w:r>
      <w:bookmarkEnd w:id="125"/>
    </w:p>
    <w:p>
      <w:pPr>
        <w:widowControl w:val="0"/>
        <w:bidi w:val="0"/>
        <w:spacing w:line="360" w:lineRule="auto"/>
        <w:ind w:left="0" w:firstLine="0"/>
        <w:jc w:val="both"/>
        <w:outlineLvl w:val="1"/>
        <w:rPr>
          <w:rFonts w:hint="default" w:ascii="Times New Roman" w:hAnsi="Times New Roman" w:eastAsia="宋体" w:cs="Times New Roman"/>
          <w:b/>
          <w:bCs w:val="0"/>
          <w:color w:val="auto"/>
          <w:kern w:val="36"/>
          <w:sz w:val="24"/>
          <w:szCs w:val="24"/>
          <w:u w:val="none" w:color="auto"/>
          <w:lang w:val="zh-CN" w:eastAsia="zh-CN" w:bidi="ar-SA"/>
        </w:rPr>
      </w:pPr>
      <w:bookmarkStart w:id="126" w:name="6.5.1_事故资料统计"/>
      <w:bookmarkEnd w:id="126"/>
      <w:bookmarkStart w:id="127" w:name="_Toc22266"/>
      <w:r>
        <w:rPr>
          <w:rFonts w:hint="default" w:ascii="Times New Roman" w:hAnsi="Times New Roman" w:eastAsia="宋体" w:cs="Times New Roman"/>
          <w:b/>
          <w:bCs w:val="0"/>
          <w:color w:val="auto"/>
          <w:kern w:val="36"/>
          <w:sz w:val="24"/>
          <w:szCs w:val="24"/>
          <w:u w:val="none" w:color="auto"/>
          <w:lang w:val="en-US" w:eastAsia="zh-CN" w:bidi="ar-SA"/>
        </w:rPr>
        <w:t>3.1</w:t>
      </w:r>
      <w:r>
        <w:rPr>
          <w:rFonts w:hint="default" w:ascii="Times New Roman" w:hAnsi="Times New Roman" w:eastAsia="宋体" w:cs="Times New Roman"/>
          <w:b/>
          <w:bCs w:val="0"/>
          <w:color w:val="auto"/>
          <w:kern w:val="36"/>
          <w:sz w:val="24"/>
          <w:szCs w:val="24"/>
          <w:u w:val="none" w:color="auto"/>
          <w:lang w:val="zh-CN" w:eastAsia="zh-CN" w:bidi="ar-SA"/>
        </w:rPr>
        <w:t>物质危险性识别</w:t>
      </w:r>
      <w:bookmarkEnd w:id="127"/>
    </w:p>
    <w:p>
      <w:pPr>
        <w:spacing w:line="360" w:lineRule="auto"/>
        <w:ind w:firstLine="480" w:firstLineChars="200"/>
        <w:rPr>
          <w:rFonts w:hint="default" w:ascii="Times New Roman" w:hAnsi="Times New Roman" w:eastAsia="宋体" w:cs="Times New Roman"/>
          <w:color w:val="auto"/>
          <w:kern w:val="28"/>
          <w:sz w:val="24"/>
          <w:szCs w:val="24"/>
          <w:u w:val="none" w:color="auto"/>
          <w:lang w:val="zh-CN"/>
        </w:rPr>
      </w:pPr>
      <w:r>
        <w:rPr>
          <w:rFonts w:hint="default" w:ascii="Times New Roman" w:hAnsi="Times New Roman" w:eastAsia="宋体" w:cs="Times New Roman"/>
          <w:color w:val="auto"/>
          <w:kern w:val="28"/>
          <w:sz w:val="24"/>
          <w:szCs w:val="24"/>
          <w:u w:val="none" w:color="auto"/>
          <w:lang w:val="zh-CN"/>
        </w:rPr>
        <w:t>根据《建设项目环境风险评价技术导则》（HJ169-2018）附录B，项目主要原辅材料及产品理化性质及危险性具体见表</w:t>
      </w:r>
      <w:r>
        <w:rPr>
          <w:rFonts w:hint="default" w:ascii="Times New Roman" w:hAnsi="Times New Roman" w:cs="Times New Roman"/>
          <w:color w:val="auto"/>
          <w:kern w:val="28"/>
          <w:sz w:val="24"/>
          <w:szCs w:val="24"/>
          <w:u w:val="none" w:color="auto"/>
          <w:lang w:val="en-US" w:eastAsia="zh-CN"/>
        </w:rPr>
        <w:t>3.1-1</w:t>
      </w:r>
      <w:r>
        <w:rPr>
          <w:rFonts w:hint="default" w:ascii="Times New Roman" w:hAnsi="Times New Roman" w:eastAsia="宋体" w:cs="Times New Roman"/>
          <w:color w:val="auto"/>
          <w:kern w:val="28"/>
          <w:sz w:val="24"/>
          <w:szCs w:val="24"/>
          <w:u w:val="none" w:color="auto"/>
          <w:lang w:val="zh-CN"/>
        </w:rPr>
        <w:t>。</w:t>
      </w:r>
    </w:p>
    <w:p>
      <w:pPr>
        <w:widowControl w:val="0"/>
        <w:spacing w:line="320" w:lineRule="exact"/>
        <w:ind w:firstLine="0" w:firstLineChars="0"/>
        <w:jc w:val="center"/>
        <w:rPr>
          <w:rFonts w:hint="default" w:ascii="Times New Roman" w:hAnsi="Times New Roman" w:eastAsia="宋体" w:cs="Times New Roman"/>
          <w:b/>
          <w:strike w:val="0"/>
          <w:dstrike w:val="0"/>
          <w:color w:val="auto"/>
          <w:kern w:val="2"/>
          <w:sz w:val="24"/>
          <w:szCs w:val="24"/>
          <w:u w:val="single" w:color="auto"/>
          <w:lang w:val="zh-CN" w:eastAsia="zh-CN" w:bidi="ar-SA"/>
        </w:rPr>
      </w:pPr>
      <w:r>
        <w:rPr>
          <w:rFonts w:hint="default" w:ascii="Times New Roman" w:hAnsi="Times New Roman" w:eastAsia="宋体" w:cs="Times New Roman"/>
          <w:b/>
          <w:strike w:val="0"/>
          <w:dstrike w:val="0"/>
          <w:color w:val="auto"/>
          <w:kern w:val="2"/>
          <w:sz w:val="24"/>
          <w:szCs w:val="24"/>
          <w:u w:val="single" w:color="auto"/>
          <w:lang w:val="zh-CN" w:eastAsia="zh-CN" w:bidi="ar-SA"/>
        </w:rPr>
        <w:t>表</w:t>
      </w:r>
      <w:r>
        <w:rPr>
          <w:rFonts w:hint="default" w:ascii="Times New Roman" w:hAnsi="Times New Roman" w:cs="Times New Roman"/>
          <w:b/>
          <w:strike w:val="0"/>
          <w:dstrike w:val="0"/>
          <w:color w:val="auto"/>
          <w:kern w:val="2"/>
          <w:sz w:val="24"/>
          <w:szCs w:val="24"/>
          <w:u w:val="single" w:color="auto"/>
          <w:lang w:val="en-US" w:eastAsia="zh-CN" w:bidi="ar-SA"/>
        </w:rPr>
        <w:t>3.1-1</w:t>
      </w:r>
      <w:r>
        <w:rPr>
          <w:rFonts w:hint="default" w:ascii="Times New Roman" w:hAnsi="Times New Roman" w:eastAsia="宋体" w:cs="Times New Roman"/>
          <w:b/>
          <w:strike w:val="0"/>
          <w:dstrike w:val="0"/>
          <w:color w:val="auto"/>
          <w:kern w:val="2"/>
          <w:sz w:val="24"/>
          <w:szCs w:val="24"/>
          <w:u w:val="single" w:color="auto"/>
          <w:lang w:val="zh-CN" w:eastAsia="zh-CN" w:bidi="ar-SA"/>
        </w:rPr>
        <w:t>主要风险物质毒理特性表</w:t>
      </w:r>
    </w:p>
    <w:tbl>
      <w:tblPr>
        <w:tblStyle w:val="92"/>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1474"/>
        <w:gridCol w:w="68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7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序号</w:t>
            </w:r>
          </w:p>
        </w:tc>
        <w:tc>
          <w:tcPr>
            <w:tcW w:w="136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名称</w:t>
            </w:r>
          </w:p>
        </w:tc>
        <w:tc>
          <w:tcPr>
            <w:tcW w:w="6363"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bidi="ar-SA"/>
              </w:rPr>
              <w:t>理化性质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7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1</w:t>
            </w:r>
          </w:p>
        </w:tc>
        <w:tc>
          <w:tcPr>
            <w:tcW w:w="136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lang w:val="en-US" w:eastAsia="zh-CN" w:bidi="ar-SA"/>
              </w:rPr>
              <w:t>9</w:t>
            </w: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%硫酸</w:t>
            </w:r>
          </w:p>
        </w:tc>
        <w:tc>
          <w:tcPr>
            <w:tcW w:w="6363" w:type="dxa"/>
            <w:noWrap w:val="0"/>
            <w:vAlign w:val="center"/>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急性毒性:LD</w:t>
            </w:r>
            <w:r>
              <w:rPr>
                <w:rFonts w:hint="default" w:ascii="Times New Roman" w:hAnsi="Times New Roman" w:eastAsia="宋体" w:cs="Times New Roman"/>
                <w:color w:val="auto"/>
                <w:kern w:val="0"/>
                <w:sz w:val="21"/>
                <w:szCs w:val="21"/>
                <w:u w:val="none" w:color="auto"/>
                <w:vertAlign w:val="subscript"/>
                <w:lang w:val="en-US" w:eastAsia="zh-CN" w:bidi="ar-SA"/>
              </w:rPr>
              <w:t>50</w:t>
            </w:r>
            <w:r>
              <w:rPr>
                <w:rFonts w:hint="default" w:ascii="Times New Roman" w:hAnsi="Times New Roman" w:eastAsia="宋体" w:cs="Times New Roman"/>
                <w:color w:val="auto"/>
                <w:kern w:val="0"/>
                <w:sz w:val="21"/>
                <w:szCs w:val="21"/>
                <w:u w:val="none" w:color="auto"/>
                <w:lang w:val="en-US" w:eastAsia="zh-CN" w:bidi="ar-SA"/>
              </w:rPr>
              <w:t>2140mg/kg(大鼠经口；LC</w:t>
            </w:r>
            <w:r>
              <w:rPr>
                <w:rFonts w:hint="default" w:ascii="Times New Roman" w:hAnsi="Times New Roman" w:eastAsia="宋体" w:cs="Times New Roman"/>
                <w:color w:val="auto"/>
                <w:kern w:val="0"/>
                <w:sz w:val="21"/>
                <w:szCs w:val="21"/>
                <w:u w:val="none" w:color="auto"/>
                <w:vertAlign w:val="subscript"/>
                <w:lang w:val="en-US" w:eastAsia="zh-CN" w:bidi="ar-SA"/>
              </w:rPr>
              <w:t>50</w:t>
            </w:r>
            <w:r>
              <w:rPr>
                <w:rFonts w:hint="default" w:ascii="Times New Roman" w:hAnsi="Times New Roman" w:eastAsia="宋体" w:cs="Times New Roman"/>
                <w:color w:val="auto"/>
                <w:kern w:val="0"/>
                <w:sz w:val="21"/>
                <w:szCs w:val="21"/>
                <w:u w:val="none" w:color="auto"/>
                <w:lang w:val="en-US" w:eastAsia="zh-CN" w:bidi="ar-SA"/>
              </w:rPr>
              <w:t>510mg/m</w:t>
            </w:r>
            <w:r>
              <w:rPr>
                <w:rFonts w:hint="default" w:ascii="Times New Roman" w:hAnsi="Times New Roman" w:eastAsia="宋体" w:cs="Times New Roman"/>
                <w:color w:val="auto"/>
                <w:kern w:val="0"/>
                <w:sz w:val="21"/>
                <w:szCs w:val="21"/>
                <w:u w:val="none" w:color="auto"/>
                <w:vertAlign w:val="superscript"/>
                <w:lang w:val="en-US" w:eastAsia="zh-CN" w:bidi="ar-SA"/>
              </w:rPr>
              <w:t>3</w:t>
            </w:r>
            <w:r>
              <w:rPr>
                <w:rFonts w:hint="default" w:ascii="Times New Roman" w:hAnsi="Times New Roman" w:eastAsia="宋体" w:cs="Times New Roman"/>
                <w:color w:val="auto"/>
                <w:kern w:val="0"/>
                <w:sz w:val="21"/>
                <w:szCs w:val="21"/>
                <w:u w:val="none" w:color="auto"/>
                <w:lang w:val="en-US" w:eastAsia="zh-CN" w:bidi="ar-SA"/>
              </w:rPr>
              <w:t>，2小时(大鼠吸入);320mg/m</w:t>
            </w:r>
            <w:r>
              <w:rPr>
                <w:rFonts w:hint="default" w:ascii="Times New Roman" w:hAnsi="Times New Roman" w:eastAsia="宋体" w:cs="Times New Roman"/>
                <w:color w:val="auto"/>
                <w:kern w:val="0"/>
                <w:sz w:val="21"/>
                <w:szCs w:val="21"/>
                <w:u w:val="none" w:color="auto"/>
                <w:vertAlign w:val="superscript"/>
                <w:lang w:val="en-US" w:eastAsia="zh-CN" w:bidi="ar-SA"/>
              </w:rPr>
              <w:t>3</w:t>
            </w:r>
            <w:r>
              <w:rPr>
                <w:rFonts w:hint="default" w:ascii="Times New Roman" w:hAnsi="Times New Roman" w:eastAsia="宋体" w:cs="Times New Roman"/>
                <w:color w:val="auto"/>
                <w:kern w:val="0"/>
                <w:sz w:val="21"/>
                <w:szCs w:val="21"/>
                <w:u w:val="none" w:color="auto"/>
                <w:lang w:val="en-US" w:eastAsia="zh-CN" w:bidi="ar-SA"/>
              </w:rPr>
              <w:t>，2小时(小鼠吸入)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7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2</w:t>
            </w:r>
          </w:p>
        </w:tc>
        <w:tc>
          <w:tcPr>
            <w:tcW w:w="136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氨气（液氨）</w:t>
            </w:r>
          </w:p>
        </w:tc>
        <w:tc>
          <w:tcPr>
            <w:tcW w:w="6363" w:type="dxa"/>
            <w:noWrap w:val="0"/>
            <w:vAlign w:val="center"/>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LD</w:t>
            </w:r>
            <w:r>
              <w:rPr>
                <w:rFonts w:hint="default" w:ascii="Times New Roman" w:hAnsi="Times New Roman" w:eastAsia="宋体" w:cs="Times New Roman"/>
                <w:color w:val="auto"/>
                <w:kern w:val="0"/>
                <w:sz w:val="21"/>
                <w:szCs w:val="21"/>
                <w:u w:val="none" w:color="auto"/>
                <w:vertAlign w:val="subscript"/>
                <w:lang w:val="en-US" w:eastAsia="zh-CN" w:bidi="ar-SA"/>
              </w:rPr>
              <w:t>50</w:t>
            </w:r>
            <w:r>
              <w:rPr>
                <w:rFonts w:hint="default" w:ascii="Times New Roman" w:hAnsi="Times New Roman" w:eastAsia="宋体" w:cs="Times New Roman"/>
                <w:color w:val="auto"/>
                <w:kern w:val="0"/>
                <w:sz w:val="21"/>
                <w:szCs w:val="21"/>
                <w:u w:val="none" w:color="auto"/>
                <w:lang w:val="en-US" w:eastAsia="zh-CN" w:bidi="ar-SA"/>
              </w:rPr>
              <w:t>350mg/kg（大鼠经口）；LC</w:t>
            </w:r>
            <w:r>
              <w:rPr>
                <w:rFonts w:hint="default" w:ascii="Times New Roman" w:hAnsi="Times New Roman" w:eastAsia="宋体" w:cs="Times New Roman"/>
                <w:color w:val="auto"/>
                <w:kern w:val="0"/>
                <w:sz w:val="21"/>
                <w:szCs w:val="21"/>
                <w:u w:val="none" w:color="auto"/>
                <w:vertAlign w:val="subscript"/>
                <w:lang w:val="en-US" w:eastAsia="zh-CN" w:bidi="ar-SA"/>
              </w:rPr>
              <w:t>50</w:t>
            </w:r>
            <w:r>
              <w:rPr>
                <w:rFonts w:hint="default" w:ascii="Times New Roman" w:hAnsi="Times New Roman" w:eastAsia="宋体" w:cs="Times New Roman"/>
                <w:color w:val="auto"/>
                <w:kern w:val="0"/>
                <w:sz w:val="21"/>
                <w:szCs w:val="21"/>
                <w:u w:val="none" w:color="auto"/>
                <w:lang w:val="en-US" w:eastAsia="zh-CN" w:bidi="ar-SA"/>
              </w:rPr>
              <w:t>1390mg/m</w:t>
            </w:r>
            <w:r>
              <w:rPr>
                <w:rFonts w:hint="default" w:ascii="Times New Roman" w:hAnsi="Times New Roman" w:eastAsia="宋体" w:cs="Times New Roman"/>
                <w:color w:val="auto"/>
                <w:kern w:val="0"/>
                <w:sz w:val="21"/>
                <w:szCs w:val="21"/>
                <w:u w:val="none" w:color="auto"/>
                <w:vertAlign w:val="superscript"/>
                <w:lang w:val="en-US" w:eastAsia="zh-CN" w:bidi="ar-SA"/>
              </w:rPr>
              <w:t>3</w:t>
            </w:r>
            <w:r>
              <w:rPr>
                <w:rFonts w:hint="default" w:ascii="Times New Roman" w:hAnsi="Times New Roman" w:eastAsia="宋体" w:cs="Times New Roman"/>
                <w:color w:val="auto"/>
                <w:kern w:val="0"/>
                <w:sz w:val="21"/>
                <w:szCs w:val="21"/>
                <w:u w:val="none" w:color="auto"/>
                <w:lang w:val="en-US" w:eastAsia="zh-CN" w:bidi="ar-SA"/>
              </w:rPr>
              <w:t>，4小时，(大鼠吸入)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72"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bookmarkStart w:id="128" w:name="_Toc9299"/>
            <w:bookmarkStart w:id="129" w:name="_Toc8771"/>
            <w:bookmarkStart w:id="130" w:name="_Toc7970"/>
            <w:bookmarkStart w:id="131" w:name="_Toc9995"/>
            <w:bookmarkStart w:id="132" w:name="_Toc30385"/>
            <w:r>
              <w:rPr>
                <w:rFonts w:hint="eastAsia" w:cs="Times New Roman"/>
                <w:color w:val="auto"/>
                <w:kern w:val="0"/>
                <w:sz w:val="21"/>
                <w:szCs w:val="21"/>
                <w:u w:val="none" w:color="auto"/>
                <w:lang w:val="en-US" w:eastAsia="zh-CN" w:bidi="ar-SA"/>
              </w:rPr>
              <w:t>3</w:t>
            </w:r>
          </w:p>
        </w:tc>
        <w:tc>
          <w:tcPr>
            <w:tcW w:w="1364" w:type="dxa"/>
            <w:noWrap w:val="0"/>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润滑油</w:t>
            </w:r>
          </w:p>
        </w:tc>
        <w:tc>
          <w:tcPr>
            <w:tcW w:w="6363" w:type="dxa"/>
            <w:noWrap w:val="0"/>
            <w:vAlign w:val="center"/>
          </w:tcPr>
          <w:p>
            <w:pPr>
              <w:widowControl w:val="0"/>
              <w:wordWrap w:val="0"/>
              <w:snapToGrid w:val="0"/>
              <w:spacing w:line="240" w:lineRule="auto"/>
              <w:ind w:firstLine="0" w:firstLineChars="0"/>
              <w:jc w:val="left"/>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液态，可燃，闪点(℃)：76，引燃温度(℃)： 248</w:t>
            </w:r>
          </w:p>
        </w:tc>
      </w:tr>
    </w:tbl>
    <w:p>
      <w:pPr>
        <w:widowControl w:val="0"/>
        <w:bidi w:val="0"/>
        <w:spacing w:line="360" w:lineRule="auto"/>
        <w:ind w:left="0" w:firstLine="0"/>
        <w:jc w:val="both"/>
        <w:outlineLvl w:val="1"/>
        <w:rPr>
          <w:rFonts w:hint="default" w:ascii="Times New Roman" w:hAnsi="Times New Roman" w:eastAsia="宋体" w:cs="Times New Roman"/>
          <w:b/>
          <w:bCs w:val="0"/>
          <w:color w:val="auto"/>
          <w:kern w:val="36"/>
          <w:sz w:val="24"/>
          <w:szCs w:val="24"/>
          <w:u w:val="none" w:color="auto"/>
          <w:lang w:val="zh-CN" w:eastAsia="zh-CN" w:bidi="ar-SA"/>
        </w:rPr>
      </w:pPr>
      <w:r>
        <w:rPr>
          <w:rFonts w:hint="default" w:ascii="Times New Roman" w:hAnsi="Times New Roman" w:eastAsia="宋体" w:cs="Times New Roman"/>
          <w:b/>
          <w:bCs w:val="0"/>
          <w:color w:val="auto"/>
          <w:kern w:val="36"/>
          <w:sz w:val="24"/>
          <w:szCs w:val="24"/>
          <w:u w:val="none" w:color="auto"/>
          <w:lang w:val="en-US" w:eastAsia="zh-CN" w:bidi="ar-SA"/>
        </w:rPr>
        <w:t>3.2.</w:t>
      </w:r>
      <w:bookmarkEnd w:id="128"/>
      <w:bookmarkEnd w:id="129"/>
      <w:bookmarkEnd w:id="130"/>
      <w:bookmarkEnd w:id="131"/>
      <w:bookmarkEnd w:id="132"/>
      <w:bookmarkStart w:id="133" w:name="_Toc5484"/>
      <w:r>
        <w:rPr>
          <w:rFonts w:hint="default" w:ascii="Times New Roman" w:hAnsi="Times New Roman" w:eastAsia="宋体" w:cs="Times New Roman"/>
          <w:b/>
          <w:bCs w:val="0"/>
          <w:color w:val="auto"/>
          <w:kern w:val="36"/>
          <w:sz w:val="24"/>
          <w:szCs w:val="24"/>
          <w:u w:val="none" w:color="auto"/>
          <w:lang w:val="zh-CN" w:eastAsia="zh-CN" w:bidi="ar-SA"/>
        </w:rPr>
        <w:t>生产系统危险性识别</w:t>
      </w:r>
      <w:bookmarkEnd w:id="133"/>
    </w:p>
    <w:p>
      <w:pPr>
        <w:spacing w:line="360" w:lineRule="auto"/>
        <w:ind w:firstLine="480" w:firstLineChars="200"/>
        <w:rPr>
          <w:rFonts w:hint="default" w:ascii="Times New Roman" w:hAnsi="Times New Roman" w:eastAsia="宋体" w:cs="Times New Roman"/>
          <w:color w:val="auto"/>
          <w:kern w:val="28"/>
          <w:sz w:val="24"/>
          <w:szCs w:val="24"/>
          <w:u w:val="none" w:color="auto"/>
          <w:lang w:val="zh-CN"/>
        </w:rPr>
      </w:pPr>
      <w:r>
        <w:rPr>
          <w:rFonts w:hint="default" w:ascii="Times New Roman" w:hAnsi="Times New Roman" w:eastAsia="宋体" w:cs="Times New Roman"/>
          <w:color w:val="auto"/>
          <w:kern w:val="28"/>
          <w:sz w:val="24"/>
          <w:szCs w:val="24"/>
          <w:u w:val="none" w:color="auto"/>
          <w:lang w:val="zh-CN"/>
        </w:rPr>
        <w:t>根据《建设项目环境风险评价技术导则》（HJ169-2018），生产系统危险性识别范围：主要生产装置、储运设施、公用工程和辅助生产设施，以及环境保护设施等。</w:t>
      </w:r>
    </w:p>
    <w:p>
      <w:pPr>
        <w:spacing w:line="360" w:lineRule="auto"/>
        <w:ind w:firstLine="480" w:firstLineChars="200"/>
        <w:rPr>
          <w:rFonts w:hint="default" w:ascii="Times New Roman" w:hAnsi="Times New Roman" w:eastAsia="宋体" w:cs="Times New Roman"/>
          <w:color w:val="auto"/>
          <w:kern w:val="28"/>
          <w:sz w:val="24"/>
          <w:szCs w:val="24"/>
          <w:u w:val="single" w:color="auto"/>
          <w:lang w:val="zh-CN"/>
        </w:rPr>
      </w:pPr>
      <w:r>
        <w:rPr>
          <w:rFonts w:hint="default" w:ascii="Times New Roman" w:hAnsi="Times New Roman" w:eastAsia="宋体" w:cs="Times New Roman"/>
          <w:color w:val="auto"/>
          <w:kern w:val="28"/>
          <w:sz w:val="24"/>
          <w:szCs w:val="24"/>
          <w:u w:val="single" w:color="auto"/>
          <w:lang w:val="zh-CN"/>
        </w:rPr>
        <w:t>（1）存储设施风险识别</w:t>
      </w:r>
    </w:p>
    <w:p>
      <w:pPr>
        <w:spacing w:line="360" w:lineRule="auto"/>
        <w:ind w:firstLine="480" w:firstLineChars="200"/>
        <w:rPr>
          <w:rFonts w:hint="default" w:ascii="Times New Roman" w:hAnsi="Times New Roman" w:eastAsia="宋体" w:cs="Times New Roman"/>
          <w:color w:val="auto"/>
          <w:kern w:val="28"/>
          <w:sz w:val="24"/>
          <w:szCs w:val="24"/>
          <w:u w:val="single" w:color="auto"/>
          <w:lang w:val="zh-CN"/>
        </w:rPr>
      </w:pPr>
      <w:r>
        <w:rPr>
          <w:rFonts w:hint="default" w:ascii="Times New Roman" w:hAnsi="Times New Roman" w:cs="Times New Roman"/>
          <w:color w:val="auto"/>
          <w:kern w:val="28"/>
          <w:sz w:val="24"/>
          <w:szCs w:val="24"/>
          <w:u w:val="single" w:color="auto"/>
          <w:lang w:val="zh-CN"/>
        </w:rPr>
        <w:t>本次</w:t>
      </w:r>
      <w:r>
        <w:rPr>
          <w:rFonts w:hint="eastAsia" w:ascii="Times New Roman" w:hAnsi="Times New Roman" w:cs="Times New Roman"/>
          <w:color w:val="auto"/>
          <w:kern w:val="28"/>
          <w:sz w:val="24"/>
          <w:szCs w:val="24"/>
          <w:u w:val="single" w:color="auto"/>
          <w:lang w:val="zh-CN"/>
        </w:rPr>
        <w:t>改扩建</w:t>
      </w:r>
      <w:r>
        <w:rPr>
          <w:rFonts w:hint="default" w:ascii="Times New Roman" w:hAnsi="Times New Roman" w:cs="Times New Roman"/>
          <w:color w:val="auto"/>
          <w:kern w:val="28"/>
          <w:sz w:val="24"/>
          <w:szCs w:val="24"/>
          <w:u w:val="single" w:color="auto"/>
          <w:lang w:val="zh-CN"/>
        </w:rPr>
        <w:t>项目的</w:t>
      </w:r>
      <w:r>
        <w:rPr>
          <w:rFonts w:hint="default" w:ascii="Times New Roman" w:hAnsi="Times New Roman" w:cs="Times New Roman"/>
          <w:color w:val="auto"/>
          <w:kern w:val="28"/>
          <w:sz w:val="24"/>
          <w:szCs w:val="24"/>
          <w:u w:val="single" w:color="auto"/>
          <w:lang w:val="en-US" w:eastAsia="zh-CN"/>
        </w:rPr>
        <w:t>1#生产厂房内</w:t>
      </w:r>
      <w:r>
        <w:rPr>
          <w:rFonts w:hint="eastAsia" w:cs="Times New Roman"/>
          <w:color w:val="auto"/>
          <w:kern w:val="28"/>
          <w:sz w:val="24"/>
          <w:szCs w:val="24"/>
          <w:u w:val="single" w:color="auto"/>
          <w:lang w:val="en-US" w:eastAsia="zh-CN"/>
        </w:rPr>
        <w:t>西侧</w:t>
      </w:r>
      <w:r>
        <w:rPr>
          <w:rFonts w:hint="default" w:ascii="Times New Roman" w:hAnsi="Times New Roman" w:cs="Times New Roman"/>
          <w:color w:val="auto"/>
          <w:kern w:val="28"/>
          <w:sz w:val="24"/>
          <w:szCs w:val="24"/>
          <w:u w:val="single" w:color="auto"/>
          <w:lang w:val="zh-CN"/>
        </w:rPr>
        <w:t>设</w:t>
      </w:r>
      <w:r>
        <w:rPr>
          <w:rFonts w:hint="default" w:ascii="Times New Roman" w:hAnsi="Times New Roman" w:eastAsia="宋体" w:cs="Times New Roman"/>
          <w:color w:val="auto"/>
          <w:sz w:val="24"/>
          <w:szCs w:val="24"/>
          <w:highlight w:val="none"/>
          <w:u w:val="single" w:color="auto"/>
          <w:lang w:val="en-US" w:eastAsia="zh-CN" w:bidi="ar"/>
        </w:rPr>
        <w:t>1</w:t>
      </w:r>
      <w:r>
        <w:rPr>
          <w:rFonts w:hint="default" w:ascii="Times New Roman" w:hAnsi="Times New Roman" w:eastAsia="宋体" w:cs="Times New Roman"/>
          <w:color w:val="auto"/>
          <w:sz w:val="24"/>
          <w:szCs w:val="24"/>
          <w:highlight w:val="none"/>
          <w:u w:val="single" w:color="auto"/>
          <w:lang w:bidi="ar"/>
        </w:rPr>
        <w:t>个</w:t>
      </w:r>
      <w:r>
        <w:rPr>
          <w:rFonts w:hint="default" w:ascii="Times New Roman" w:hAnsi="Times New Roman" w:cs="Times New Roman"/>
          <w:color w:val="auto"/>
          <w:sz w:val="24"/>
          <w:szCs w:val="24"/>
          <w:highlight w:val="none"/>
          <w:u w:val="single" w:color="auto"/>
          <w:lang w:val="en-US" w:eastAsia="zh-CN" w:bidi="ar"/>
        </w:rPr>
        <w:t>20</w:t>
      </w:r>
      <w:r>
        <w:rPr>
          <w:rFonts w:hint="default" w:ascii="Times New Roman" w:hAnsi="Times New Roman" w:eastAsia="宋体" w:cs="Times New Roman"/>
          <w:color w:val="auto"/>
          <w:sz w:val="24"/>
          <w:szCs w:val="24"/>
          <w:highlight w:val="none"/>
          <w:u w:val="single" w:color="auto"/>
          <w:lang w:bidi="ar"/>
        </w:rPr>
        <w:t>m</w:t>
      </w:r>
      <w:r>
        <w:rPr>
          <w:rFonts w:hint="default" w:ascii="Times New Roman" w:hAnsi="Times New Roman" w:eastAsia="宋体" w:cs="Times New Roman"/>
          <w:color w:val="auto"/>
          <w:sz w:val="24"/>
          <w:szCs w:val="24"/>
          <w:highlight w:val="none"/>
          <w:u w:val="single" w:color="auto"/>
          <w:vertAlign w:val="superscript"/>
          <w:lang w:bidi="ar"/>
        </w:rPr>
        <w:t>3</w:t>
      </w:r>
      <w:r>
        <w:rPr>
          <w:rFonts w:hint="default" w:ascii="Times New Roman" w:hAnsi="Times New Roman" w:eastAsia="宋体" w:cs="Times New Roman"/>
          <w:color w:val="auto"/>
          <w:sz w:val="24"/>
          <w:szCs w:val="24"/>
          <w:highlight w:val="none"/>
          <w:u w:val="single" w:color="auto"/>
          <w:lang w:bidi="ar"/>
        </w:rPr>
        <w:t>硫酸储罐</w:t>
      </w:r>
      <w:r>
        <w:rPr>
          <w:rFonts w:hint="eastAsia" w:cs="Times New Roman"/>
          <w:color w:val="auto"/>
          <w:sz w:val="24"/>
          <w:szCs w:val="24"/>
          <w:highlight w:val="none"/>
          <w:u w:val="single" w:color="auto"/>
          <w:lang w:eastAsia="zh-CN" w:bidi="ar"/>
        </w:rPr>
        <w:t>和</w:t>
      </w:r>
      <w:r>
        <w:rPr>
          <w:rFonts w:hint="eastAsia" w:cs="Times New Roman"/>
          <w:color w:val="auto"/>
          <w:sz w:val="24"/>
          <w:szCs w:val="24"/>
          <w:highlight w:val="none"/>
          <w:u w:val="single" w:color="auto"/>
          <w:lang w:val="en-US" w:eastAsia="zh-CN" w:bidi="ar"/>
        </w:rPr>
        <w:t>1个6</w:t>
      </w:r>
      <w:r>
        <w:rPr>
          <w:rFonts w:hint="default" w:ascii="Times New Roman" w:hAnsi="Times New Roman" w:eastAsia="宋体" w:cs="Times New Roman"/>
          <w:color w:val="auto"/>
          <w:sz w:val="24"/>
          <w:szCs w:val="24"/>
          <w:highlight w:val="none"/>
          <w:u w:val="single" w:color="auto"/>
          <w:lang w:bidi="ar"/>
        </w:rPr>
        <w:t>m</w:t>
      </w:r>
      <w:r>
        <w:rPr>
          <w:rFonts w:hint="default" w:ascii="Times New Roman" w:hAnsi="Times New Roman" w:eastAsia="宋体" w:cs="Times New Roman"/>
          <w:color w:val="auto"/>
          <w:sz w:val="24"/>
          <w:szCs w:val="24"/>
          <w:highlight w:val="none"/>
          <w:u w:val="single" w:color="auto"/>
          <w:vertAlign w:val="superscript"/>
          <w:lang w:bidi="ar"/>
        </w:rPr>
        <w:t>3</w:t>
      </w:r>
      <w:r>
        <w:rPr>
          <w:rFonts w:hint="eastAsia" w:cs="Times New Roman"/>
          <w:color w:val="auto"/>
          <w:sz w:val="24"/>
          <w:szCs w:val="24"/>
          <w:highlight w:val="none"/>
          <w:u w:val="single" w:color="auto"/>
          <w:lang w:val="en-US" w:eastAsia="zh-CN" w:bidi="ar"/>
        </w:rPr>
        <w:t>高位罐</w:t>
      </w:r>
      <w:r>
        <w:rPr>
          <w:rFonts w:hint="default" w:ascii="Times New Roman" w:hAnsi="Times New Roman" w:eastAsia="宋体" w:cs="Times New Roman"/>
          <w:color w:val="auto"/>
          <w:sz w:val="24"/>
          <w:szCs w:val="24"/>
          <w:highlight w:val="none"/>
          <w:u w:val="single" w:color="auto"/>
          <w:lang w:eastAsia="zh-CN" w:bidi="ar"/>
        </w:rPr>
        <w:t>、</w:t>
      </w:r>
      <w:r>
        <w:rPr>
          <w:rFonts w:hint="default" w:ascii="Times New Roman" w:hAnsi="Times New Roman" w:cs="Times New Roman"/>
          <w:color w:val="auto"/>
          <w:sz w:val="24"/>
          <w:szCs w:val="24"/>
          <w:highlight w:val="none"/>
          <w:u w:val="single" w:color="auto"/>
          <w:lang w:val="en-US" w:eastAsia="zh-CN" w:bidi="ar"/>
        </w:rPr>
        <w:t>1#生产厂房外设2个400kg的液氨储罐</w:t>
      </w:r>
      <w:r>
        <w:rPr>
          <w:rFonts w:hint="default" w:ascii="Times New Roman" w:hAnsi="Times New Roman" w:cs="Times New Roman"/>
          <w:color w:val="auto"/>
          <w:sz w:val="24"/>
          <w:szCs w:val="24"/>
          <w:highlight w:val="none"/>
          <w:u w:val="single" w:color="auto"/>
          <w:lang w:eastAsia="zh-CN" w:bidi="ar"/>
        </w:rPr>
        <w:t>；不锈钢生产线设</w:t>
      </w:r>
      <w:r>
        <w:rPr>
          <w:rFonts w:hint="default" w:ascii="Times New Roman" w:hAnsi="Times New Roman" w:cs="Times New Roman"/>
          <w:color w:val="auto"/>
          <w:sz w:val="24"/>
          <w:szCs w:val="24"/>
          <w:highlight w:val="none"/>
          <w:u w:val="single" w:color="auto"/>
          <w:lang w:val="en-US" w:eastAsia="zh-CN" w:bidi="ar"/>
        </w:rPr>
        <w:t>5座有效容积2.8</w:t>
      </w:r>
      <w:r>
        <w:rPr>
          <w:rFonts w:hint="default" w:ascii="Times New Roman" w:hAnsi="Times New Roman" w:eastAsia="宋体" w:cs="Times New Roman"/>
          <w:color w:val="auto"/>
          <w:sz w:val="24"/>
          <w:szCs w:val="24"/>
          <w:highlight w:val="none"/>
          <w:u w:val="single" w:color="auto"/>
          <w:lang w:bidi="ar"/>
        </w:rPr>
        <w:t>m</w:t>
      </w:r>
      <w:r>
        <w:rPr>
          <w:rFonts w:hint="default" w:ascii="Times New Roman" w:hAnsi="Times New Roman" w:eastAsia="宋体" w:cs="Times New Roman"/>
          <w:color w:val="auto"/>
          <w:sz w:val="24"/>
          <w:szCs w:val="24"/>
          <w:highlight w:val="none"/>
          <w:u w:val="single" w:color="auto"/>
          <w:vertAlign w:val="superscript"/>
          <w:lang w:bidi="ar"/>
        </w:rPr>
        <w:t>3</w:t>
      </w:r>
      <w:r>
        <w:rPr>
          <w:rFonts w:hint="default" w:ascii="Times New Roman" w:hAnsi="Times New Roman" w:cs="Times New Roman"/>
          <w:color w:val="auto"/>
          <w:sz w:val="24"/>
          <w:szCs w:val="24"/>
          <w:highlight w:val="none"/>
          <w:u w:val="single" w:color="auto"/>
          <w:lang w:val="en-US" w:eastAsia="zh-CN" w:bidi="ar"/>
        </w:rPr>
        <w:t>酸电解槽</w:t>
      </w:r>
      <w:r>
        <w:rPr>
          <w:rFonts w:hint="default" w:ascii="Times New Roman" w:hAnsi="Times New Roman" w:cs="Times New Roman"/>
          <w:color w:val="auto"/>
          <w:sz w:val="24"/>
          <w:szCs w:val="24"/>
          <w:highlight w:val="none"/>
          <w:u w:val="single" w:color="auto"/>
          <w:lang w:eastAsia="zh-CN" w:bidi="ar"/>
        </w:rPr>
        <w:t>。</w:t>
      </w:r>
    </w:p>
    <w:p>
      <w:pPr>
        <w:spacing w:line="360" w:lineRule="auto"/>
        <w:ind w:firstLine="480" w:firstLineChars="200"/>
        <w:rPr>
          <w:rFonts w:hint="default" w:ascii="Times New Roman" w:hAnsi="Times New Roman" w:eastAsia="宋体" w:cs="Times New Roman"/>
          <w:color w:val="auto"/>
          <w:kern w:val="28"/>
          <w:sz w:val="24"/>
          <w:szCs w:val="24"/>
          <w:highlight w:val="none"/>
          <w:u w:val="none" w:color="auto"/>
          <w:lang w:val="zh-CN"/>
        </w:rPr>
      </w:pPr>
      <w:r>
        <w:rPr>
          <w:rFonts w:hint="default" w:ascii="Times New Roman" w:hAnsi="Times New Roman" w:eastAsia="宋体" w:cs="Times New Roman"/>
          <w:color w:val="auto"/>
          <w:kern w:val="28"/>
          <w:sz w:val="24"/>
          <w:szCs w:val="24"/>
          <w:highlight w:val="none"/>
          <w:u w:val="none" w:color="auto"/>
          <w:lang w:val="zh-CN"/>
        </w:rPr>
        <w:t>（</w:t>
      </w:r>
      <w:r>
        <w:rPr>
          <w:rFonts w:hint="default" w:ascii="Times New Roman" w:hAnsi="Times New Roman" w:cs="Times New Roman"/>
          <w:color w:val="auto"/>
          <w:kern w:val="28"/>
          <w:sz w:val="24"/>
          <w:szCs w:val="24"/>
          <w:highlight w:val="none"/>
          <w:u w:val="none" w:color="auto"/>
          <w:lang w:val="en-US" w:eastAsia="zh-CN"/>
        </w:rPr>
        <w:t>2</w:t>
      </w:r>
      <w:r>
        <w:rPr>
          <w:rFonts w:hint="default" w:ascii="Times New Roman" w:hAnsi="Times New Roman" w:eastAsia="宋体" w:cs="Times New Roman"/>
          <w:color w:val="auto"/>
          <w:kern w:val="28"/>
          <w:sz w:val="24"/>
          <w:szCs w:val="24"/>
          <w:highlight w:val="none"/>
          <w:u w:val="none" w:color="auto"/>
          <w:lang w:val="zh-CN"/>
        </w:rPr>
        <w:t>）环保设施故障</w:t>
      </w:r>
    </w:p>
    <w:p>
      <w:pPr>
        <w:pStyle w:val="121"/>
        <w:ind w:firstLine="480"/>
        <w:rPr>
          <w:rFonts w:hint="default" w:ascii="Times New Roman" w:hAnsi="Times New Roman" w:cs="Times New Roman"/>
          <w:color w:val="auto"/>
          <w:lang w:val="en-US"/>
        </w:rPr>
      </w:pPr>
      <w:r>
        <w:rPr>
          <w:rFonts w:hint="default" w:ascii="Times New Roman" w:hAnsi="Times New Roman" w:cs="Times New Roman"/>
          <w:bCs/>
          <w:color w:val="auto"/>
          <w:lang w:val="en-US"/>
        </w:rPr>
        <w:t>项目废气处理采用</w:t>
      </w:r>
      <w:r>
        <w:rPr>
          <w:rFonts w:hint="default" w:ascii="Times New Roman" w:hAnsi="Times New Roman" w:cs="Times New Roman"/>
          <w:bCs/>
          <w:color w:val="auto"/>
          <w:lang w:val="en-US" w:eastAsia="zh-CN"/>
        </w:rPr>
        <w:t>碱喷淋装置、</w:t>
      </w:r>
      <w:r>
        <w:rPr>
          <w:rFonts w:hint="default" w:ascii="Times New Roman" w:hAnsi="Times New Roman" w:cs="Times New Roman"/>
          <w:bCs/>
          <w:color w:val="auto"/>
          <w:lang w:val="en-US"/>
        </w:rPr>
        <w:t>布</w:t>
      </w:r>
      <w:r>
        <w:rPr>
          <w:rFonts w:hint="default" w:ascii="Times New Roman" w:hAnsi="Times New Roman" w:cs="Times New Roman"/>
          <w:color w:val="auto"/>
          <w:lang w:val="en-US"/>
        </w:rPr>
        <w:t>袋除尘器进行处理，若废气处理设施不能正常运行，则有可能造成烟气的超标排放。</w:t>
      </w:r>
    </w:p>
    <w:p>
      <w:pPr>
        <w:spacing w:line="360" w:lineRule="auto"/>
        <w:ind w:firstLine="480" w:firstLineChars="200"/>
        <w:rPr>
          <w:rFonts w:hint="default" w:ascii="Times New Roman" w:hAnsi="Times New Roman" w:eastAsia="宋体" w:cs="Times New Roman"/>
          <w:color w:val="auto"/>
          <w:kern w:val="28"/>
          <w:sz w:val="24"/>
          <w:szCs w:val="24"/>
          <w:highlight w:val="none"/>
          <w:u w:val="none" w:color="auto"/>
          <w:lang w:val="zh-CN" w:eastAsia="zh-CN"/>
        </w:rPr>
      </w:pPr>
      <w:r>
        <w:rPr>
          <w:rFonts w:hint="default" w:ascii="Times New Roman" w:hAnsi="Times New Roman" w:eastAsia="宋体" w:cs="Times New Roman"/>
          <w:color w:val="auto"/>
          <w:kern w:val="28"/>
          <w:sz w:val="24"/>
          <w:szCs w:val="24"/>
          <w:highlight w:val="none"/>
          <w:u w:val="none" w:color="auto"/>
          <w:lang w:val="zh-CN"/>
        </w:rPr>
        <w:t>若污水处理设施发生故障，导致不达标废水</w:t>
      </w:r>
      <w:r>
        <w:rPr>
          <w:rFonts w:hint="default" w:ascii="Times New Roman" w:hAnsi="Times New Roman" w:cs="Times New Roman"/>
          <w:color w:val="auto"/>
          <w:kern w:val="28"/>
          <w:sz w:val="24"/>
          <w:szCs w:val="24"/>
          <w:highlight w:val="none"/>
          <w:u w:val="none" w:color="auto"/>
          <w:lang w:val="zh-CN"/>
        </w:rPr>
        <w:t>排入湘阴县第三污水处理厂</w:t>
      </w:r>
      <w:r>
        <w:rPr>
          <w:rFonts w:hint="default" w:ascii="Times New Roman" w:hAnsi="Times New Roman" w:eastAsia="宋体" w:cs="Times New Roman"/>
          <w:color w:val="auto"/>
          <w:kern w:val="28"/>
          <w:sz w:val="24"/>
          <w:szCs w:val="24"/>
          <w:highlight w:val="none"/>
          <w:u w:val="none" w:color="auto"/>
          <w:lang w:val="zh-CN"/>
        </w:rPr>
        <w:t>，对下游</w:t>
      </w:r>
      <w:r>
        <w:rPr>
          <w:rFonts w:hint="default" w:ascii="Times New Roman" w:hAnsi="Times New Roman" w:cs="Times New Roman"/>
          <w:color w:val="auto"/>
          <w:kern w:val="28"/>
          <w:sz w:val="24"/>
          <w:szCs w:val="24"/>
          <w:highlight w:val="none"/>
          <w:u w:val="none" w:color="auto"/>
          <w:lang w:val="zh-CN"/>
        </w:rPr>
        <w:t>湘阴县第三污水处理厂</w:t>
      </w:r>
      <w:r>
        <w:rPr>
          <w:rFonts w:hint="default" w:ascii="Times New Roman" w:hAnsi="Times New Roman" w:eastAsia="宋体" w:cs="Times New Roman"/>
          <w:color w:val="auto"/>
          <w:kern w:val="28"/>
          <w:sz w:val="24"/>
          <w:szCs w:val="24"/>
          <w:highlight w:val="none"/>
          <w:u w:val="none" w:color="auto"/>
          <w:lang w:val="zh-CN"/>
        </w:rPr>
        <w:t>造成冲击，影响洋沙河水质</w:t>
      </w:r>
      <w:r>
        <w:rPr>
          <w:rFonts w:hint="default" w:ascii="Times New Roman" w:hAnsi="Times New Roman" w:eastAsia="宋体" w:cs="Times New Roman"/>
          <w:color w:val="auto"/>
          <w:kern w:val="28"/>
          <w:sz w:val="24"/>
          <w:szCs w:val="24"/>
          <w:highlight w:val="none"/>
          <w:u w:val="none" w:color="auto"/>
          <w:lang w:val="zh-CN" w:eastAsia="zh-CN"/>
        </w:rPr>
        <w:t>。</w:t>
      </w:r>
    </w:p>
    <w:p>
      <w:pPr>
        <w:spacing w:line="360" w:lineRule="auto"/>
        <w:ind w:firstLine="480" w:firstLineChars="200"/>
        <w:rPr>
          <w:rFonts w:hint="default" w:ascii="Times New Roman" w:hAnsi="Times New Roman" w:eastAsia="宋体" w:cs="Times New Roman"/>
          <w:color w:val="auto"/>
          <w:kern w:val="28"/>
          <w:sz w:val="24"/>
          <w:szCs w:val="24"/>
          <w:highlight w:val="none"/>
          <w:u w:val="none" w:color="auto"/>
          <w:lang w:val="zh-CN" w:eastAsia="zh-CN"/>
        </w:rPr>
      </w:pPr>
      <w:r>
        <w:rPr>
          <w:rFonts w:hint="default" w:ascii="Times New Roman" w:hAnsi="Times New Roman" w:eastAsia="宋体" w:cs="Times New Roman"/>
          <w:color w:val="auto"/>
          <w:sz w:val="24"/>
          <w:szCs w:val="24"/>
          <w:lang w:val="en-US" w:eastAsia="zh-CN" w:bidi="ar"/>
        </w:rPr>
        <w:t>危废暂存的过程中，污泥泄漏遇下雨</w:t>
      </w:r>
      <w:r>
        <w:rPr>
          <w:rFonts w:hint="default" w:ascii="Times New Roman" w:hAnsi="Times New Roman" w:cs="Times New Roman"/>
          <w:color w:val="auto"/>
          <w:sz w:val="24"/>
          <w:szCs w:val="24"/>
          <w:lang w:val="en-US" w:eastAsia="zh-CN" w:bidi="ar"/>
        </w:rPr>
        <w:t>可能</w:t>
      </w:r>
      <w:r>
        <w:rPr>
          <w:rFonts w:hint="default" w:ascii="Times New Roman" w:hAnsi="Times New Roman" w:eastAsia="宋体" w:cs="Times New Roman"/>
          <w:color w:val="auto"/>
          <w:kern w:val="28"/>
          <w:sz w:val="24"/>
          <w:szCs w:val="24"/>
          <w:highlight w:val="none"/>
          <w:u w:val="none" w:color="auto"/>
          <w:lang w:val="zh-CN"/>
        </w:rPr>
        <w:t>影响</w:t>
      </w:r>
      <w:r>
        <w:rPr>
          <w:rFonts w:hint="default" w:ascii="Times New Roman" w:hAnsi="Times New Roman" w:eastAsia="宋体" w:cs="Times New Roman"/>
          <w:color w:val="auto"/>
          <w:sz w:val="24"/>
          <w:szCs w:val="24"/>
          <w:lang w:val="en-US" w:eastAsia="zh-CN" w:bidi="ar"/>
        </w:rPr>
        <w:t>土壤、地下水等。废机油泄漏遇火源可能引起火灾爆炸。</w:t>
      </w:r>
    </w:p>
    <w:p>
      <w:pPr>
        <w:widowControl w:val="0"/>
        <w:bidi w:val="0"/>
        <w:spacing w:line="360" w:lineRule="auto"/>
        <w:ind w:left="0" w:firstLine="0"/>
        <w:jc w:val="both"/>
        <w:outlineLvl w:val="1"/>
        <w:rPr>
          <w:rFonts w:hint="default" w:ascii="Times New Roman" w:hAnsi="Times New Roman" w:eastAsia="宋体" w:cs="Times New Roman"/>
          <w:b/>
          <w:bCs w:val="0"/>
          <w:color w:val="auto"/>
          <w:kern w:val="36"/>
          <w:sz w:val="24"/>
          <w:szCs w:val="24"/>
          <w:u w:val="none" w:color="auto"/>
          <w:lang w:val="zh-CN" w:eastAsia="zh-CN" w:bidi="ar-SA"/>
        </w:rPr>
      </w:pPr>
      <w:bookmarkStart w:id="134" w:name="_Toc27862"/>
      <w:r>
        <w:rPr>
          <w:rFonts w:hint="default" w:ascii="Times New Roman" w:hAnsi="Times New Roman" w:eastAsia="宋体" w:cs="Times New Roman"/>
          <w:b/>
          <w:bCs w:val="0"/>
          <w:color w:val="auto"/>
          <w:kern w:val="36"/>
          <w:sz w:val="24"/>
          <w:szCs w:val="24"/>
          <w:u w:val="none" w:color="auto"/>
          <w:lang w:val="en-US" w:eastAsia="zh-CN" w:bidi="ar-SA"/>
        </w:rPr>
        <w:t>3.3</w:t>
      </w:r>
      <w:r>
        <w:rPr>
          <w:rFonts w:hint="default" w:ascii="Times New Roman" w:hAnsi="Times New Roman" w:eastAsia="宋体" w:cs="Times New Roman"/>
          <w:b/>
          <w:bCs w:val="0"/>
          <w:color w:val="auto"/>
          <w:kern w:val="36"/>
          <w:sz w:val="24"/>
          <w:szCs w:val="24"/>
          <w:u w:val="none" w:color="auto"/>
          <w:lang w:val="zh-CN" w:eastAsia="zh-CN" w:bidi="ar-SA"/>
        </w:rPr>
        <w:t>环境影响途径</w:t>
      </w:r>
      <w:bookmarkEnd w:id="134"/>
    </w:p>
    <w:p>
      <w:pPr>
        <w:spacing w:line="360" w:lineRule="auto"/>
        <w:ind w:firstLine="480" w:firstLineChars="200"/>
        <w:rPr>
          <w:rFonts w:hint="default" w:ascii="Times New Roman" w:hAnsi="Times New Roman" w:eastAsia="宋体" w:cs="Times New Roman"/>
          <w:color w:val="auto"/>
          <w:kern w:val="28"/>
          <w:sz w:val="24"/>
          <w:szCs w:val="24"/>
          <w:u w:val="none" w:color="auto"/>
          <w:lang w:val="zh-CN"/>
        </w:rPr>
      </w:pPr>
      <w:r>
        <w:rPr>
          <w:rFonts w:hint="default" w:ascii="Times New Roman" w:hAnsi="Times New Roman" w:eastAsia="宋体" w:cs="Times New Roman"/>
          <w:color w:val="auto"/>
          <w:kern w:val="28"/>
          <w:sz w:val="24"/>
          <w:szCs w:val="24"/>
          <w:u w:val="none" w:color="auto"/>
          <w:lang w:val="zh-CN"/>
        </w:rPr>
        <w:t>本项目风险事故类型主要为风险物质泄漏事故、火灾爆炸引发的次生污染事故、</w:t>
      </w:r>
      <w:r>
        <w:rPr>
          <w:rFonts w:hint="default" w:ascii="Times New Roman" w:hAnsi="Times New Roman" w:cs="Times New Roman"/>
          <w:color w:val="auto"/>
          <w:kern w:val="28"/>
          <w:sz w:val="24"/>
          <w:szCs w:val="24"/>
          <w:u w:val="none" w:color="auto"/>
          <w:lang w:val="zh-CN"/>
        </w:rPr>
        <w:t>废水处理</w:t>
      </w:r>
      <w:r>
        <w:rPr>
          <w:rFonts w:hint="default" w:ascii="Times New Roman" w:hAnsi="Times New Roman" w:eastAsia="宋体" w:cs="Times New Roman"/>
          <w:color w:val="auto"/>
          <w:kern w:val="28"/>
          <w:sz w:val="24"/>
          <w:szCs w:val="24"/>
          <w:u w:val="none" w:color="auto"/>
          <w:lang w:val="zh-CN"/>
        </w:rPr>
        <w:t>设施故障事故</w:t>
      </w:r>
      <w:r>
        <w:rPr>
          <w:rFonts w:hint="default" w:ascii="Times New Roman" w:hAnsi="Times New Roman" w:cs="Times New Roman"/>
          <w:color w:val="auto"/>
          <w:kern w:val="28"/>
          <w:sz w:val="24"/>
          <w:szCs w:val="24"/>
          <w:u w:val="none" w:color="auto"/>
          <w:lang w:val="zh-CN"/>
        </w:rPr>
        <w:t>、废气处理设施故障事故</w:t>
      </w:r>
      <w:r>
        <w:rPr>
          <w:rFonts w:hint="default" w:ascii="Times New Roman" w:hAnsi="Times New Roman" w:eastAsia="宋体" w:cs="Times New Roman"/>
          <w:color w:val="auto"/>
          <w:kern w:val="28"/>
          <w:sz w:val="24"/>
          <w:szCs w:val="24"/>
          <w:u w:val="none" w:color="auto"/>
          <w:lang w:val="zh-CN"/>
        </w:rPr>
        <w:t>等</w:t>
      </w:r>
      <w:r>
        <w:rPr>
          <w:rFonts w:hint="default" w:ascii="Times New Roman" w:hAnsi="Times New Roman" w:cs="Times New Roman"/>
          <w:color w:val="auto"/>
          <w:kern w:val="28"/>
          <w:sz w:val="24"/>
          <w:szCs w:val="24"/>
          <w:u w:val="none" w:color="auto"/>
          <w:lang w:val="en-US" w:eastAsia="zh-CN"/>
        </w:rPr>
        <w:t>4</w:t>
      </w:r>
      <w:r>
        <w:rPr>
          <w:rFonts w:hint="default" w:ascii="Times New Roman" w:hAnsi="Times New Roman" w:eastAsia="宋体" w:cs="Times New Roman"/>
          <w:color w:val="auto"/>
          <w:kern w:val="28"/>
          <w:sz w:val="24"/>
          <w:szCs w:val="24"/>
          <w:u w:val="none" w:color="auto"/>
          <w:lang w:val="zh-CN"/>
        </w:rPr>
        <w:t>种。</w:t>
      </w:r>
    </w:p>
    <w:p>
      <w:pPr>
        <w:autoSpaceDE w:val="0"/>
        <w:autoSpaceDN w:val="0"/>
        <w:spacing w:line="20" w:lineRule="exact"/>
        <w:ind w:left="230" w:firstLine="40"/>
        <w:rPr>
          <w:rFonts w:hint="default" w:ascii="Times New Roman" w:hAnsi="Times New Roman" w:eastAsia="宋体" w:cs="Times New Roman"/>
          <w:color w:val="auto"/>
          <w:sz w:val="2"/>
          <w:szCs w:val="24"/>
          <w:highlight w:val="none"/>
          <w:u w:val="none" w:color="auto"/>
          <w:lang w:val="zh-CN" w:bidi="zh-CN"/>
        </w:rPr>
      </w:pPr>
    </w:p>
    <w:p>
      <w:pPr>
        <w:widowControl w:val="0"/>
        <w:bidi w:val="0"/>
        <w:spacing w:line="360" w:lineRule="auto"/>
        <w:ind w:left="0" w:firstLine="0"/>
        <w:jc w:val="both"/>
        <w:outlineLvl w:val="1"/>
        <w:rPr>
          <w:rFonts w:hint="default" w:ascii="Times New Roman" w:hAnsi="Times New Roman" w:eastAsia="宋体" w:cs="Times New Roman"/>
          <w:b/>
          <w:bCs w:val="0"/>
          <w:color w:val="auto"/>
          <w:kern w:val="36"/>
          <w:sz w:val="24"/>
          <w:szCs w:val="24"/>
          <w:u w:val="none" w:color="auto"/>
          <w:lang w:val="zh-CN" w:eastAsia="zh-CN" w:bidi="ar-SA"/>
        </w:rPr>
      </w:pPr>
      <w:bookmarkStart w:id="135" w:name="6.5.4_环境影响途径"/>
      <w:bookmarkEnd w:id="135"/>
      <w:bookmarkStart w:id="136" w:name="6.5.5_风险识别结果"/>
      <w:bookmarkEnd w:id="136"/>
      <w:bookmarkStart w:id="137" w:name="_Toc9219"/>
      <w:r>
        <w:rPr>
          <w:rFonts w:hint="default" w:ascii="Times New Roman" w:hAnsi="Times New Roman" w:eastAsia="宋体" w:cs="Times New Roman"/>
          <w:b/>
          <w:bCs w:val="0"/>
          <w:color w:val="auto"/>
          <w:kern w:val="36"/>
          <w:sz w:val="24"/>
          <w:szCs w:val="24"/>
          <w:u w:val="none" w:color="auto"/>
          <w:lang w:val="en-US" w:eastAsia="zh-CN" w:bidi="ar-SA"/>
        </w:rPr>
        <w:t>3.4</w:t>
      </w:r>
      <w:r>
        <w:rPr>
          <w:rFonts w:hint="default" w:ascii="Times New Roman" w:hAnsi="Times New Roman" w:eastAsia="宋体" w:cs="Times New Roman"/>
          <w:b/>
          <w:bCs w:val="0"/>
          <w:color w:val="auto"/>
          <w:kern w:val="36"/>
          <w:sz w:val="24"/>
          <w:szCs w:val="24"/>
          <w:u w:val="none" w:color="auto"/>
          <w:lang w:val="zh-CN" w:eastAsia="zh-CN" w:bidi="ar-SA"/>
        </w:rPr>
        <w:t>风险识别结果</w:t>
      </w:r>
      <w:bookmarkEnd w:id="137"/>
    </w:p>
    <w:p>
      <w:pPr>
        <w:spacing w:line="360" w:lineRule="auto"/>
        <w:ind w:firstLine="480" w:firstLineChars="200"/>
        <w:rPr>
          <w:rFonts w:hint="default" w:ascii="Times New Roman" w:hAnsi="Times New Roman" w:cs="Times New Roman"/>
          <w:color w:val="auto"/>
          <w:kern w:val="28"/>
          <w:sz w:val="24"/>
          <w:szCs w:val="24"/>
          <w:highlight w:val="none"/>
          <w:u w:val="none" w:color="auto"/>
          <w:lang w:val="zh-CN"/>
        </w:rPr>
      </w:pPr>
      <w:r>
        <w:rPr>
          <w:rFonts w:hint="default" w:ascii="Times New Roman" w:hAnsi="Times New Roman" w:cs="Times New Roman"/>
          <w:color w:val="auto"/>
          <w:kern w:val="28"/>
          <w:sz w:val="24"/>
          <w:szCs w:val="24"/>
          <w:highlight w:val="none"/>
          <w:u w:val="none" w:color="auto"/>
          <w:lang w:val="zh-CN"/>
        </w:rPr>
        <w:t>综上，根据项目的生产特点，项目涉及的主要环境风险源识别见下表。</w:t>
      </w:r>
    </w:p>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4"/>
          <w:szCs w:val="24"/>
          <w:highlight w:val="none"/>
          <w:u w:val="none" w:color="auto"/>
          <w:lang w:val="zh-CN" w:bidi="zh-CN"/>
        </w:rPr>
      </w:pPr>
    </w:p>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4"/>
          <w:szCs w:val="24"/>
          <w:highlight w:val="none"/>
          <w:u w:val="none" w:color="auto"/>
          <w:lang w:val="zh-CN" w:bidi="zh-CN"/>
        </w:rPr>
      </w:pPr>
    </w:p>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4"/>
          <w:szCs w:val="24"/>
          <w:highlight w:val="none"/>
          <w:u w:val="none" w:color="auto"/>
          <w:lang w:val="zh-CN" w:bidi="zh-CN"/>
        </w:rPr>
      </w:pPr>
    </w:p>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4"/>
          <w:szCs w:val="24"/>
          <w:highlight w:val="none"/>
          <w:u w:val="none" w:color="auto"/>
          <w:lang w:val="zh-CN" w:bidi="zh-CN"/>
        </w:rPr>
      </w:pPr>
      <w:r>
        <w:rPr>
          <w:rFonts w:hint="default" w:ascii="Times New Roman" w:hAnsi="Times New Roman" w:eastAsia="宋体" w:cs="Times New Roman"/>
          <w:b/>
          <w:bCs/>
          <w:color w:val="auto"/>
          <w:kern w:val="0"/>
          <w:sz w:val="24"/>
          <w:szCs w:val="24"/>
          <w:highlight w:val="none"/>
          <w:u w:val="none" w:color="auto"/>
          <w:lang w:val="zh-CN" w:bidi="zh-CN"/>
        </w:rPr>
        <w:t>表</w:t>
      </w:r>
      <w:r>
        <w:rPr>
          <w:rFonts w:hint="default" w:ascii="Times New Roman" w:hAnsi="Times New Roman" w:eastAsia="宋体" w:cs="Times New Roman"/>
          <w:b/>
          <w:bCs/>
          <w:color w:val="auto"/>
          <w:kern w:val="0"/>
          <w:sz w:val="24"/>
          <w:szCs w:val="24"/>
          <w:highlight w:val="none"/>
          <w:u w:val="none" w:color="auto"/>
          <w:lang w:val="en-US" w:bidi="zh-CN"/>
        </w:rPr>
        <w:t>3.4-1</w:t>
      </w:r>
      <w:r>
        <w:rPr>
          <w:rFonts w:hint="default" w:ascii="Times New Roman" w:hAnsi="Times New Roman" w:eastAsia="宋体" w:cs="Times New Roman"/>
          <w:b/>
          <w:bCs/>
          <w:color w:val="auto"/>
          <w:kern w:val="0"/>
          <w:sz w:val="24"/>
          <w:szCs w:val="24"/>
          <w:highlight w:val="none"/>
          <w:u w:val="none" w:color="auto"/>
          <w:lang w:val="zh-CN" w:bidi="zh-CN"/>
        </w:rPr>
        <w:t>项目主要环境风险识别表</w:t>
      </w:r>
    </w:p>
    <w:tbl>
      <w:tblPr>
        <w:tblStyle w:val="29"/>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1"/>
        <w:gridCol w:w="623"/>
        <w:gridCol w:w="881"/>
        <w:gridCol w:w="1178"/>
        <w:gridCol w:w="1530"/>
        <w:gridCol w:w="1938"/>
        <w:gridCol w:w="17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jc w:val="center"/>
        </w:trPr>
        <w:tc>
          <w:tcPr>
            <w:tcW w:w="581" w:type="dxa"/>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rPr>
            </w:pPr>
            <w:r>
              <w:rPr>
                <w:rFonts w:hint="default" w:ascii="Times New Roman" w:hAnsi="Times New Roman" w:eastAsia="宋体" w:cs="Times New Roman"/>
                <w:b/>
                <w:bCs/>
                <w:color w:val="auto"/>
                <w:kern w:val="0"/>
                <w:sz w:val="21"/>
                <w:szCs w:val="21"/>
                <w:highlight w:val="none"/>
                <w:u w:val="none" w:color="auto"/>
                <w:lang w:val="zh-CN"/>
              </w:rPr>
              <w:t>所属</w:t>
            </w:r>
          </w:p>
          <w:p>
            <w:pPr>
              <w:widowControl/>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rPr>
            </w:pPr>
            <w:r>
              <w:rPr>
                <w:rFonts w:hint="default" w:ascii="Times New Roman" w:hAnsi="Times New Roman" w:eastAsia="宋体" w:cs="Times New Roman"/>
                <w:b/>
                <w:bCs/>
                <w:color w:val="auto"/>
                <w:kern w:val="0"/>
                <w:sz w:val="21"/>
                <w:szCs w:val="21"/>
                <w:highlight w:val="none"/>
                <w:u w:val="none" w:color="auto"/>
                <w:lang w:val="zh-CN"/>
              </w:rPr>
              <w:t>类别</w:t>
            </w:r>
          </w:p>
        </w:tc>
        <w:tc>
          <w:tcPr>
            <w:tcW w:w="62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单元名称</w:t>
            </w:r>
          </w:p>
        </w:tc>
        <w:tc>
          <w:tcPr>
            <w:tcW w:w="88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风险类别</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风险源</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主要危险物质</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环境影响途径</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可能受影响的环境</w:t>
            </w:r>
          </w:p>
          <w:p>
            <w:pPr>
              <w:widowControl w:val="0"/>
              <w:wordWrap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eastAsia="zh-CN" w:bidi="ar-SA"/>
              </w:rPr>
            </w:pPr>
            <w:r>
              <w:rPr>
                <w:rFonts w:hint="default" w:ascii="Times New Roman" w:hAnsi="Times New Roman" w:eastAsia="宋体" w:cs="Times New Roman"/>
                <w:b/>
                <w:bCs/>
                <w:color w:val="auto"/>
                <w:kern w:val="0"/>
                <w:sz w:val="21"/>
                <w:szCs w:val="21"/>
                <w:highlight w:val="none"/>
                <w:u w:val="none" w:color="auto"/>
                <w:lang w:val="zh-CN" w:eastAsia="zh-CN" w:bidi="ar-SA"/>
              </w:rPr>
              <w:t>敏感目标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7" w:hRule="atLeast"/>
          <w:jc w:val="center"/>
        </w:trPr>
        <w:tc>
          <w:tcPr>
            <w:tcW w:w="581" w:type="dxa"/>
            <w:vMerge w:val="restart"/>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风险物质贮存、输送工程</w:t>
            </w:r>
          </w:p>
        </w:tc>
        <w:tc>
          <w:tcPr>
            <w:tcW w:w="62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储运工程</w:t>
            </w:r>
          </w:p>
        </w:tc>
        <w:tc>
          <w:tcPr>
            <w:tcW w:w="88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风险物质泄漏</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zh-CN" w:eastAsia="zh-CN" w:bidi="ar-SA"/>
              </w:rPr>
            </w:pPr>
            <w:r>
              <w:rPr>
                <w:rFonts w:hint="eastAsia"/>
                <w:color w:val="auto"/>
                <w:szCs w:val="21"/>
                <w:u w:val="single"/>
                <w:lang w:eastAsia="zh-CN"/>
              </w:rPr>
              <w:t>硫酸罐区</w:t>
            </w:r>
            <w:r>
              <w:rPr>
                <w:rFonts w:hint="eastAsia" w:ascii="Times New Roman" w:hAnsi="Times New Roman" w:eastAsia="宋体" w:cs="Times New Roman"/>
                <w:color w:val="auto"/>
                <w:kern w:val="0"/>
                <w:sz w:val="21"/>
                <w:szCs w:val="21"/>
                <w:highlight w:val="none"/>
                <w:u w:val="single" w:color="auto"/>
                <w:lang w:val="zh-CN" w:eastAsia="zh-CN" w:bidi="ar-SA"/>
              </w:rPr>
              <w:t>、液氨罐区</w:t>
            </w:r>
            <w:r>
              <w:rPr>
                <w:rFonts w:hint="eastAsia" w:cs="Times New Roman"/>
                <w:color w:val="auto"/>
                <w:kern w:val="0"/>
                <w:sz w:val="21"/>
                <w:szCs w:val="21"/>
                <w:highlight w:val="none"/>
                <w:u w:val="single" w:color="auto"/>
                <w:lang w:val="zh-CN" w:eastAsia="zh-CN" w:bidi="ar-SA"/>
              </w:rPr>
              <w:t>、暂存区</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zh-CN" w:eastAsia="zh-CN" w:bidi="ar-SA"/>
              </w:rPr>
            </w:pPr>
            <w:r>
              <w:rPr>
                <w:rFonts w:hint="default" w:ascii="Times New Roman" w:hAnsi="Times New Roman" w:eastAsia="宋体" w:cs="Times New Roman"/>
                <w:color w:val="auto"/>
                <w:kern w:val="0"/>
                <w:sz w:val="21"/>
                <w:szCs w:val="21"/>
                <w:highlight w:val="none"/>
                <w:u w:val="single" w:color="auto"/>
                <w:lang w:val="zh-CN" w:eastAsia="zh-CN" w:bidi="ar-SA"/>
              </w:rPr>
              <w:t>硫酸、液氨</w:t>
            </w:r>
            <w:r>
              <w:rPr>
                <w:rFonts w:hint="eastAsia" w:ascii="Times New Roman" w:hAnsi="Times New Roman" w:eastAsia="宋体" w:cs="Times New Roman"/>
                <w:color w:val="auto"/>
                <w:kern w:val="0"/>
                <w:sz w:val="21"/>
                <w:szCs w:val="21"/>
                <w:highlight w:val="none"/>
                <w:u w:val="single" w:color="auto"/>
                <w:lang w:val="zh-CN" w:eastAsia="zh-CN" w:bidi="ar-SA"/>
              </w:rPr>
              <w:t>、金属锰</w:t>
            </w:r>
            <w:r>
              <w:rPr>
                <w:rFonts w:hint="eastAsia" w:cs="Times New Roman"/>
                <w:color w:val="auto"/>
                <w:kern w:val="0"/>
                <w:sz w:val="21"/>
                <w:szCs w:val="21"/>
                <w:highlight w:val="none"/>
                <w:u w:val="single" w:color="auto"/>
                <w:lang w:val="zh-CN" w:eastAsia="zh-CN" w:bidi="ar-SA"/>
              </w:rPr>
              <w:t>、润滑油</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zh-CN" w:eastAsia="zh-CN" w:bidi="ar-SA"/>
              </w:rPr>
            </w:pPr>
            <w:r>
              <w:rPr>
                <w:rFonts w:hint="default" w:ascii="Times New Roman" w:hAnsi="Times New Roman" w:eastAsia="宋体" w:cs="Times New Roman"/>
                <w:color w:val="auto"/>
                <w:kern w:val="0"/>
                <w:sz w:val="21"/>
                <w:szCs w:val="21"/>
                <w:highlight w:val="none"/>
                <w:u w:val="single" w:color="auto"/>
                <w:lang w:val="zh-CN" w:eastAsia="zh-CN" w:bidi="ar-SA"/>
              </w:rPr>
              <w:t>泄漏物通过雨水渠流入厂外水体及土壤、地下水环境</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zh-CN" w:eastAsia="zh-CN" w:bidi="ar-SA"/>
              </w:rPr>
            </w:pPr>
            <w:r>
              <w:rPr>
                <w:rFonts w:hint="default" w:ascii="Times New Roman" w:hAnsi="Times New Roman" w:eastAsia="宋体" w:cs="Times New Roman"/>
                <w:color w:val="auto"/>
                <w:kern w:val="0"/>
                <w:sz w:val="21"/>
                <w:szCs w:val="21"/>
                <w:highlight w:val="none"/>
                <w:u w:val="single" w:color="auto"/>
                <w:lang w:val="zh-CN" w:eastAsia="zh-CN" w:bidi="ar-SA"/>
              </w:rPr>
              <w:t>周边居民、大气、土壤、地表水及地下水环境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7" w:hRule="atLeast"/>
          <w:jc w:val="center"/>
        </w:trPr>
        <w:tc>
          <w:tcPr>
            <w:tcW w:w="581" w:type="dxa"/>
            <w:vMerge w:val="continue"/>
            <w:tcBorders>
              <w:tl2br w:val="nil"/>
              <w:tr2bl w:val="nil"/>
            </w:tcBorders>
            <w:vAlign w:val="center"/>
          </w:tcPr>
          <w:p>
            <w:pPr>
              <w:widowControl/>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62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生产设施</w:t>
            </w:r>
          </w:p>
        </w:tc>
        <w:tc>
          <w:tcPr>
            <w:tcW w:w="88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风险物质泄漏</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zh-CN" w:eastAsia="zh-CN" w:bidi="ar-SA"/>
              </w:rPr>
            </w:pPr>
            <w:r>
              <w:rPr>
                <w:rFonts w:hint="default" w:ascii="Times New Roman" w:hAnsi="Times New Roman" w:eastAsia="宋体" w:cs="Times New Roman"/>
                <w:color w:val="auto"/>
                <w:kern w:val="0"/>
                <w:sz w:val="21"/>
                <w:szCs w:val="21"/>
                <w:highlight w:val="none"/>
                <w:u w:val="single" w:color="auto"/>
                <w:lang w:val="zh-CN" w:eastAsia="zh-CN" w:bidi="ar-SA"/>
              </w:rPr>
              <w:t>槽体</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zh-CN" w:eastAsia="zh-CN" w:bidi="ar-SA"/>
              </w:rPr>
            </w:pPr>
            <w:r>
              <w:rPr>
                <w:rFonts w:hint="default" w:ascii="Times New Roman" w:hAnsi="Times New Roman" w:eastAsia="宋体" w:cs="Times New Roman"/>
                <w:color w:val="auto"/>
                <w:kern w:val="0"/>
                <w:sz w:val="21"/>
                <w:szCs w:val="21"/>
                <w:highlight w:val="none"/>
                <w:u w:val="single" w:color="auto"/>
                <w:lang w:val="zh-CN" w:eastAsia="zh-CN" w:bidi="ar-SA"/>
              </w:rPr>
              <w:t>槽液（酸电解液）</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池体破损导致</w:t>
            </w:r>
            <w:r>
              <w:rPr>
                <w:rFonts w:hint="default" w:ascii="Times New Roman" w:hAnsi="Times New Roman" w:eastAsia="宋体" w:cs="Times New Roman"/>
                <w:color w:val="auto"/>
                <w:kern w:val="0"/>
                <w:sz w:val="21"/>
                <w:szCs w:val="21"/>
                <w:lang w:val="en-US" w:eastAsia="zh-CN" w:bidi="ar-SA"/>
              </w:rPr>
              <w:t>废水进入周边土壤及地下水，造成环境污染</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土壤</w:t>
            </w:r>
            <w:r>
              <w:rPr>
                <w:rFonts w:hint="eastAsia" w:ascii="Times New Roman" w:hAnsi="Times New Roman" w:eastAsia="宋体" w:cs="Times New Roman"/>
                <w:color w:val="auto"/>
                <w:kern w:val="0"/>
                <w:sz w:val="21"/>
                <w:szCs w:val="21"/>
                <w:lang w:val="en-US" w:eastAsia="zh-CN" w:bidi="ar-SA"/>
              </w:rPr>
              <w:t>、地表水</w:t>
            </w:r>
            <w:r>
              <w:rPr>
                <w:rFonts w:hint="default" w:ascii="Times New Roman" w:hAnsi="Times New Roman" w:eastAsia="宋体" w:cs="Times New Roman"/>
                <w:color w:val="auto"/>
                <w:kern w:val="0"/>
                <w:sz w:val="21"/>
                <w:szCs w:val="21"/>
                <w:highlight w:val="none"/>
                <w:u w:val="none" w:color="auto"/>
                <w:lang w:val="zh-CN" w:eastAsia="zh-CN" w:bidi="ar-SA"/>
              </w:rPr>
              <w:t>及地下水环境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204" w:type="dxa"/>
            <w:gridSpan w:val="2"/>
            <w:vMerge w:val="restart"/>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环保工程</w:t>
            </w:r>
          </w:p>
        </w:tc>
        <w:tc>
          <w:tcPr>
            <w:tcW w:w="88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废水处理系统故障</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污水处理站</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未经处理或处理不达标的废水</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en-US" w:eastAsia="zh-CN" w:bidi="ar-SA"/>
              </w:rPr>
              <w:t>对湘阴县第三污水处理厂造成冲击</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地表水环境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204" w:type="dxa"/>
            <w:gridSpan w:val="2"/>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bookmarkStart w:id="138" w:name="_Toc23734"/>
          </w:p>
        </w:tc>
        <w:tc>
          <w:tcPr>
            <w:tcW w:w="88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废气</w:t>
            </w:r>
            <w:r>
              <w:rPr>
                <w:rFonts w:hint="default" w:ascii="Times New Roman" w:hAnsi="Times New Roman" w:eastAsia="宋体" w:cs="Times New Roman"/>
                <w:color w:val="auto"/>
                <w:kern w:val="0"/>
                <w:sz w:val="21"/>
                <w:szCs w:val="21"/>
                <w:u w:val="none" w:color="auto"/>
                <w:lang w:val="zh-CN" w:eastAsia="zh-CN" w:bidi="ar-SA"/>
              </w:rPr>
              <w:t>处理系统故障</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碱喷淋装置、布袋除尘器</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未经处理或处理不达标的废气</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排入环境空气</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大气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1204" w:type="dxa"/>
            <w:gridSpan w:val="2"/>
            <w:vMerge w:val="continue"/>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p>
        </w:tc>
        <w:tc>
          <w:tcPr>
            <w:tcW w:w="881"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风险物质泄漏</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危废暂存间</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污泥、</w:t>
            </w:r>
            <w:r>
              <w:rPr>
                <w:rFonts w:hint="default" w:ascii="Times New Roman" w:hAnsi="Times New Roman" w:eastAsia="宋体" w:cs="Times New Roman"/>
                <w:color w:val="auto"/>
                <w:kern w:val="0"/>
                <w:sz w:val="21"/>
                <w:szCs w:val="21"/>
                <w:u w:val="none" w:color="auto"/>
                <w:lang w:val="zh-CN" w:eastAsia="zh-CN" w:bidi="ar-SA"/>
              </w:rPr>
              <w:t>废机油</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泄漏遇下雨时进入到</w:t>
            </w:r>
            <w:r>
              <w:rPr>
                <w:rFonts w:hint="eastAsia" w:ascii="Times New Roman" w:hAnsi="Times New Roman" w:eastAsia="宋体" w:cs="Times New Roman"/>
                <w:color w:val="auto"/>
                <w:kern w:val="0"/>
                <w:sz w:val="21"/>
                <w:szCs w:val="21"/>
                <w:lang w:val="en-US" w:eastAsia="zh-CN" w:bidi="ar-SA"/>
              </w:rPr>
              <w:t>地表水、</w:t>
            </w:r>
            <w:r>
              <w:rPr>
                <w:rFonts w:hint="default" w:ascii="Times New Roman" w:hAnsi="Times New Roman" w:eastAsia="宋体" w:cs="Times New Roman"/>
                <w:color w:val="auto"/>
                <w:kern w:val="0"/>
                <w:sz w:val="21"/>
                <w:szCs w:val="21"/>
                <w:u w:val="none" w:color="auto"/>
                <w:lang w:val="zh-CN" w:eastAsia="zh-CN" w:bidi="ar-SA"/>
              </w:rPr>
              <w:t>土壤、地下水</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土壤</w:t>
            </w:r>
            <w:r>
              <w:rPr>
                <w:rFonts w:hint="eastAsia" w:ascii="Times New Roman" w:hAnsi="Times New Roman" w:eastAsia="宋体" w:cs="Times New Roman"/>
                <w:color w:val="auto"/>
                <w:kern w:val="0"/>
                <w:sz w:val="21"/>
                <w:szCs w:val="21"/>
                <w:lang w:val="en-US" w:eastAsia="zh-CN" w:bidi="ar-SA"/>
              </w:rPr>
              <w:t>、地表水</w:t>
            </w:r>
            <w:r>
              <w:rPr>
                <w:rFonts w:hint="default" w:ascii="Times New Roman" w:hAnsi="Times New Roman" w:eastAsia="宋体" w:cs="Times New Roman"/>
                <w:color w:val="auto"/>
                <w:kern w:val="0"/>
                <w:sz w:val="21"/>
                <w:szCs w:val="21"/>
                <w:highlight w:val="none"/>
                <w:u w:val="none" w:color="auto"/>
                <w:lang w:val="zh-CN" w:eastAsia="zh-CN" w:bidi="ar-SA"/>
              </w:rPr>
              <w:t>及地下水环境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2085" w:type="dxa"/>
            <w:gridSpan w:val="3"/>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火灾爆炸引发的次生污染事故</w:t>
            </w:r>
          </w:p>
        </w:tc>
        <w:tc>
          <w:tcPr>
            <w:tcW w:w="117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危废暂存间</w:t>
            </w:r>
          </w:p>
        </w:tc>
        <w:tc>
          <w:tcPr>
            <w:tcW w:w="153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u w:val="none" w:color="auto"/>
                <w:lang w:val="zh-CN" w:eastAsia="zh-CN" w:bidi="ar-SA"/>
              </w:rPr>
              <w:t>废机油</w:t>
            </w:r>
          </w:p>
        </w:tc>
        <w:tc>
          <w:tcPr>
            <w:tcW w:w="1938"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u w:val="none" w:color="auto"/>
                <w:lang w:val="zh-CN" w:eastAsia="zh-CN" w:bidi="ar-SA"/>
              </w:rPr>
            </w:pPr>
            <w:r>
              <w:rPr>
                <w:rFonts w:hint="default" w:ascii="Times New Roman" w:hAnsi="Times New Roman" w:eastAsia="宋体" w:cs="Times New Roman"/>
                <w:color w:val="auto"/>
                <w:kern w:val="0"/>
                <w:sz w:val="21"/>
                <w:szCs w:val="21"/>
                <w:u w:val="none" w:color="auto"/>
                <w:lang w:val="zh-CN" w:eastAsia="zh-CN" w:bidi="ar-SA"/>
              </w:rPr>
              <w:t>废机油泄漏遇火源可能引起火灾爆炸。</w:t>
            </w:r>
          </w:p>
        </w:tc>
        <w:tc>
          <w:tcPr>
            <w:tcW w:w="1773"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bidi="ar-SA"/>
              </w:rPr>
            </w:pPr>
            <w:r>
              <w:rPr>
                <w:rFonts w:hint="default" w:ascii="Times New Roman" w:hAnsi="Times New Roman" w:eastAsia="宋体" w:cs="Times New Roman"/>
                <w:color w:val="auto"/>
                <w:kern w:val="0"/>
                <w:sz w:val="21"/>
                <w:szCs w:val="21"/>
                <w:highlight w:val="none"/>
                <w:u w:val="none" w:color="auto"/>
                <w:lang w:val="zh-CN" w:eastAsia="zh-CN" w:bidi="ar-SA"/>
              </w:rPr>
              <w:t>周边居民、大气、土壤、地表水及地下水环境</w:t>
            </w:r>
          </w:p>
        </w:tc>
      </w:tr>
    </w:tbl>
    <w:p>
      <w:pPr>
        <w:widowControl w:val="0"/>
        <w:bidi w:val="0"/>
        <w:spacing w:line="360" w:lineRule="auto"/>
        <w:ind w:left="0" w:firstLine="0"/>
        <w:jc w:val="both"/>
        <w:outlineLvl w:val="1"/>
        <w:rPr>
          <w:rFonts w:hint="default" w:ascii="Times New Roman" w:hAnsi="Times New Roman" w:eastAsia="宋体" w:cs="Times New Roman"/>
          <w:b/>
          <w:color w:val="auto"/>
          <w:kern w:val="2"/>
          <w:sz w:val="24"/>
          <w:szCs w:val="28"/>
          <w:highlight w:val="none"/>
          <w:u w:val="none" w:color="auto"/>
          <w:lang w:val="zh-CN" w:eastAsia="zh-CN" w:bidi="ar-SA"/>
        </w:rPr>
      </w:pPr>
      <w:r>
        <w:rPr>
          <w:rFonts w:hint="default" w:ascii="Times New Roman" w:hAnsi="Times New Roman" w:eastAsia="宋体" w:cs="Times New Roman"/>
          <w:b/>
          <w:color w:val="auto"/>
          <w:kern w:val="2"/>
          <w:sz w:val="24"/>
          <w:szCs w:val="28"/>
          <w:highlight w:val="none"/>
          <w:u w:val="none" w:color="auto"/>
          <w:lang w:val="en-US" w:eastAsia="zh-CN" w:bidi="ar-SA"/>
        </w:rPr>
        <w:t>3.5</w:t>
      </w:r>
      <w:r>
        <w:rPr>
          <w:rFonts w:hint="default" w:ascii="Times New Roman" w:hAnsi="Times New Roman" w:eastAsia="宋体" w:cs="Times New Roman"/>
          <w:b/>
          <w:color w:val="auto"/>
          <w:kern w:val="2"/>
          <w:sz w:val="24"/>
          <w:szCs w:val="28"/>
          <w:highlight w:val="none"/>
          <w:u w:val="none" w:color="auto"/>
          <w:lang w:val="zh-CN" w:eastAsia="zh-CN" w:bidi="ar-SA"/>
        </w:rPr>
        <w:t>事故情形分析</w:t>
      </w:r>
      <w:bookmarkEnd w:id="138"/>
    </w:p>
    <w:p>
      <w:pPr>
        <w:widowControl w:val="0"/>
        <w:bidi w:val="0"/>
        <w:spacing w:line="360" w:lineRule="auto"/>
        <w:jc w:val="left"/>
        <w:outlineLvl w:val="2"/>
        <w:rPr>
          <w:rFonts w:hint="default" w:ascii="Times New Roman" w:hAnsi="Times New Roman" w:eastAsia="宋体" w:cs="Times New Roman"/>
          <w:b/>
          <w:color w:val="auto"/>
          <w:kern w:val="0"/>
          <w:sz w:val="24"/>
          <w:szCs w:val="32"/>
          <w:highlight w:val="none"/>
          <w:u w:val="none" w:color="auto"/>
          <w:lang w:val="zh-CN" w:eastAsia="zh-CN" w:bidi="ar-SA"/>
        </w:rPr>
      </w:pPr>
      <w:bookmarkStart w:id="139" w:name="_Toc5855"/>
      <w:r>
        <w:rPr>
          <w:rFonts w:hint="default" w:ascii="Times New Roman" w:hAnsi="Times New Roman" w:eastAsia="宋体" w:cs="Times New Roman"/>
          <w:b/>
          <w:color w:val="auto"/>
          <w:kern w:val="0"/>
          <w:sz w:val="24"/>
          <w:szCs w:val="32"/>
          <w:highlight w:val="none"/>
          <w:u w:val="none" w:color="auto"/>
          <w:lang w:val="en-US" w:eastAsia="zh-CN" w:bidi="ar-SA"/>
        </w:rPr>
        <w:t>3.5.1</w:t>
      </w:r>
      <w:bookmarkEnd w:id="139"/>
      <w:r>
        <w:rPr>
          <w:rFonts w:hint="default" w:ascii="Times New Roman" w:hAnsi="Times New Roman" w:eastAsia="宋体" w:cs="Times New Roman"/>
          <w:b/>
          <w:bCs/>
          <w:color w:val="auto"/>
          <w:kern w:val="0"/>
          <w:sz w:val="24"/>
          <w:szCs w:val="32"/>
          <w:highlight w:val="none"/>
          <w:lang w:val="en-US" w:eastAsia="zh-CN" w:bidi="ar-SA"/>
        </w:rPr>
        <w:t>风险物质泄漏风险分析</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cs="Times New Roman"/>
          <w:color w:val="auto"/>
          <w:sz w:val="24"/>
          <w:szCs w:val="24"/>
          <w:highlight w:val="none"/>
          <w:lang w:val="en-US" w:eastAsia="zh-CN" w:bidi="ar"/>
        </w:rPr>
        <w:t>本项目液氨</w:t>
      </w:r>
      <w:r>
        <w:rPr>
          <w:rFonts w:hint="default" w:ascii="Times New Roman" w:hAnsi="Times New Roman" w:eastAsia="宋体" w:cs="Times New Roman"/>
          <w:color w:val="auto"/>
          <w:sz w:val="24"/>
          <w:szCs w:val="24"/>
          <w:highlight w:val="none"/>
          <w:lang w:val="en-US" w:eastAsia="zh-CN" w:bidi="ar"/>
        </w:rPr>
        <w:t>泄漏导致</w:t>
      </w:r>
      <w:r>
        <w:rPr>
          <w:rFonts w:hint="default" w:ascii="Times New Roman" w:hAnsi="Times New Roman" w:cs="Times New Roman"/>
          <w:color w:val="auto"/>
          <w:sz w:val="24"/>
          <w:szCs w:val="24"/>
          <w:highlight w:val="none"/>
          <w:lang w:val="en-US" w:eastAsia="zh-CN" w:bidi="ar"/>
        </w:rPr>
        <w:t>氨气</w:t>
      </w:r>
      <w:r>
        <w:rPr>
          <w:rFonts w:hint="default" w:ascii="Times New Roman" w:hAnsi="Times New Roman" w:eastAsia="宋体" w:cs="Times New Roman"/>
          <w:color w:val="auto"/>
          <w:sz w:val="24"/>
          <w:szCs w:val="24"/>
          <w:highlight w:val="none"/>
          <w:lang w:val="en-US" w:eastAsia="zh-CN" w:bidi="ar"/>
        </w:rPr>
        <w:t>挥发至大气环境中，对大气环境造成污染。</w:t>
      </w:r>
    </w:p>
    <w:p>
      <w:pPr>
        <w:spacing w:line="360" w:lineRule="auto"/>
        <w:ind w:firstLine="480" w:firstLineChars="200"/>
        <w:rPr>
          <w:rFonts w:hint="default" w:ascii="Times New Roman" w:hAnsi="Times New Roman" w:cs="Times New Roman"/>
          <w:b w:val="0"/>
          <w:bCs w:val="0"/>
          <w:color w:val="auto"/>
          <w:kern w:val="28"/>
          <w:sz w:val="24"/>
          <w:szCs w:val="24"/>
          <w:highlight w:val="none"/>
          <w:u w:val="none" w:color="auto"/>
          <w:lang w:val="en-US" w:eastAsia="zh-CN"/>
        </w:rPr>
      </w:pPr>
      <w:r>
        <w:rPr>
          <w:rFonts w:hint="eastAsia" w:ascii="Times New Roman" w:hAnsi="Times New Roman" w:cs="Times New Roman"/>
          <w:b w:val="0"/>
          <w:bCs w:val="0"/>
          <w:color w:val="auto"/>
          <w:kern w:val="28"/>
          <w:sz w:val="24"/>
          <w:szCs w:val="24"/>
          <w:highlight w:val="none"/>
          <w:u w:val="none" w:color="auto"/>
          <w:lang w:val="en-US" w:eastAsia="zh-CN"/>
        </w:rPr>
        <w:t>本项目金属锰为固体，</w:t>
      </w:r>
      <w:r>
        <w:rPr>
          <w:rFonts w:hint="eastAsia" w:ascii="Times New Roman" w:hAnsi="Times New Roman" w:eastAsia="宋体" w:cs="Times New Roman"/>
          <w:color w:val="auto"/>
          <w:kern w:val="2"/>
          <w:sz w:val="24"/>
          <w:szCs w:val="24"/>
          <w:u w:val="none" w:color="auto"/>
          <w:lang w:val="en-US" w:eastAsia="zh-CN" w:bidi="ar-SA"/>
        </w:rPr>
        <w:t>采用吨袋承装，放置在置物架上，不直接接触地面，偶尔有散落流失，可及时收集，流失到外环境的可能性很小。</w:t>
      </w:r>
    </w:p>
    <w:p>
      <w:pPr>
        <w:spacing w:line="360" w:lineRule="auto"/>
        <w:ind w:firstLine="480" w:firstLineChars="200"/>
        <w:rPr>
          <w:rFonts w:hint="default" w:ascii="Times New Roman" w:hAnsi="Times New Roman" w:cs="Times New Roman"/>
          <w:b w:val="0"/>
          <w:bCs w:val="0"/>
          <w:color w:val="auto"/>
          <w:kern w:val="28"/>
          <w:sz w:val="24"/>
          <w:szCs w:val="24"/>
          <w:highlight w:val="none"/>
          <w:u w:val="single" w:color="auto"/>
          <w:lang w:val="en-US" w:eastAsia="zh-CN"/>
        </w:rPr>
      </w:pPr>
      <w:r>
        <w:rPr>
          <w:rFonts w:hint="eastAsia" w:cs="Times New Roman"/>
          <w:b w:val="0"/>
          <w:bCs w:val="0"/>
          <w:color w:val="auto"/>
          <w:kern w:val="28"/>
          <w:sz w:val="24"/>
          <w:szCs w:val="24"/>
          <w:highlight w:val="none"/>
          <w:u w:val="single" w:color="auto"/>
          <w:lang w:val="en-US" w:eastAsia="zh-CN"/>
        </w:rPr>
        <w:t>润滑油</w:t>
      </w:r>
      <w:r>
        <w:rPr>
          <w:rFonts w:hint="default" w:ascii="Times New Roman" w:hAnsi="Times New Roman" w:eastAsia="宋体" w:cs="Times New Roman"/>
          <w:b w:val="0"/>
          <w:bCs w:val="0"/>
          <w:color w:val="auto"/>
          <w:kern w:val="28"/>
          <w:sz w:val="24"/>
          <w:szCs w:val="24"/>
          <w:highlight w:val="none"/>
          <w:u w:val="single" w:color="auto"/>
          <w:lang w:val="zh-CN"/>
        </w:rPr>
        <w:t>在储运及生产过程存在由于操作不当</w:t>
      </w:r>
      <w:r>
        <w:rPr>
          <w:rFonts w:hint="default" w:ascii="Times New Roman" w:hAnsi="Times New Roman" w:cs="Times New Roman"/>
          <w:b w:val="0"/>
          <w:bCs w:val="0"/>
          <w:color w:val="auto"/>
          <w:kern w:val="28"/>
          <w:sz w:val="24"/>
          <w:szCs w:val="24"/>
          <w:highlight w:val="none"/>
          <w:u w:val="single" w:color="auto"/>
          <w:lang w:val="zh-CN"/>
        </w:rPr>
        <w:t>导致</w:t>
      </w:r>
      <w:r>
        <w:rPr>
          <w:rFonts w:hint="eastAsia" w:ascii="Times New Roman" w:hAnsi="Times New Roman" w:cs="Times New Roman"/>
          <w:b w:val="0"/>
          <w:bCs w:val="0"/>
          <w:color w:val="auto"/>
          <w:kern w:val="28"/>
          <w:sz w:val="24"/>
          <w:szCs w:val="24"/>
          <w:highlight w:val="none"/>
          <w:u w:val="single" w:color="auto"/>
          <w:lang w:val="zh-CN"/>
        </w:rPr>
        <w:t>桶体泄漏，</w:t>
      </w:r>
      <w:r>
        <w:rPr>
          <w:rFonts w:hint="default" w:ascii="Times New Roman" w:hAnsi="Times New Roman" w:eastAsia="宋体" w:cs="Times New Roman"/>
          <w:color w:val="auto"/>
          <w:sz w:val="24"/>
          <w:szCs w:val="24"/>
          <w:highlight w:val="none"/>
          <w:u w:val="single" w:color="auto"/>
          <w:lang w:val="en-US" w:eastAsia="zh-CN" w:bidi="ar"/>
        </w:rPr>
        <w:t>泄漏时如未及时收集，持续渗漏有可能对</w:t>
      </w:r>
      <w:r>
        <w:rPr>
          <w:rFonts w:hint="default" w:ascii="Times New Roman" w:hAnsi="Times New Roman" w:cs="Times New Roman"/>
          <w:color w:val="auto"/>
          <w:sz w:val="24"/>
          <w:szCs w:val="24"/>
          <w:highlight w:val="none"/>
          <w:u w:val="single" w:color="auto"/>
          <w:lang w:val="en-US" w:eastAsia="zh-CN" w:bidi="ar"/>
        </w:rPr>
        <w:t>大气、</w:t>
      </w:r>
      <w:r>
        <w:rPr>
          <w:rFonts w:hint="default" w:ascii="Times New Roman" w:hAnsi="Times New Roman" w:eastAsia="宋体" w:cs="Times New Roman"/>
          <w:color w:val="auto"/>
          <w:sz w:val="24"/>
          <w:szCs w:val="24"/>
          <w:highlight w:val="none"/>
          <w:u w:val="single" w:color="auto"/>
          <w:lang w:val="en-US" w:eastAsia="zh-CN" w:bidi="ar"/>
        </w:rPr>
        <w:t>地下</w:t>
      </w:r>
      <w:r>
        <w:rPr>
          <w:rFonts w:hint="default" w:ascii="Times New Roman" w:hAnsi="Times New Roman" w:cs="Times New Roman"/>
          <w:color w:val="auto"/>
          <w:sz w:val="24"/>
          <w:szCs w:val="24"/>
          <w:highlight w:val="none"/>
          <w:u w:val="single" w:color="auto"/>
          <w:lang w:val="en-US" w:eastAsia="zh-CN" w:bidi="ar"/>
        </w:rPr>
        <w:t>水、地表水、土壤、周边居民</w:t>
      </w:r>
      <w:r>
        <w:rPr>
          <w:rFonts w:hint="default" w:ascii="Times New Roman" w:hAnsi="Times New Roman" w:eastAsia="宋体" w:cs="Times New Roman"/>
          <w:color w:val="auto"/>
          <w:sz w:val="24"/>
          <w:szCs w:val="24"/>
          <w:highlight w:val="none"/>
          <w:u w:val="single" w:color="auto"/>
          <w:lang w:val="en-US" w:eastAsia="zh-CN" w:bidi="ar"/>
        </w:rPr>
        <w:t>造成污染。</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bidi="ar"/>
        </w:rPr>
      </w:pPr>
      <w:r>
        <w:rPr>
          <w:rFonts w:hint="default" w:ascii="Times New Roman" w:hAnsi="Times New Roman" w:cs="Times New Roman"/>
          <w:b w:val="0"/>
          <w:bCs w:val="0"/>
          <w:color w:val="auto"/>
          <w:kern w:val="28"/>
          <w:sz w:val="24"/>
          <w:szCs w:val="24"/>
          <w:highlight w:val="none"/>
          <w:u w:val="none" w:color="auto"/>
          <w:lang w:val="en-US" w:eastAsia="zh-CN"/>
        </w:rPr>
        <w:t>硫酸</w:t>
      </w:r>
      <w:r>
        <w:rPr>
          <w:rFonts w:hint="default" w:ascii="Times New Roman" w:hAnsi="Times New Roman" w:eastAsia="宋体" w:cs="Times New Roman"/>
          <w:b w:val="0"/>
          <w:bCs w:val="0"/>
          <w:color w:val="auto"/>
          <w:kern w:val="28"/>
          <w:sz w:val="24"/>
          <w:szCs w:val="24"/>
          <w:highlight w:val="none"/>
          <w:u w:val="none" w:color="auto"/>
          <w:lang w:val="zh-CN"/>
        </w:rPr>
        <w:t>在储运及生产过程存在由于操作不当</w:t>
      </w:r>
      <w:r>
        <w:rPr>
          <w:rFonts w:hint="default" w:ascii="Times New Roman" w:hAnsi="Times New Roman" w:cs="Times New Roman"/>
          <w:b w:val="0"/>
          <w:bCs w:val="0"/>
          <w:color w:val="auto"/>
          <w:kern w:val="28"/>
          <w:sz w:val="24"/>
          <w:szCs w:val="24"/>
          <w:highlight w:val="none"/>
          <w:u w:val="none" w:color="auto"/>
          <w:lang w:val="zh-CN"/>
        </w:rPr>
        <w:t>导致储罐</w:t>
      </w:r>
      <w:r>
        <w:rPr>
          <w:rFonts w:hint="default" w:ascii="Times New Roman" w:hAnsi="Times New Roman" w:eastAsia="宋体" w:cs="Times New Roman"/>
          <w:b w:val="0"/>
          <w:bCs w:val="0"/>
          <w:color w:val="auto"/>
          <w:kern w:val="28"/>
          <w:sz w:val="24"/>
          <w:szCs w:val="24"/>
          <w:highlight w:val="none"/>
          <w:u w:val="none" w:color="auto"/>
          <w:lang w:val="zh-CN"/>
        </w:rPr>
        <w:t>泄漏，</w:t>
      </w:r>
      <w:r>
        <w:rPr>
          <w:rFonts w:hint="default" w:ascii="Times New Roman" w:hAnsi="Times New Roman" w:cs="Times New Roman"/>
          <w:color w:val="auto"/>
          <w:sz w:val="24"/>
          <w:szCs w:val="24"/>
          <w:highlight w:val="none"/>
          <w:lang w:val="en-US" w:eastAsia="zh-CN" w:bidi="ar"/>
        </w:rPr>
        <w:t>硫酸</w:t>
      </w:r>
      <w:r>
        <w:rPr>
          <w:rFonts w:hint="default" w:ascii="Times New Roman" w:hAnsi="Times New Roman" w:eastAsia="宋体" w:cs="Times New Roman"/>
          <w:color w:val="auto"/>
          <w:sz w:val="24"/>
          <w:szCs w:val="24"/>
          <w:highlight w:val="none"/>
          <w:lang w:val="en-US" w:eastAsia="zh-CN" w:bidi="ar"/>
        </w:rPr>
        <w:t>泄漏时如未及时收集，持续渗漏有可能对</w:t>
      </w:r>
      <w:r>
        <w:rPr>
          <w:rFonts w:hint="default" w:ascii="Times New Roman" w:hAnsi="Times New Roman" w:cs="Times New Roman"/>
          <w:color w:val="auto"/>
          <w:sz w:val="24"/>
          <w:szCs w:val="24"/>
          <w:highlight w:val="none"/>
          <w:lang w:val="en-US" w:eastAsia="zh-CN" w:bidi="ar"/>
        </w:rPr>
        <w:t>大气、</w:t>
      </w:r>
      <w:r>
        <w:rPr>
          <w:rFonts w:hint="default" w:ascii="Times New Roman" w:hAnsi="Times New Roman" w:eastAsia="宋体" w:cs="Times New Roman"/>
          <w:color w:val="auto"/>
          <w:sz w:val="24"/>
          <w:szCs w:val="24"/>
          <w:highlight w:val="none"/>
          <w:lang w:val="en-US" w:eastAsia="zh-CN" w:bidi="ar"/>
        </w:rPr>
        <w:t>地下</w:t>
      </w:r>
      <w:r>
        <w:rPr>
          <w:rFonts w:hint="default" w:ascii="Times New Roman" w:hAnsi="Times New Roman" w:cs="Times New Roman"/>
          <w:color w:val="auto"/>
          <w:sz w:val="24"/>
          <w:szCs w:val="24"/>
          <w:highlight w:val="none"/>
          <w:lang w:val="en-US" w:eastAsia="zh-CN" w:bidi="ar"/>
        </w:rPr>
        <w:t>水、地表水、土壤、周边居民</w:t>
      </w:r>
      <w:r>
        <w:rPr>
          <w:rFonts w:hint="default" w:ascii="Times New Roman" w:hAnsi="Times New Roman" w:eastAsia="宋体" w:cs="Times New Roman"/>
          <w:color w:val="auto"/>
          <w:sz w:val="24"/>
          <w:szCs w:val="24"/>
          <w:highlight w:val="none"/>
          <w:lang w:val="en-US" w:eastAsia="zh-CN" w:bidi="ar"/>
        </w:rPr>
        <w:t>造成污染。</w:t>
      </w:r>
    </w:p>
    <w:p>
      <w:pPr>
        <w:widowControl w:val="0"/>
        <w:spacing w:line="360" w:lineRule="auto"/>
        <w:jc w:val="left"/>
        <w:outlineLvl w:val="2"/>
        <w:rPr>
          <w:rFonts w:hint="default" w:ascii="Times New Roman" w:hAnsi="Times New Roman" w:eastAsia="宋体" w:cs="Times New Roman"/>
          <w:b/>
          <w:color w:val="auto"/>
          <w:kern w:val="0"/>
          <w:sz w:val="24"/>
          <w:szCs w:val="32"/>
          <w:highlight w:val="none"/>
          <w:u w:val="none" w:color="auto"/>
          <w:lang w:val="zh-CN" w:eastAsia="zh-CN" w:bidi="ar-SA"/>
        </w:rPr>
      </w:pPr>
      <w:bookmarkStart w:id="140" w:name="6.6.2_地表水环境风险事故情形设定"/>
      <w:bookmarkEnd w:id="140"/>
      <w:bookmarkStart w:id="141" w:name="_Toc9820"/>
      <w:r>
        <w:rPr>
          <w:rFonts w:hint="default" w:ascii="Times New Roman" w:hAnsi="Times New Roman" w:eastAsia="宋体" w:cs="Times New Roman"/>
          <w:b/>
          <w:color w:val="auto"/>
          <w:kern w:val="0"/>
          <w:sz w:val="24"/>
          <w:szCs w:val="32"/>
          <w:highlight w:val="none"/>
          <w:u w:val="none" w:color="auto"/>
          <w:lang w:val="en-US" w:eastAsia="zh-CN" w:bidi="ar-SA"/>
        </w:rPr>
        <w:t>3.5.2</w:t>
      </w:r>
      <w:bookmarkEnd w:id="141"/>
      <w:r>
        <w:rPr>
          <w:rFonts w:hint="default" w:ascii="Times New Roman" w:hAnsi="Times New Roman" w:eastAsia="宋体" w:cs="Times New Roman"/>
          <w:b/>
          <w:bCs/>
          <w:color w:val="auto"/>
          <w:kern w:val="0"/>
          <w:sz w:val="24"/>
          <w:szCs w:val="32"/>
          <w:highlight w:val="none"/>
          <w:lang w:val="en-US" w:eastAsia="zh-CN" w:bidi="ar-SA"/>
        </w:rPr>
        <w:t>环保设施故障事故风险分析</w:t>
      </w:r>
    </w:p>
    <w:p>
      <w:pPr>
        <w:spacing w:line="360" w:lineRule="auto"/>
        <w:ind w:firstLine="480" w:firstLineChars="200"/>
        <w:rPr>
          <w:rFonts w:hint="default" w:ascii="Times New Roman" w:hAnsi="Times New Roman" w:eastAsia="宋体" w:cs="Times New Roman"/>
          <w:b w:val="0"/>
          <w:bCs w:val="0"/>
          <w:color w:val="auto"/>
          <w:kern w:val="28"/>
          <w:sz w:val="24"/>
          <w:szCs w:val="24"/>
          <w:highlight w:val="none"/>
          <w:u w:val="none" w:color="auto"/>
          <w:lang w:val="en-US"/>
        </w:rPr>
      </w:pPr>
      <w:r>
        <w:rPr>
          <w:rFonts w:hint="default" w:ascii="Times New Roman" w:hAnsi="Times New Roman" w:cs="Times New Roman"/>
          <w:b w:val="0"/>
          <w:bCs w:val="0"/>
          <w:color w:val="auto"/>
          <w:kern w:val="28"/>
          <w:sz w:val="24"/>
          <w:szCs w:val="24"/>
          <w:highlight w:val="none"/>
          <w:u w:val="none" w:color="auto"/>
          <w:lang w:val="zh-CN"/>
        </w:rPr>
        <w:t>（</w:t>
      </w:r>
      <w:r>
        <w:rPr>
          <w:rFonts w:hint="default" w:ascii="Times New Roman" w:hAnsi="Times New Roman" w:cs="Times New Roman"/>
          <w:b w:val="0"/>
          <w:bCs w:val="0"/>
          <w:color w:val="auto"/>
          <w:kern w:val="28"/>
          <w:sz w:val="24"/>
          <w:szCs w:val="24"/>
          <w:highlight w:val="none"/>
          <w:u w:val="none" w:color="auto"/>
          <w:lang w:val="en-US" w:eastAsia="zh-CN"/>
        </w:rPr>
        <w:t>1</w:t>
      </w:r>
      <w:r>
        <w:rPr>
          <w:rFonts w:hint="default" w:ascii="Times New Roman" w:hAnsi="Times New Roman" w:cs="Times New Roman"/>
          <w:b w:val="0"/>
          <w:bCs w:val="0"/>
          <w:color w:val="auto"/>
          <w:kern w:val="28"/>
          <w:sz w:val="24"/>
          <w:szCs w:val="24"/>
          <w:highlight w:val="none"/>
          <w:u w:val="none" w:color="auto"/>
          <w:lang w:val="zh-CN"/>
        </w:rPr>
        <w:t>）</w:t>
      </w:r>
      <w:r>
        <w:rPr>
          <w:rFonts w:hint="default" w:ascii="Times New Roman" w:hAnsi="Times New Roman" w:eastAsia="宋体" w:cs="Times New Roman"/>
          <w:b w:val="0"/>
          <w:bCs w:val="0"/>
          <w:color w:val="auto"/>
          <w:sz w:val="24"/>
          <w:szCs w:val="24"/>
          <w:highlight w:val="none"/>
          <w:lang w:val="en-US" w:eastAsia="zh-CN" w:bidi="ar"/>
        </w:rPr>
        <w:t>危险废物泄漏事故</w:t>
      </w:r>
      <w:r>
        <w:rPr>
          <w:rFonts w:hint="default" w:ascii="Times New Roman" w:hAnsi="Times New Roman" w:cs="Times New Roman"/>
          <w:b w:val="0"/>
          <w:bCs w:val="0"/>
          <w:color w:val="auto"/>
          <w:sz w:val="24"/>
          <w:szCs w:val="24"/>
          <w:highlight w:val="none"/>
          <w:lang w:val="en-US" w:eastAsia="zh-CN" w:bidi="ar"/>
        </w:rPr>
        <w:t>分析</w:t>
      </w:r>
    </w:p>
    <w:p>
      <w:pPr>
        <w:spacing w:line="360" w:lineRule="auto"/>
        <w:ind w:firstLine="480" w:firstLineChars="200"/>
        <w:rPr>
          <w:rFonts w:hint="default" w:ascii="Times New Roman" w:hAnsi="Times New Roman" w:eastAsia="宋体" w:cs="Times New Roman"/>
          <w:b w:val="0"/>
          <w:bCs w:val="0"/>
          <w:color w:val="auto"/>
          <w:kern w:val="28"/>
          <w:sz w:val="24"/>
          <w:szCs w:val="24"/>
          <w:highlight w:val="none"/>
          <w:u w:val="none" w:color="auto"/>
          <w:lang w:val="zh-CN"/>
        </w:rPr>
      </w:pPr>
      <w:r>
        <w:rPr>
          <w:rFonts w:hint="default" w:ascii="Times New Roman" w:hAnsi="Times New Roman" w:eastAsia="宋体" w:cs="Times New Roman"/>
          <w:b w:val="0"/>
          <w:bCs w:val="0"/>
          <w:color w:val="auto"/>
          <w:kern w:val="28"/>
          <w:sz w:val="24"/>
          <w:szCs w:val="24"/>
          <w:highlight w:val="none"/>
          <w:u w:val="none" w:color="auto"/>
          <w:lang w:val="zh-CN"/>
        </w:rPr>
        <w:t>通过风险识别，本项目危险物质在储运及生产过程存在由于操作不当</w:t>
      </w:r>
      <w:r>
        <w:rPr>
          <w:rFonts w:hint="default" w:ascii="Times New Roman" w:hAnsi="Times New Roman" w:cs="Times New Roman"/>
          <w:b w:val="0"/>
          <w:bCs w:val="0"/>
          <w:color w:val="auto"/>
          <w:kern w:val="28"/>
          <w:sz w:val="24"/>
          <w:szCs w:val="24"/>
          <w:highlight w:val="none"/>
          <w:u w:val="none" w:color="auto"/>
          <w:lang w:val="zh-CN"/>
        </w:rPr>
        <w:t>导致</w:t>
      </w:r>
      <w:r>
        <w:rPr>
          <w:rFonts w:hint="default" w:ascii="Times New Roman" w:hAnsi="Times New Roman" w:eastAsia="宋体" w:cs="Times New Roman"/>
          <w:b w:val="0"/>
          <w:bCs w:val="0"/>
          <w:color w:val="auto"/>
          <w:kern w:val="28"/>
          <w:sz w:val="24"/>
          <w:szCs w:val="24"/>
          <w:highlight w:val="none"/>
          <w:u w:val="none" w:color="auto"/>
          <w:lang w:val="zh-CN"/>
        </w:rPr>
        <w:t>泄漏，当泄漏物料在未采取截留等措施情况下容易随雨水管道进入外环境，存在潜在事故风险；</w:t>
      </w:r>
    </w:p>
    <w:p>
      <w:pPr>
        <w:spacing w:line="360" w:lineRule="auto"/>
        <w:ind w:firstLine="480" w:firstLineChars="200"/>
        <w:rPr>
          <w:rFonts w:hint="default" w:ascii="Times New Roman" w:hAnsi="Times New Roman" w:eastAsia="宋体" w:cs="Times New Roman"/>
          <w:b w:val="0"/>
          <w:bCs w:val="0"/>
          <w:color w:val="auto"/>
          <w:kern w:val="28"/>
          <w:sz w:val="24"/>
          <w:szCs w:val="24"/>
          <w:highlight w:val="none"/>
          <w:u w:val="none" w:color="auto"/>
          <w:lang w:val="en-US" w:eastAsia="zh-CN"/>
        </w:rPr>
      </w:pPr>
      <w:r>
        <w:rPr>
          <w:rFonts w:hint="default" w:ascii="Times New Roman" w:hAnsi="Times New Roman" w:cs="Times New Roman"/>
          <w:b w:val="0"/>
          <w:bCs w:val="0"/>
          <w:color w:val="auto"/>
          <w:kern w:val="28"/>
          <w:sz w:val="24"/>
          <w:szCs w:val="24"/>
          <w:highlight w:val="none"/>
          <w:u w:val="none" w:color="auto"/>
          <w:lang w:val="zh-CN"/>
        </w:rPr>
        <w:t>（</w:t>
      </w:r>
      <w:r>
        <w:rPr>
          <w:rFonts w:hint="default" w:ascii="Times New Roman" w:hAnsi="Times New Roman" w:cs="Times New Roman"/>
          <w:b w:val="0"/>
          <w:bCs w:val="0"/>
          <w:color w:val="auto"/>
          <w:kern w:val="28"/>
          <w:sz w:val="24"/>
          <w:szCs w:val="24"/>
          <w:highlight w:val="none"/>
          <w:u w:val="none" w:color="auto"/>
          <w:lang w:val="en-US" w:eastAsia="zh-CN"/>
        </w:rPr>
        <w:t>2</w:t>
      </w:r>
      <w:r>
        <w:rPr>
          <w:rFonts w:hint="default" w:ascii="Times New Roman" w:hAnsi="Times New Roman" w:cs="Times New Roman"/>
          <w:b w:val="0"/>
          <w:bCs w:val="0"/>
          <w:color w:val="auto"/>
          <w:kern w:val="28"/>
          <w:sz w:val="24"/>
          <w:szCs w:val="24"/>
          <w:highlight w:val="none"/>
          <w:u w:val="none" w:color="auto"/>
          <w:lang w:val="zh-CN"/>
        </w:rPr>
        <w:t>）</w:t>
      </w:r>
      <w:r>
        <w:rPr>
          <w:rFonts w:hint="default" w:ascii="Times New Roman" w:hAnsi="Times New Roman" w:cs="Times New Roman"/>
          <w:b w:val="0"/>
          <w:bCs w:val="0"/>
          <w:color w:val="auto"/>
          <w:kern w:val="28"/>
          <w:sz w:val="24"/>
          <w:szCs w:val="24"/>
          <w:highlight w:val="none"/>
          <w:u w:val="none" w:color="auto"/>
          <w:lang w:val="en-US" w:eastAsia="zh-CN"/>
        </w:rPr>
        <w:t>废气</w:t>
      </w:r>
      <w:r>
        <w:rPr>
          <w:rFonts w:hint="default" w:ascii="Times New Roman" w:hAnsi="Times New Roman" w:eastAsia="宋体" w:cs="Times New Roman"/>
          <w:b w:val="0"/>
          <w:bCs w:val="0"/>
          <w:color w:val="auto"/>
          <w:sz w:val="24"/>
          <w:szCs w:val="24"/>
          <w:highlight w:val="none"/>
          <w:lang w:val="en-US" w:eastAsia="zh-CN" w:bidi="ar"/>
        </w:rPr>
        <w:t>事故排放风险分析</w:t>
      </w:r>
    </w:p>
    <w:p>
      <w:pPr>
        <w:spacing w:line="360" w:lineRule="auto"/>
        <w:ind w:firstLine="480" w:firstLineChars="200"/>
        <w:rPr>
          <w:rFonts w:hint="default" w:ascii="Times New Roman" w:hAnsi="Times New Roman" w:cs="Times New Roman"/>
          <w:b w:val="0"/>
          <w:bCs w:val="0"/>
          <w:color w:val="auto"/>
          <w:kern w:val="28"/>
          <w:sz w:val="24"/>
          <w:szCs w:val="24"/>
          <w:highlight w:val="none"/>
          <w:u w:val="none" w:color="auto"/>
          <w:lang w:val="zh-CN"/>
        </w:rPr>
      </w:pPr>
      <w:r>
        <w:rPr>
          <w:rFonts w:hint="default" w:ascii="Times New Roman" w:hAnsi="Times New Roman" w:eastAsia="宋体" w:cs="Times New Roman"/>
          <w:color w:val="auto"/>
          <w:sz w:val="24"/>
          <w:szCs w:val="24"/>
          <w:highlight w:val="none"/>
          <w:lang w:val="en-US" w:eastAsia="zh-CN" w:bidi="ar"/>
        </w:rPr>
        <w:t>废气事故排放指酸雾吸收塔</w:t>
      </w:r>
      <w:r>
        <w:rPr>
          <w:rFonts w:hint="default" w:ascii="Times New Roman" w:hAnsi="Times New Roman" w:cs="Times New Roman"/>
          <w:color w:val="auto"/>
          <w:sz w:val="24"/>
          <w:szCs w:val="24"/>
          <w:highlight w:val="none"/>
          <w:lang w:val="en-US" w:eastAsia="zh-CN" w:bidi="ar"/>
        </w:rPr>
        <w:t>、布袋除尘器</w:t>
      </w:r>
      <w:r>
        <w:rPr>
          <w:rFonts w:hint="default" w:ascii="Times New Roman" w:hAnsi="Times New Roman" w:eastAsia="宋体" w:cs="Times New Roman"/>
          <w:color w:val="auto"/>
          <w:sz w:val="24"/>
          <w:szCs w:val="24"/>
          <w:highlight w:val="none"/>
          <w:lang w:val="en-US" w:eastAsia="zh-CN" w:bidi="ar"/>
        </w:rPr>
        <w:t>等废气处理装置发生故障，废气直接排放，对周边大气环境将产生一定不利影响。</w:t>
      </w:r>
    </w:p>
    <w:p>
      <w:pPr>
        <w:spacing w:line="360" w:lineRule="auto"/>
        <w:ind w:firstLine="480" w:firstLineChars="200"/>
        <w:rPr>
          <w:rFonts w:hint="default" w:ascii="Times New Roman" w:hAnsi="Times New Roman" w:eastAsia="宋体" w:cs="Times New Roman"/>
          <w:b w:val="0"/>
          <w:bCs w:val="0"/>
          <w:color w:val="auto"/>
          <w:kern w:val="28"/>
          <w:sz w:val="24"/>
          <w:szCs w:val="24"/>
          <w:highlight w:val="none"/>
          <w:u w:val="none" w:color="auto"/>
          <w:lang w:val="zh-CN"/>
        </w:rPr>
      </w:pPr>
      <w:r>
        <w:rPr>
          <w:rFonts w:hint="default" w:ascii="Times New Roman" w:hAnsi="Times New Roman" w:cs="Times New Roman"/>
          <w:b w:val="0"/>
          <w:bCs w:val="0"/>
          <w:color w:val="auto"/>
          <w:kern w:val="28"/>
          <w:sz w:val="24"/>
          <w:szCs w:val="24"/>
          <w:highlight w:val="none"/>
          <w:u w:val="none" w:color="auto"/>
          <w:lang w:val="en-US" w:eastAsia="zh-CN"/>
        </w:rPr>
        <w:t>（3）废水</w:t>
      </w:r>
      <w:r>
        <w:rPr>
          <w:rFonts w:hint="default" w:ascii="Times New Roman" w:hAnsi="Times New Roman" w:eastAsia="宋体" w:cs="Times New Roman"/>
          <w:b w:val="0"/>
          <w:bCs w:val="0"/>
          <w:color w:val="auto"/>
          <w:sz w:val="24"/>
          <w:szCs w:val="24"/>
          <w:highlight w:val="none"/>
          <w:lang w:val="en-US" w:eastAsia="zh-CN" w:bidi="ar"/>
        </w:rPr>
        <w:t>事故排放风险分析</w:t>
      </w:r>
    </w:p>
    <w:p>
      <w:pPr>
        <w:spacing w:line="360" w:lineRule="auto"/>
        <w:ind w:firstLine="480" w:firstLineChars="200"/>
        <w:rPr>
          <w:rFonts w:hint="default" w:ascii="Times New Roman" w:hAnsi="Times New Roman" w:eastAsia="宋体" w:cs="Times New Roman"/>
          <w:b w:val="0"/>
          <w:bCs w:val="0"/>
          <w:color w:val="auto"/>
          <w:kern w:val="28"/>
          <w:sz w:val="24"/>
          <w:szCs w:val="24"/>
          <w:highlight w:val="none"/>
          <w:u w:val="none" w:color="auto"/>
          <w:lang w:val="zh-CN"/>
        </w:rPr>
      </w:pPr>
      <w:r>
        <w:rPr>
          <w:rFonts w:hint="default" w:ascii="Times New Roman" w:hAnsi="Times New Roman" w:eastAsia="宋体" w:cs="Times New Roman"/>
          <w:b w:val="0"/>
          <w:bCs w:val="0"/>
          <w:color w:val="auto"/>
          <w:kern w:val="28"/>
          <w:sz w:val="24"/>
          <w:szCs w:val="24"/>
          <w:highlight w:val="none"/>
          <w:u w:val="none" w:color="auto"/>
          <w:lang w:val="zh-CN"/>
        </w:rPr>
        <w:t>废水处理设施发生故障，</w:t>
      </w:r>
      <w:r>
        <w:rPr>
          <w:rFonts w:hint="default" w:ascii="Times New Roman" w:hAnsi="Times New Roman" w:cs="Times New Roman"/>
          <w:b w:val="0"/>
          <w:bCs w:val="0"/>
          <w:color w:val="auto"/>
          <w:kern w:val="28"/>
          <w:sz w:val="24"/>
          <w:szCs w:val="24"/>
          <w:highlight w:val="none"/>
          <w:u w:val="none" w:color="auto"/>
          <w:lang w:val="zh-CN"/>
        </w:rPr>
        <w:t>废水</w:t>
      </w:r>
      <w:r>
        <w:rPr>
          <w:rFonts w:hint="default" w:ascii="Times New Roman" w:hAnsi="Times New Roman" w:eastAsia="宋体" w:cs="Times New Roman"/>
          <w:b w:val="0"/>
          <w:bCs w:val="0"/>
          <w:color w:val="auto"/>
          <w:kern w:val="28"/>
          <w:sz w:val="24"/>
          <w:szCs w:val="24"/>
          <w:highlight w:val="none"/>
          <w:u w:val="none" w:color="auto"/>
          <w:lang w:val="zh-CN"/>
        </w:rPr>
        <w:t>未采取有效截留收集措施而直接排入</w:t>
      </w:r>
      <w:r>
        <w:rPr>
          <w:rFonts w:hint="eastAsia" w:ascii="Times New Roman" w:hAnsi="Times New Roman" w:cs="Times New Roman"/>
          <w:b w:val="0"/>
          <w:bCs w:val="0"/>
          <w:color w:val="auto"/>
          <w:kern w:val="28"/>
          <w:sz w:val="24"/>
          <w:szCs w:val="24"/>
          <w:highlight w:val="none"/>
          <w:u w:val="none" w:color="auto"/>
          <w:lang w:val="zh-CN"/>
        </w:rPr>
        <w:t>湘阴县第三污水处理厂</w:t>
      </w:r>
      <w:r>
        <w:rPr>
          <w:rFonts w:hint="default" w:ascii="Times New Roman" w:hAnsi="Times New Roman" w:eastAsia="宋体" w:cs="Times New Roman"/>
          <w:b w:val="0"/>
          <w:bCs w:val="0"/>
          <w:color w:val="auto"/>
          <w:kern w:val="28"/>
          <w:sz w:val="24"/>
          <w:szCs w:val="24"/>
          <w:highlight w:val="none"/>
          <w:u w:val="none" w:color="auto"/>
          <w:lang w:val="zh-CN"/>
        </w:rPr>
        <w:t>。</w:t>
      </w:r>
    </w:p>
    <w:p>
      <w:pPr>
        <w:widowControl w:val="0"/>
        <w:spacing w:line="360" w:lineRule="auto"/>
        <w:jc w:val="left"/>
        <w:outlineLvl w:val="2"/>
        <w:rPr>
          <w:rFonts w:hint="default" w:ascii="Times New Roman" w:hAnsi="Times New Roman" w:eastAsia="宋体" w:cs="Times New Roman"/>
          <w:b/>
          <w:color w:val="auto"/>
          <w:kern w:val="0"/>
          <w:sz w:val="24"/>
          <w:szCs w:val="32"/>
          <w:highlight w:val="yellow"/>
          <w:u w:val="none" w:color="auto"/>
          <w:lang w:val="zh-CN" w:eastAsia="zh-CN" w:bidi="ar-SA"/>
        </w:rPr>
      </w:pPr>
      <w:bookmarkStart w:id="142" w:name="_Toc23817"/>
      <w:r>
        <w:rPr>
          <w:rFonts w:hint="default" w:ascii="Times New Roman" w:hAnsi="Times New Roman" w:eastAsia="宋体" w:cs="Times New Roman"/>
          <w:b/>
          <w:color w:val="auto"/>
          <w:kern w:val="0"/>
          <w:sz w:val="24"/>
          <w:szCs w:val="32"/>
          <w:highlight w:val="none"/>
          <w:u w:val="none" w:color="auto"/>
          <w:lang w:val="en-US" w:eastAsia="zh-CN" w:bidi="ar-SA"/>
        </w:rPr>
        <w:t>3.5.3</w:t>
      </w:r>
      <w:bookmarkEnd w:id="142"/>
      <w:r>
        <w:rPr>
          <w:rFonts w:hint="default" w:ascii="Times New Roman" w:hAnsi="Times New Roman" w:eastAsia="宋体" w:cs="Times New Roman"/>
          <w:b/>
          <w:bCs/>
          <w:color w:val="auto"/>
          <w:kern w:val="0"/>
          <w:sz w:val="24"/>
          <w:szCs w:val="24"/>
          <w:highlight w:val="none"/>
          <w:lang w:val="en-US" w:eastAsia="zh-CN" w:bidi="ar"/>
        </w:rPr>
        <w:t>火灾爆</w:t>
      </w:r>
      <w:r>
        <w:rPr>
          <w:rFonts w:hint="default" w:ascii="Times New Roman" w:hAnsi="Times New Roman" w:eastAsia="宋体" w:cs="Times New Roman"/>
          <w:b/>
          <w:bCs/>
          <w:color w:val="auto"/>
          <w:kern w:val="0"/>
          <w:sz w:val="24"/>
          <w:szCs w:val="24"/>
          <w:lang w:val="en-US" w:eastAsia="zh-CN" w:bidi="ar"/>
        </w:rPr>
        <w:t>炸引起次生污染环境风险事故分析</w:t>
      </w:r>
    </w:p>
    <w:p>
      <w:pPr>
        <w:spacing w:line="360" w:lineRule="auto"/>
        <w:ind w:firstLine="480" w:firstLineChars="200"/>
        <w:rPr>
          <w:rFonts w:hint="default" w:ascii="Times New Roman" w:hAnsi="Times New Roman" w:eastAsia="宋体" w:cs="Times New Roman"/>
          <w:color w:val="auto"/>
          <w:kern w:val="28"/>
          <w:sz w:val="24"/>
          <w:szCs w:val="24"/>
          <w:highlight w:val="yellow"/>
          <w:u w:val="none" w:color="auto"/>
          <w:lang w:val="zh-CN"/>
        </w:rPr>
      </w:pPr>
      <w:r>
        <w:rPr>
          <w:rFonts w:hint="default" w:ascii="Times New Roman" w:hAnsi="Times New Roman" w:eastAsia="宋体" w:cs="Times New Roman"/>
          <w:color w:val="auto"/>
          <w:sz w:val="24"/>
          <w:szCs w:val="24"/>
          <w:lang w:val="en-US" w:eastAsia="zh-CN" w:bidi="ar"/>
        </w:rPr>
        <w:t>机油泄漏遇火源可能引起火灾爆炸。拟建项目发生火灾爆炸事故时，可能的次生危险性主要包括施救过程产生的消防水，如不能得到有效控制，会进入清净下水或雨水系统。同时火灾爆炸后破坏地表覆盖植被，会有部分液体物料进入土壤，甚至污染地下水。大气污染物主要为燃烧不充分的情况下，产生的CO、氮氧化物和少量烟尘，对大气环境会造成局部污染，或产生的未完全燃烧有毒化学品会严重影响周围公众健康。</w:t>
      </w:r>
    </w:p>
    <w:p>
      <w:pPr>
        <w:spacing w:line="360" w:lineRule="auto"/>
        <w:ind w:firstLine="480" w:firstLineChars="200"/>
        <w:rPr>
          <w:rFonts w:hint="default" w:ascii="Times New Roman" w:hAnsi="Times New Roman" w:eastAsia="宋体" w:cs="Times New Roman"/>
          <w:color w:val="auto"/>
          <w:kern w:val="28"/>
          <w:sz w:val="24"/>
          <w:szCs w:val="24"/>
          <w:highlight w:val="yellow"/>
          <w:u w:val="none" w:color="auto"/>
          <w:lang w:val="zh-CN"/>
        </w:rPr>
      </w:pPr>
    </w:p>
    <w:p>
      <w:pPr>
        <w:rPr>
          <w:rFonts w:hint="default" w:ascii="Times New Roman" w:hAnsi="Times New Roman" w:eastAsia="宋体" w:cs="Times New Roman"/>
          <w:color w:val="auto"/>
          <w:kern w:val="28"/>
          <w:sz w:val="24"/>
          <w:szCs w:val="24"/>
          <w:highlight w:val="yellow"/>
          <w:u w:val="none" w:color="auto"/>
          <w:lang w:val="zh-CN"/>
        </w:rPr>
      </w:pPr>
      <w:r>
        <w:rPr>
          <w:rFonts w:hint="default" w:ascii="Times New Roman" w:hAnsi="Times New Roman" w:eastAsia="宋体" w:cs="Times New Roman"/>
          <w:color w:val="auto"/>
          <w:kern w:val="28"/>
          <w:sz w:val="24"/>
          <w:szCs w:val="24"/>
          <w:highlight w:val="yellow"/>
          <w:u w:val="none" w:color="auto"/>
          <w:lang w:val="zh-CN"/>
        </w:rPr>
        <w:br w:type="page"/>
      </w:r>
    </w:p>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u w:val="none" w:color="auto"/>
          <w:lang w:val="zh-CN" w:eastAsia="zh-CN" w:bidi="ar-SA"/>
        </w:rPr>
      </w:pPr>
      <w:bookmarkStart w:id="143" w:name="6.6.4_源项分析"/>
      <w:bookmarkEnd w:id="143"/>
      <w:bookmarkStart w:id="144" w:name="_Toc21868"/>
      <w:bookmarkStart w:id="145" w:name="_Toc11208"/>
      <w:r>
        <w:rPr>
          <w:rFonts w:hint="default" w:ascii="Times New Roman" w:hAnsi="Times New Roman" w:eastAsia="宋体" w:cs="Times New Roman"/>
          <w:b/>
          <w:bCs/>
          <w:color w:val="auto"/>
          <w:kern w:val="44"/>
          <w:sz w:val="36"/>
          <w:szCs w:val="44"/>
          <w:u w:val="none" w:color="auto"/>
          <w:lang w:val="zh-CN" w:eastAsia="zh-CN" w:bidi="ar-SA"/>
        </w:rPr>
        <w:t>源项分析</w:t>
      </w:r>
      <w:bookmarkEnd w:id="144"/>
      <w:bookmarkEnd w:id="145"/>
    </w:p>
    <w:p>
      <w:pPr>
        <w:widowControl w:val="0"/>
        <w:bidi w:val="0"/>
        <w:spacing w:line="360" w:lineRule="auto"/>
        <w:ind w:left="0" w:firstLine="0"/>
        <w:jc w:val="both"/>
        <w:outlineLvl w:val="1"/>
        <w:rPr>
          <w:rFonts w:hint="default" w:ascii="Times New Roman" w:hAnsi="Times New Roman" w:eastAsia="宋体" w:cs="Times New Roman"/>
          <w:b/>
          <w:color w:val="auto"/>
          <w:kern w:val="28"/>
          <w:sz w:val="24"/>
          <w:szCs w:val="24"/>
          <w:highlight w:val="none"/>
          <w:u w:val="none" w:color="auto"/>
          <w:lang w:val="zh-CN" w:eastAsia="zh-CN" w:bidi="ar-SA"/>
        </w:rPr>
      </w:pPr>
      <w:r>
        <w:rPr>
          <w:rFonts w:hint="default" w:ascii="Times New Roman" w:hAnsi="Times New Roman" w:eastAsia="宋体" w:cs="Times New Roman"/>
          <w:b/>
          <w:color w:val="auto"/>
          <w:kern w:val="28"/>
          <w:sz w:val="24"/>
          <w:szCs w:val="24"/>
          <w:highlight w:val="none"/>
          <w:u w:val="none" w:color="auto"/>
          <w:lang w:val="en-US" w:eastAsia="zh-CN" w:bidi="ar-SA"/>
        </w:rPr>
        <w:t>4.1</w:t>
      </w:r>
      <w:r>
        <w:rPr>
          <w:rFonts w:hint="default" w:ascii="Times New Roman" w:hAnsi="Times New Roman" w:eastAsia="宋体" w:cs="Times New Roman"/>
          <w:b/>
          <w:color w:val="auto"/>
          <w:kern w:val="28"/>
          <w:sz w:val="24"/>
          <w:szCs w:val="24"/>
          <w:highlight w:val="none"/>
          <w:u w:val="none" w:color="auto"/>
          <w:lang w:val="zh-CN" w:eastAsia="zh-CN" w:bidi="ar-SA"/>
        </w:rPr>
        <w:t>风险物质泄漏事故源强</w:t>
      </w:r>
    </w:p>
    <w:p>
      <w:pPr>
        <w:widowControl/>
        <w:spacing w:line="360" w:lineRule="auto"/>
        <w:ind w:firstLine="480"/>
        <w:jc w:val="left"/>
        <w:rPr>
          <w:rFonts w:hint="default" w:ascii="Times New Roman" w:hAnsi="Times New Roman" w:eastAsia="宋体" w:cs="Times New Roman"/>
          <w:b/>
          <w:bCs/>
          <w:color w:val="auto"/>
          <w:sz w:val="24"/>
          <w:szCs w:val="24"/>
          <w:u w:val="none" w:color="auto"/>
          <w:lang w:val="en-US" w:eastAsia="zh-CN" w:bidi="ar"/>
        </w:rPr>
      </w:pPr>
      <w:r>
        <w:rPr>
          <w:rFonts w:hint="default" w:ascii="Times New Roman" w:hAnsi="Times New Roman" w:cs="Times New Roman"/>
          <w:b/>
          <w:bCs/>
          <w:color w:val="auto"/>
          <w:sz w:val="24"/>
          <w:szCs w:val="24"/>
          <w:u w:val="none" w:color="auto"/>
          <w:lang w:val="en-US" w:eastAsia="zh-CN" w:bidi="ar"/>
        </w:rPr>
        <w:t>（1）硫酸泄漏事件</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在</w:t>
      </w:r>
      <w:r>
        <w:rPr>
          <w:rFonts w:hint="default" w:ascii="Times New Roman" w:hAnsi="Times New Roman" w:cs="Times New Roman"/>
          <w:color w:val="auto"/>
          <w:sz w:val="24"/>
          <w:szCs w:val="24"/>
          <w:u w:val="none" w:color="auto"/>
          <w:lang w:val="en-US" w:eastAsia="zh-CN" w:bidi="ar"/>
        </w:rPr>
        <w:t>硫酸</w:t>
      </w:r>
      <w:r>
        <w:rPr>
          <w:rFonts w:hint="default" w:ascii="Times New Roman" w:hAnsi="Times New Roman" w:eastAsia="宋体" w:cs="Times New Roman"/>
          <w:color w:val="auto"/>
          <w:sz w:val="24"/>
          <w:szCs w:val="24"/>
          <w:u w:val="none" w:color="auto"/>
          <w:lang w:val="en-US" w:eastAsia="zh-CN" w:bidi="ar"/>
        </w:rPr>
        <w:t>的储存过程中，由于容器的腐蚀破损或者应力作用造成</w:t>
      </w:r>
      <w:r>
        <w:rPr>
          <w:rFonts w:hint="default" w:ascii="Times New Roman" w:hAnsi="Times New Roman" w:cs="Times New Roman"/>
          <w:color w:val="auto"/>
          <w:sz w:val="24"/>
          <w:szCs w:val="24"/>
          <w:u w:val="none" w:color="auto"/>
          <w:lang w:val="en-US" w:eastAsia="zh-CN" w:bidi="ar"/>
        </w:rPr>
        <w:t>硫酸</w:t>
      </w:r>
      <w:r>
        <w:rPr>
          <w:rFonts w:hint="default" w:ascii="Times New Roman" w:hAnsi="Times New Roman" w:eastAsia="宋体" w:cs="Times New Roman"/>
          <w:color w:val="auto"/>
          <w:sz w:val="24"/>
          <w:szCs w:val="24"/>
          <w:u w:val="none" w:color="auto"/>
          <w:lang w:val="en-US" w:eastAsia="zh-CN" w:bidi="ar"/>
        </w:rPr>
        <w:t>的泄漏。假设为小孔泄漏，孔径10mm，</w:t>
      </w:r>
      <w:r>
        <w:rPr>
          <w:rFonts w:hint="default" w:ascii="Times New Roman" w:hAnsi="Times New Roman" w:cs="Times New Roman"/>
          <w:color w:val="auto"/>
          <w:sz w:val="24"/>
          <w:szCs w:val="24"/>
          <w:u w:val="none" w:color="auto"/>
          <w:lang w:val="en-US" w:eastAsia="zh-CN" w:bidi="ar"/>
        </w:rPr>
        <w:t>硫酸</w:t>
      </w:r>
      <w:r>
        <w:rPr>
          <w:rFonts w:hint="default" w:ascii="Times New Roman" w:hAnsi="Times New Roman" w:eastAsia="宋体" w:cs="Times New Roman"/>
          <w:color w:val="auto"/>
          <w:sz w:val="24"/>
          <w:szCs w:val="24"/>
          <w:u w:val="none" w:color="auto"/>
          <w:lang w:val="en-US" w:eastAsia="zh-CN" w:bidi="ar"/>
        </w:rPr>
        <w:t>泄漏速度可用液体力学的伯努利方程计算，其泄漏速度为：</w:t>
      </w:r>
    </w:p>
    <w:p>
      <w:pPr>
        <w:widowControl/>
        <w:spacing w:line="360" w:lineRule="auto"/>
        <w:ind w:left="0" w:leftChars="0" w:firstLine="0" w:firstLineChars="0"/>
        <w:jc w:val="center"/>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drawing>
          <wp:inline distT="0" distB="0" distL="114300" distR="114300">
            <wp:extent cx="2914650" cy="704850"/>
            <wp:effectExtent l="0" t="0" r="0" b="0"/>
            <wp:docPr id="3" name="图片 2" descr="企业微信截图_1697160842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企业微信截图_16971608426063"/>
                    <pic:cNvPicPr>
                      <a:picLocks noChangeAspect="1"/>
                    </pic:cNvPicPr>
                  </pic:nvPicPr>
                  <pic:blipFill>
                    <a:blip r:embed="rId41"/>
                    <a:stretch>
                      <a:fillRect/>
                    </a:stretch>
                  </pic:blipFill>
                  <pic:spPr>
                    <a:xfrm>
                      <a:off x="0" y="0"/>
                      <a:ext cx="2914650" cy="704850"/>
                    </a:xfrm>
                    <a:prstGeom prst="rect">
                      <a:avLst/>
                    </a:prstGeom>
                    <a:noFill/>
                    <a:ln>
                      <a:noFill/>
                    </a:ln>
                  </pic:spPr>
                </pic:pic>
              </a:graphicData>
            </a:graphic>
          </wp:inline>
        </w:drawing>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式中：Q</w:t>
      </w:r>
      <w:r>
        <w:rPr>
          <w:rFonts w:hint="default" w:ascii="Times New Roman" w:hAnsi="Times New Roman" w:eastAsia="宋体" w:cs="Times New Roman"/>
          <w:color w:val="auto"/>
          <w:sz w:val="24"/>
          <w:szCs w:val="24"/>
          <w:u w:val="none" w:color="auto"/>
          <w:vertAlign w:val="subscript"/>
          <w:lang w:val="en-US" w:eastAsia="zh-CN" w:bidi="ar"/>
        </w:rPr>
        <w:t>L</w:t>
      </w:r>
      <w:r>
        <w:rPr>
          <w:rFonts w:hint="default" w:ascii="Times New Roman" w:hAnsi="Times New Roman" w:eastAsia="宋体" w:cs="Times New Roman"/>
          <w:color w:val="auto"/>
          <w:sz w:val="24"/>
          <w:szCs w:val="24"/>
          <w:u w:val="none" w:color="auto"/>
          <w:lang w:val="en-US" w:eastAsia="zh-CN" w:bidi="ar"/>
        </w:rPr>
        <w:t>—液体泄漏速度，kg/s；</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C</w:t>
      </w:r>
      <w:r>
        <w:rPr>
          <w:rFonts w:hint="default" w:ascii="Times New Roman" w:hAnsi="Times New Roman" w:eastAsia="宋体" w:cs="Times New Roman"/>
          <w:color w:val="auto"/>
          <w:sz w:val="24"/>
          <w:szCs w:val="24"/>
          <w:u w:val="none" w:color="auto"/>
          <w:vertAlign w:val="subscript"/>
          <w:lang w:val="en-US" w:eastAsia="zh-CN" w:bidi="ar"/>
        </w:rPr>
        <w:t>d</w:t>
      </w:r>
      <w:r>
        <w:rPr>
          <w:rFonts w:hint="default" w:ascii="Times New Roman" w:hAnsi="Times New Roman" w:eastAsia="宋体" w:cs="Times New Roman"/>
          <w:color w:val="auto"/>
          <w:sz w:val="24"/>
          <w:szCs w:val="24"/>
          <w:u w:val="none" w:color="auto"/>
          <w:lang w:val="en-US" w:eastAsia="zh-CN" w:bidi="ar"/>
        </w:rPr>
        <w:t>—液体泄漏系数，取C</w:t>
      </w:r>
      <w:r>
        <w:rPr>
          <w:rFonts w:hint="default" w:ascii="Times New Roman" w:hAnsi="Times New Roman" w:eastAsia="宋体" w:cs="Times New Roman"/>
          <w:color w:val="auto"/>
          <w:sz w:val="24"/>
          <w:szCs w:val="24"/>
          <w:u w:val="none" w:color="auto"/>
          <w:vertAlign w:val="subscript"/>
          <w:lang w:val="en-US" w:eastAsia="zh-CN" w:bidi="ar"/>
        </w:rPr>
        <w:t>d</w:t>
      </w:r>
      <w:r>
        <w:rPr>
          <w:rFonts w:hint="default" w:ascii="Times New Roman" w:hAnsi="Times New Roman" w:eastAsia="宋体" w:cs="Times New Roman"/>
          <w:color w:val="auto"/>
          <w:sz w:val="24"/>
          <w:szCs w:val="24"/>
          <w:u w:val="none" w:color="auto"/>
          <w:lang w:val="en-US" w:eastAsia="zh-CN" w:bidi="ar"/>
        </w:rPr>
        <w:t>=0.</w:t>
      </w:r>
      <w:r>
        <w:rPr>
          <w:rFonts w:hint="eastAsia" w:ascii="Times New Roman" w:hAnsi="Times New Roman" w:cs="Times New Roman"/>
          <w:color w:val="auto"/>
          <w:sz w:val="24"/>
          <w:szCs w:val="24"/>
          <w:u w:val="none" w:color="auto"/>
          <w:lang w:val="en-US" w:eastAsia="zh-CN" w:bidi="ar"/>
        </w:rPr>
        <w:t>5</w:t>
      </w:r>
      <w:r>
        <w:rPr>
          <w:rFonts w:hint="default" w:ascii="Times New Roman" w:hAnsi="Times New Roman" w:eastAsia="宋体" w:cs="Times New Roman"/>
          <w:color w:val="auto"/>
          <w:sz w:val="24"/>
          <w:szCs w:val="24"/>
          <w:u w:val="none" w:color="auto"/>
          <w:lang w:val="en-US" w:eastAsia="zh-CN" w:bidi="ar"/>
        </w:rPr>
        <w:t>；</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A—裂口面积，m</w:t>
      </w:r>
      <w:r>
        <w:rPr>
          <w:rFonts w:hint="default" w:ascii="Times New Roman" w:hAnsi="Times New Roman" w:eastAsia="宋体" w:cs="Times New Roman"/>
          <w:color w:val="auto"/>
          <w:sz w:val="24"/>
          <w:szCs w:val="24"/>
          <w:u w:val="none" w:color="auto"/>
          <w:vertAlign w:val="superscript"/>
          <w:lang w:val="en-US" w:eastAsia="zh-CN" w:bidi="ar"/>
        </w:rPr>
        <w:t>2</w:t>
      </w:r>
      <w:r>
        <w:rPr>
          <w:rFonts w:hint="default" w:ascii="Times New Roman" w:hAnsi="Times New Roman" w:eastAsia="宋体" w:cs="Times New Roman"/>
          <w:color w:val="auto"/>
          <w:sz w:val="24"/>
          <w:szCs w:val="24"/>
          <w:u w:val="none" w:color="auto"/>
          <w:lang w:val="en-US" w:eastAsia="zh-CN" w:bidi="ar"/>
        </w:rPr>
        <w:t>，取A=0.0000785；</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ρ—泄漏液体密度，取</w:t>
      </w:r>
      <w:r>
        <w:rPr>
          <w:rFonts w:hint="eastAsia" w:ascii="Times New Roman" w:hAnsi="Times New Roman" w:cs="Times New Roman"/>
          <w:color w:val="auto"/>
          <w:sz w:val="24"/>
          <w:szCs w:val="24"/>
          <w:u w:val="none" w:color="auto"/>
          <w:lang w:val="en-US" w:eastAsia="zh-CN" w:bidi="ar"/>
        </w:rPr>
        <w:t>1840</w:t>
      </w:r>
      <w:r>
        <w:rPr>
          <w:rFonts w:hint="eastAsia" w:ascii="Times New Roman" w:hAnsi="Times New Roman" w:cs="Times New Roman"/>
          <w:color w:val="auto"/>
          <w:u w:val="none" w:color="auto"/>
          <w:lang w:val="en-US" w:eastAsia="zh-CN"/>
        </w:rPr>
        <w:t>kg/</w:t>
      </w:r>
      <w:r>
        <w:rPr>
          <w:rFonts w:hint="eastAsia" w:ascii="微软雅黑" w:hAnsi="微软雅黑" w:eastAsia="微软雅黑" w:cs="微软雅黑"/>
          <w:color w:val="auto"/>
          <w:u w:val="none" w:color="auto"/>
          <w:lang w:val="en-US" w:eastAsia="zh-CN"/>
        </w:rPr>
        <w:t>㎥</w:t>
      </w:r>
      <w:r>
        <w:rPr>
          <w:rFonts w:hint="default" w:ascii="Times New Roman" w:hAnsi="Times New Roman" w:eastAsia="宋体" w:cs="Times New Roman"/>
          <w:color w:val="auto"/>
          <w:sz w:val="24"/>
          <w:szCs w:val="24"/>
          <w:u w:val="none" w:color="auto"/>
          <w:lang w:val="en-US" w:eastAsia="zh-CN" w:bidi="ar"/>
        </w:rPr>
        <w:t>；</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P、P</w:t>
      </w:r>
      <w:r>
        <w:rPr>
          <w:rFonts w:hint="default" w:ascii="Times New Roman" w:hAnsi="Times New Roman" w:eastAsia="宋体" w:cs="Times New Roman"/>
          <w:color w:val="auto"/>
          <w:sz w:val="24"/>
          <w:szCs w:val="24"/>
          <w:u w:val="none" w:color="auto"/>
          <w:vertAlign w:val="subscript"/>
          <w:lang w:val="en-US" w:eastAsia="zh-CN" w:bidi="ar"/>
        </w:rPr>
        <w:t>0</w:t>
      </w:r>
      <w:r>
        <w:rPr>
          <w:rFonts w:hint="default" w:ascii="Times New Roman" w:hAnsi="Times New Roman" w:eastAsia="宋体" w:cs="Times New Roman"/>
          <w:color w:val="auto"/>
          <w:sz w:val="24"/>
          <w:szCs w:val="24"/>
          <w:u w:val="none" w:color="auto"/>
          <w:lang w:val="en-US" w:eastAsia="zh-CN" w:bidi="ar"/>
        </w:rPr>
        <w:t>—贮存罐内介质压力（101325Pa），环境压力（101325Pa）；</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g—重力加速度，9.8m/s</w:t>
      </w:r>
      <w:r>
        <w:rPr>
          <w:rFonts w:hint="default" w:ascii="Times New Roman" w:hAnsi="Times New Roman" w:eastAsia="宋体" w:cs="Times New Roman"/>
          <w:color w:val="auto"/>
          <w:sz w:val="24"/>
          <w:szCs w:val="24"/>
          <w:u w:val="none" w:color="auto"/>
          <w:vertAlign w:val="superscript"/>
          <w:lang w:val="en-US" w:eastAsia="zh-CN" w:bidi="ar"/>
        </w:rPr>
        <w:t>2</w:t>
      </w:r>
      <w:r>
        <w:rPr>
          <w:rFonts w:hint="default" w:ascii="Times New Roman" w:hAnsi="Times New Roman" w:eastAsia="宋体" w:cs="Times New Roman"/>
          <w:color w:val="auto"/>
          <w:sz w:val="24"/>
          <w:szCs w:val="24"/>
          <w:u w:val="none" w:color="auto"/>
          <w:lang w:val="en-US" w:eastAsia="zh-CN" w:bidi="ar"/>
        </w:rPr>
        <w:t>；</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h—裂口之上液位高度，m，取h=</w:t>
      </w:r>
      <w:r>
        <w:rPr>
          <w:rFonts w:hint="eastAsia" w:ascii="Times New Roman" w:hAnsi="Times New Roman" w:cs="Times New Roman"/>
          <w:color w:val="auto"/>
          <w:sz w:val="24"/>
          <w:szCs w:val="24"/>
          <w:u w:val="none" w:color="auto"/>
          <w:lang w:val="en-US" w:eastAsia="zh-CN" w:bidi="ar"/>
        </w:rPr>
        <w:t>0.5</w:t>
      </w:r>
      <w:r>
        <w:rPr>
          <w:rFonts w:hint="default" w:ascii="Times New Roman" w:hAnsi="Times New Roman" w:eastAsia="宋体" w:cs="Times New Roman"/>
          <w:color w:val="auto"/>
          <w:sz w:val="24"/>
          <w:szCs w:val="24"/>
          <w:u w:val="none" w:color="auto"/>
          <w:lang w:val="en-US" w:eastAsia="zh-CN" w:bidi="ar"/>
        </w:rPr>
        <w:t>m</w:t>
      </w:r>
    </w:p>
    <w:p>
      <w:pPr>
        <w:widowControl/>
        <w:spacing w:line="360" w:lineRule="auto"/>
        <w:ind w:firstLine="480"/>
        <w:jc w:val="left"/>
        <w:rPr>
          <w:rFonts w:hint="default" w:ascii="Times New Roman" w:hAnsi="Times New Roman" w:eastAsia="宋体" w:cs="Times New Roman"/>
          <w:color w:val="auto"/>
          <w:sz w:val="24"/>
          <w:szCs w:val="24"/>
          <w:u w:val="none" w:color="auto"/>
          <w:lang w:val="en-US" w:eastAsia="zh-CN" w:bidi="ar"/>
        </w:rPr>
      </w:pPr>
      <w:r>
        <w:rPr>
          <w:rFonts w:hint="default" w:ascii="Times New Roman" w:hAnsi="Times New Roman" w:eastAsia="宋体" w:cs="Times New Roman"/>
          <w:color w:val="auto"/>
          <w:sz w:val="24"/>
          <w:szCs w:val="24"/>
          <w:u w:val="none" w:color="auto"/>
          <w:lang w:val="en-US" w:eastAsia="zh-CN" w:bidi="ar"/>
        </w:rPr>
        <w:t>根据上述公式计算，</w:t>
      </w:r>
      <w:r>
        <w:rPr>
          <w:rFonts w:hint="default" w:ascii="Times New Roman" w:hAnsi="Times New Roman" w:cs="Times New Roman"/>
          <w:color w:val="auto"/>
          <w:sz w:val="24"/>
          <w:szCs w:val="24"/>
          <w:u w:val="none" w:color="auto"/>
          <w:lang w:val="en-US" w:eastAsia="zh-CN" w:bidi="ar"/>
        </w:rPr>
        <w:t>硫酸</w:t>
      </w:r>
      <w:r>
        <w:rPr>
          <w:rFonts w:hint="default" w:ascii="Times New Roman" w:hAnsi="Times New Roman" w:eastAsia="宋体" w:cs="Times New Roman"/>
          <w:color w:val="auto"/>
          <w:sz w:val="24"/>
          <w:szCs w:val="24"/>
          <w:u w:val="none" w:color="auto"/>
          <w:lang w:val="en-US" w:eastAsia="zh-CN" w:bidi="ar"/>
        </w:rPr>
        <w:t>泄漏速率及泄漏量如下表所示</w:t>
      </w:r>
      <w:r>
        <w:rPr>
          <w:rFonts w:hint="eastAsia" w:ascii="Times New Roman" w:hAnsi="Times New Roman" w:cs="Times New Roman"/>
          <w:color w:val="auto"/>
          <w:sz w:val="24"/>
          <w:szCs w:val="24"/>
          <w:u w:val="none" w:color="auto"/>
          <w:lang w:val="en-US" w:eastAsia="zh-CN" w:bidi="ar"/>
        </w:rPr>
        <w:t>：</w:t>
      </w:r>
    </w:p>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4"/>
          <w:szCs w:val="24"/>
          <w:highlight w:val="none"/>
          <w:u w:val="none" w:color="auto"/>
          <w:lang w:val="en-US" w:eastAsia="zh-CN" w:bidi="zh-CN"/>
        </w:rPr>
      </w:pPr>
      <w:r>
        <w:rPr>
          <w:rFonts w:hint="default" w:ascii="Times New Roman" w:hAnsi="Times New Roman" w:eastAsia="宋体" w:cs="Times New Roman"/>
          <w:b/>
          <w:bCs/>
          <w:color w:val="auto"/>
          <w:kern w:val="0"/>
          <w:sz w:val="24"/>
          <w:szCs w:val="24"/>
          <w:highlight w:val="none"/>
          <w:u w:val="none" w:color="auto"/>
          <w:lang w:val="zh-CN" w:bidi="zh-CN"/>
        </w:rPr>
        <w:t>表</w:t>
      </w:r>
      <w:r>
        <w:rPr>
          <w:rFonts w:hint="default" w:ascii="Times New Roman" w:hAnsi="Times New Roman" w:eastAsia="宋体" w:cs="Times New Roman"/>
          <w:b/>
          <w:bCs/>
          <w:color w:val="auto"/>
          <w:kern w:val="0"/>
          <w:sz w:val="24"/>
          <w:szCs w:val="24"/>
          <w:highlight w:val="none"/>
          <w:u w:val="none" w:color="auto"/>
          <w:lang w:val="en-US" w:eastAsia="zh-CN" w:bidi="zh-CN"/>
        </w:rPr>
        <w:t>4.1-1硫酸泄漏源强计算表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9"/>
        <w:gridCol w:w="1791"/>
        <w:gridCol w:w="2296"/>
        <w:gridCol w:w="2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泄漏情况</w:t>
            </w:r>
          </w:p>
        </w:tc>
        <w:tc>
          <w:tcPr>
            <w:tcW w:w="975" w:type="pct"/>
            <w:tcBorders>
              <w:top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泄漏时间</w:t>
            </w:r>
          </w:p>
        </w:tc>
        <w:tc>
          <w:tcPr>
            <w:tcW w:w="1250" w:type="pct"/>
            <w:tcBorders>
              <w:top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泄漏速率（kg/s）</w:t>
            </w:r>
          </w:p>
        </w:tc>
        <w:tc>
          <w:tcPr>
            <w:tcW w:w="1250" w:type="pct"/>
            <w:tcBorders>
              <w:top w:val="single" w:color="auto" w:sz="4" w:space="0"/>
              <w:right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泄漏量（kg）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pct"/>
            <w:tcBorders>
              <w:left w:val="single" w:color="auto" w:sz="4" w:space="0"/>
              <w:bottom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小孔泄漏（孔径10mm）</w:t>
            </w:r>
          </w:p>
        </w:tc>
        <w:tc>
          <w:tcPr>
            <w:tcW w:w="975" w:type="pct"/>
            <w:tcBorders>
              <w:bottom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30min</w:t>
            </w:r>
          </w:p>
        </w:tc>
        <w:tc>
          <w:tcPr>
            <w:tcW w:w="1250" w:type="pct"/>
            <w:tcBorders>
              <w:bottom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0.226</w:t>
            </w:r>
          </w:p>
        </w:tc>
        <w:tc>
          <w:tcPr>
            <w:tcW w:w="1250" w:type="pct"/>
            <w:tcBorders>
              <w:bottom w:val="single" w:color="auto" w:sz="4" w:space="0"/>
              <w:right w:val="single" w:color="auto" w:sz="4" w:space="0"/>
              <w:tl2br w:val="nil"/>
              <w:tr2bl w:val="nil"/>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813.6</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jc w:val="left"/>
        <w:textAlignment w:val="auto"/>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本项目危险物质为非过热液体，故只计算其质量蒸发。</w:t>
      </w:r>
    </w:p>
    <w:p>
      <w:pPr>
        <w:keepNext w:val="0"/>
        <w:keepLines w:val="0"/>
        <w:pageBreakBefore w:val="0"/>
        <w:widowControl w:val="0"/>
        <w:kinsoku/>
        <w:wordWrap/>
        <w:overflowPunct/>
        <w:topLinePunct w:val="0"/>
        <w:autoSpaceDE w:val="0"/>
        <w:autoSpaceDN w:val="0"/>
        <w:bidi w:val="0"/>
        <w:adjustRightInd/>
        <w:snapToGrid/>
        <w:spacing w:line="360" w:lineRule="auto"/>
        <w:ind w:firstLine="482"/>
        <w:jc w:val="left"/>
        <w:textAlignment w:val="auto"/>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发生原料泄漏导致</w:t>
      </w:r>
      <w:r>
        <w:rPr>
          <w:rFonts w:hint="default" w:ascii="Times New Roman" w:hAnsi="Times New Roman" w:cs="Times New Roman"/>
          <w:color w:val="auto"/>
          <w:sz w:val="24"/>
          <w:szCs w:val="24"/>
          <w:highlight w:val="none"/>
          <w:u w:val="none" w:color="auto"/>
          <w:lang w:val="zh-CN"/>
        </w:rPr>
        <w:t>物料</w:t>
      </w:r>
      <w:r>
        <w:rPr>
          <w:rFonts w:hint="default" w:ascii="Times New Roman" w:hAnsi="Times New Roman" w:eastAsia="宋体" w:cs="Times New Roman"/>
          <w:color w:val="auto"/>
          <w:sz w:val="24"/>
          <w:szCs w:val="24"/>
          <w:highlight w:val="none"/>
          <w:u w:val="none" w:color="auto"/>
          <w:lang w:val="zh-CN"/>
        </w:rPr>
        <w:t>发生质量蒸发，并随大气运动扩散到厂区外，对厂界外的环境会造成威胁。</w:t>
      </w:r>
      <w:r>
        <w:rPr>
          <w:rFonts w:hint="default" w:ascii="Times New Roman" w:hAnsi="Times New Roman" w:cs="Times New Roman"/>
          <w:color w:val="auto"/>
          <w:sz w:val="24"/>
          <w:szCs w:val="24"/>
          <w:highlight w:val="none"/>
          <w:u w:val="none" w:color="auto"/>
          <w:lang w:val="zh-CN"/>
        </w:rPr>
        <w:t>物料</w:t>
      </w:r>
      <w:r>
        <w:rPr>
          <w:rFonts w:hint="default" w:ascii="Times New Roman" w:hAnsi="Times New Roman" w:eastAsia="宋体" w:cs="Times New Roman"/>
          <w:color w:val="auto"/>
          <w:sz w:val="24"/>
          <w:szCs w:val="24"/>
          <w:highlight w:val="none"/>
          <w:u w:val="none" w:color="auto"/>
          <w:lang w:val="zh-CN"/>
        </w:rPr>
        <w:t>泄漏后，会在地面形成液池，发生泄漏为瞬时泄漏，泄漏时间取</w:t>
      </w:r>
      <w:r>
        <w:rPr>
          <w:rFonts w:hint="default" w:ascii="Times New Roman" w:hAnsi="Times New Roman" w:cs="Times New Roman"/>
          <w:b w:val="0"/>
          <w:bCs w:val="0"/>
          <w:color w:val="auto"/>
          <w:sz w:val="24"/>
          <w:szCs w:val="24"/>
          <w:highlight w:val="none"/>
          <w:u w:val="none" w:color="auto"/>
          <w:lang w:val="en-US" w:eastAsia="zh-CN"/>
        </w:rPr>
        <w:t>30</w:t>
      </w:r>
      <w:r>
        <w:rPr>
          <w:rFonts w:hint="default" w:ascii="Times New Roman" w:hAnsi="Times New Roman" w:eastAsia="宋体" w:cs="Times New Roman"/>
          <w:b w:val="0"/>
          <w:bCs w:val="0"/>
          <w:color w:val="auto"/>
          <w:sz w:val="24"/>
          <w:szCs w:val="24"/>
          <w:highlight w:val="none"/>
          <w:u w:val="none" w:color="auto"/>
          <w:lang w:val="en-US" w:eastAsia="zh-CN"/>
        </w:rPr>
        <w:t>min</w:t>
      </w:r>
      <w:r>
        <w:rPr>
          <w:rFonts w:hint="eastAsia" w:ascii="Times New Roman" w:hAnsi="Times New Roman" w:cs="Times New Roman"/>
          <w:b w:val="0"/>
          <w:bCs w:val="0"/>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zh-CN"/>
        </w:rPr>
        <w:t>液池中的</w:t>
      </w:r>
      <w:r>
        <w:rPr>
          <w:rFonts w:hint="eastAsia" w:ascii="Times New Roman" w:hAnsi="Times New Roman" w:cs="Times New Roman"/>
          <w:color w:val="auto"/>
          <w:sz w:val="24"/>
          <w:szCs w:val="24"/>
          <w:highlight w:val="none"/>
          <w:u w:val="none" w:color="auto"/>
          <w:lang w:val="zh-CN"/>
        </w:rPr>
        <w:t>硫酸雾</w:t>
      </w:r>
      <w:r>
        <w:rPr>
          <w:rFonts w:hint="default" w:ascii="Times New Roman" w:hAnsi="Times New Roman" w:eastAsia="宋体" w:cs="Times New Roman"/>
          <w:color w:val="auto"/>
          <w:sz w:val="24"/>
          <w:szCs w:val="24"/>
          <w:highlight w:val="none"/>
          <w:u w:val="none" w:color="auto"/>
          <w:lang w:val="zh-CN"/>
        </w:rPr>
        <w:t>随着表面风的对流而蒸发扩散。由于挥发的</w:t>
      </w:r>
      <w:r>
        <w:rPr>
          <w:rFonts w:hint="eastAsia" w:ascii="Times New Roman" w:hAnsi="Times New Roman" w:cs="Times New Roman"/>
          <w:color w:val="auto"/>
          <w:sz w:val="24"/>
          <w:szCs w:val="24"/>
          <w:highlight w:val="none"/>
          <w:u w:val="none" w:color="auto"/>
          <w:lang w:val="zh-CN"/>
        </w:rPr>
        <w:t>硫酸雾</w:t>
      </w:r>
      <w:r>
        <w:rPr>
          <w:rFonts w:hint="default" w:ascii="Times New Roman" w:hAnsi="Times New Roman" w:eastAsia="宋体" w:cs="Times New Roman"/>
          <w:color w:val="auto"/>
          <w:sz w:val="24"/>
          <w:szCs w:val="24"/>
          <w:highlight w:val="none"/>
          <w:u w:val="none" w:color="auto"/>
          <w:lang w:val="zh-CN"/>
        </w:rPr>
        <w:t>比空气轻，能在高处扩散至较远地方，使周边大气环境受到污染。泄漏</w:t>
      </w:r>
      <w:r>
        <w:rPr>
          <w:rFonts w:hint="eastAsia" w:ascii="Times New Roman" w:hAnsi="Times New Roman" w:cs="Times New Roman"/>
          <w:color w:val="auto"/>
          <w:sz w:val="24"/>
          <w:szCs w:val="24"/>
          <w:highlight w:val="none"/>
          <w:u w:val="none" w:color="auto"/>
          <w:lang w:val="zh-CN"/>
        </w:rPr>
        <w:t>硫酸雾</w:t>
      </w:r>
      <w:r>
        <w:rPr>
          <w:rFonts w:hint="default" w:ascii="Times New Roman" w:hAnsi="Times New Roman" w:eastAsia="宋体" w:cs="Times New Roman"/>
          <w:color w:val="auto"/>
          <w:sz w:val="24"/>
          <w:szCs w:val="24"/>
          <w:highlight w:val="none"/>
          <w:u w:val="none" w:color="auto"/>
          <w:lang w:val="zh-CN"/>
        </w:rPr>
        <w:t>的蒸发主要是质量蒸发，蒸发时间取</w:t>
      </w:r>
      <w:r>
        <w:rPr>
          <w:rFonts w:hint="eastAsia" w:ascii="Times New Roman" w:hAnsi="Times New Roman" w:cs="Times New Roman"/>
          <w:color w:val="auto"/>
          <w:sz w:val="24"/>
          <w:szCs w:val="24"/>
          <w:highlight w:val="none"/>
          <w:u w:val="none" w:color="auto"/>
          <w:lang w:val="en-US" w:eastAsia="zh-CN"/>
        </w:rPr>
        <w:t>30</w:t>
      </w:r>
      <w:r>
        <w:rPr>
          <w:rFonts w:hint="default" w:ascii="Times New Roman" w:hAnsi="Times New Roman" w:eastAsia="宋体" w:cs="Times New Roman"/>
          <w:color w:val="auto"/>
          <w:sz w:val="24"/>
          <w:szCs w:val="24"/>
          <w:highlight w:val="none"/>
          <w:u w:val="none" w:color="auto"/>
        </w:rPr>
        <w:t>min，</w:t>
      </w:r>
      <w:r>
        <w:rPr>
          <w:rFonts w:hint="default" w:ascii="Times New Roman" w:hAnsi="Times New Roman" w:eastAsia="宋体" w:cs="Times New Roman"/>
          <w:color w:val="auto"/>
          <w:sz w:val="24"/>
          <w:szCs w:val="24"/>
          <w:highlight w:val="none"/>
          <w:u w:val="none" w:color="auto"/>
          <w:lang w:val="zh-CN"/>
        </w:rPr>
        <w:t>质量蒸发速度Q</w:t>
      </w:r>
      <w:r>
        <w:rPr>
          <w:rFonts w:hint="default" w:ascii="Times New Roman" w:hAnsi="Times New Roman" w:eastAsia="宋体" w:cs="Times New Roman"/>
          <w:color w:val="auto"/>
          <w:sz w:val="24"/>
          <w:szCs w:val="24"/>
          <w:highlight w:val="none"/>
          <w:u w:val="none" w:color="auto"/>
          <w:vertAlign w:val="subscript"/>
          <w:lang w:val="zh-CN"/>
        </w:rPr>
        <w:t>3</w:t>
      </w:r>
      <w:r>
        <w:rPr>
          <w:rFonts w:hint="default" w:ascii="Times New Roman" w:hAnsi="Times New Roman" w:eastAsia="宋体" w:cs="Times New Roman"/>
          <w:color w:val="auto"/>
          <w:sz w:val="24"/>
          <w:szCs w:val="24"/>
          <w:highlight w:val="none"/>
          <w:u w:val="none" w:color="auto"/>
          <w:lang w:val="zh-CN"/>
        </w:rPr>
        <w:t>按以下公式计算：</w:t>
      </w:r>
    </w:p>
    <w:p>
      <w:pPr>
        <w:autoSpaceDE w:val="0"/>
        <w:autoSpaceDN w:val="0"/>
        <w:adjustRightInd/>
        <w:snapToGrid/>
        <w:spacing w:before="5" w:line="360" w:lineRule="auto"/>
        <w:ind w:firstLine="0" w:firstLineChars="0"/>
        <w:jc w:val="center"/>
        <w:rPr>
          <w:rFonts w:hint="default" w:ascii="Times New Roman" w:hAnsi="Times New Roman" w:eastAsia="宋体" w:cs="Times New Roman"/>
          <w:color w:val="auto"/>
          <w:kern w:val="0"/>
          <w:sz w:val="24"/>
          <w:szCs w:val="24"/>
          <w:highlight w:val="none"/>
          <w:u w:val="none" w:color="auto"/>
          <w:lang w:val="zh-CN" w:bidi="zh-CN"/>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2409825" cy="828675"/>
            <wp:effectExtent l="0" t="0" r="9525" b="9525"/>
            <wp:docPr id="73" name="图片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
                    <pic:cNvPicPr>
                      <a:picLocks noChangeAspect="1"/>
                    </pic:cNvPicPr>
                  </pic:nvPicPr>
                  <pic:blipFill>
                    <a:blip r:embed="rId42"/>
                    <a:stretch>
                      <a:fillRect/>
                    </a:stretch>
                  </pic:blipFill>
                  <pic:spPr>
                    <a:xfrm>
                      <a:off x="0" y="0"/>
                      <a:ext cx="2409825" cy="828675"/>
                    </a:xfrm>
                    <a:prstGeom prst="rect">
                      <a:avLst/>
                    </a:prstGeom>
                  </pic:spPr>
                </pic:pic>
              </a:graphicData>
            </a:graphic>
          </wp:inline>
        </w:drawing>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Q</w:t>
      </w:r>
      <w:r>
        <w:rPr>
          <w:rFonts w:hint="default" w:ascii="Times New Roman" w:hAnsi="Times New Roman" w:eastAsia="宋体" w:cs="Times New Roman"/>
          <w:color w:val="auto"/>
          <w:sz w:val="24"/>
          <w:szCs w:val="24"/>
          <w:highlight w:val="none"/>
          <w:u w:val="none" w:color="auto"/>
          <w:vertAlign w:val="subscript"/>
          <w:lang w:val="zh-CN"/>
        </w:rPr>
        <w:t>3</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多年日平均温度下的蒸发速度，kg/s</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a，n</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大气稳定系数；</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p</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液体表面蒸汽压，Pa；</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R</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气体常数，J/mol</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zh-CN"/>
        </w:rPr>
        <w:t>k，取8.314；</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T</w:t>
      </w:r>
      <w:r>
        <w:rPr>
          <w:rFonts w:hint="default" w:ascii="Times New Roman" w:hAnsi="Times New Roman" w:eastAsia="宋体" w:cs="Times New Roman"/>
          <w:color w:val="auto"/>
          <w:sz w:val="24"/>
          <w:szCs w:val="24"/>
          <w:highlight w:val="none"/>
          <w:u w:val="none" w:color="auto"/>
          <w:vertAlign w:val="subscript"/>
          <w:lang w:val="zh-CN"/>
        </w:rPr>
        <w:t>0</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环境温度，K，取（25℃，即298.15K）；</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u</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风速，m/s，取最不利情况，即</w:t>
      </w:r>
      <w:r>
        <w:rPr>
          <w:rFonts w:hint="default" w:ascii="Times New Roman" w:hAnsi="Times New Roman" w:cs="Times New Roman"/>
          <w:color w:val="auto"/>
          <w:sz w:val="24"/>
          <w:szCs w:val="24"/>
          <w:highlight w:val="none"/>
          <w:u w:val="none" w:color="auto"/>
          <w:lang w:val="en-US" w:eastAsia="zh-CN"/>
        </w:rPr>
        <w:t>1.5</w:t>
      </w:r>
      <w:r>
        <w:rPr>
          <w:rFonts w:hint="default" w:ascii="Times New Roman" w:hAnsi="Times New Roman" w:eastAsia="宋体" w:cs="Times New Roman"/>
          <w:color w:val="auto"/>
          <w:sz w:val="24"/>
          <w:szCs w:val="24"/>
          <w:highlight w:val="none"/>
          <w:u w:val="none" w:color="auto"/>
          <w:lang w:val="zh-CN"/>
        </w:rPr>
        <w:t>m/s；</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M</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摩尔质量（分子量），kg/mol；</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r</w:t>
      </w:r>
      <w:r>
        <w:rPr>
          <w:rFonts w:hint="default" w:ascii="Times New Roman" w:hAnsi="Times New Roman" w:cs="Times New Roman"/>
          <w:color w:val="auto"/>
          <w:sz w:val="24"/>
          <w:szCs w:val="24"/>
          <w:highlight w:val="none"/>
          <w:u w:val="none" w:color="auto"/>
          <w:lang w:val="zh-CN"/>
        </w:rPr>
        <w:t>——</w:t>
      </w:r>
      <w:r>
        <w:rPr>
          <w:rFonts w:hint="default" w:ascii="Times New Roman" w:hAnsi="Times New Roman" w:eastAsia="宋体" w:cs="Times New Roman"/>
          <w:color w:val="auto"/>
          <w:sz w:val="24"/>
          <w:szCs w:val="24"/>
          <w:highlight w:val="none"/>
          <w:u w:val="none" w:color="auto"/>
          <w:lang w:val="zh-CN"/>
        </w:rPr>
        <w:t>液池半径，m。</w:t>
      </w:r>
    </w:p>
    <w:p>
      <w:pPr>
        <w:wordWrap/>
        <w:spacing w:line="360" w:lineRule="auto"/>
        <w:ind w:firstLine="480" w:firstLineChars="200"/>
        <w:rPr>
          <w:rFonts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本评价取中性稳定度条件下参数，见表</w:t>
      </w:r>
      <w:r>
        <w:rPr>
          <w:rFonts w:hint="eastAsia" w:ascii="Times New Roman" w:hAnsi="Times New Roman" w:eastAsia="宋体" w:cs="Times New Roman"/>
          <w:color w:val="auto"/>
          <w:sz w:val="24"/>
          <w:szCs w:val="24"/>
          <w:u w:val="none" w:color="auto"/>
          <w:lang w:val="en-US" w:eastAsia="zh-CN"/>
        </w:rPr>
        <w:t>4.1-2</w:t>
      </w:r>
      <w:r>
        <w:rPr>
          <w:rFonts w:hint="eastAsia" w:ascii="Times New Roman" w:hAnsi="Times New Roman" w:eastAsia="宋体" w:cs="Times New Roman"/>
          <w:color w:val="auto"/>
          <w:sz w:val="24"/>
          <w:szCs w:val="24"/>
          <w:u w:val="none" w:color="auto"/>
        </w:rPr>
        <w:t>。</w:t>
      </w:r>
    </w:p>
    <w:p>
      <w:pPr>
        <w:autoSpaceDE w:val="0"/>
        <w:autoSpaceDN w:val="0"/>
        <w:adjustRightInd/>
        <w:snapToGrid/>
        <w:ind w:firstLine="0" w:firstLineChars="0"/>
        <w:jc w:val="center"/>
        <w:rPr>
          <w:rFonts w:hint="default" w:ascii="Times New Roman" w:hAnsi="Times New Roman" w:eastAsia="宋体" w:cs="Times New Roman"/>
          <w:b/>
          <w:bCs/>
          <w:color w:val="auto"/>
          <w:kern w:val="0"/>
          <w:sz w:val="24"/>
          <w:szCs w:val="24"/>
          <w:highlight w:val="none"/>
          <w:u w:val="none" w:color="auto"/>
          <w:lang w:val="en-US" w:eastAsia="zh-CN" w:bidi="zh-CN"/>
        </w:rPr>
      </w:pPr>
      <w:r>
        <w:rPr>
          <w:rFonts w:hint="eastAsia" w:ascii="Times New Roman" w:hAnsi="Times New Roman" w:eastAsia="宋体" w:cs="Times New Roman"/>
          <w:b/>
          <w:bCs/>
          <w:color w:val="auto"/>
          <w:kern w:val="0"/>
          <w:sz w:val="24"/>
          <w:szCs w:val="24"/>
          <w:highlight w:val="none"/>
          <w:u w:val="none" w:color="auto"/>
          <w:lang w:val="en-US" w:eastAsia="zh-CN" w:bidi="zh-CN"/>
        </w:rPr>
        <w:t>表4.1-2</w:t>
      </w:r>
      <w:r>
        <w:rPr>
          <w:rFonts w:hint="default" w:ascii="Times New Roman" w:hAnsi="Times New Roman" w:eastAsia="宋体" w:cs="Times New Roman"/>
          <w:b/>
          <w:bCs/>
          <w:color w:val="auto"/>
          <w:kern w:val="0"/>
          <w:sz w:val="24"/>
          <w:szCs w:val="24"/>
          <w:highlight w:val="none"/>
          <w:u w:val="none" w:color="auto"/>
          <w:lang w:val="en-US" w:eastAsia="zh-CN" w:bidi="zh-CN"/>
        </w:rPr>
        <w:t>a、n系数与大气稳定度关系</w:t>
      </w:r>
    </w:p>
    <w:tbl>
      <w:tblPr>
        <w:tblStyle w:val="2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061"/>
        <w:gridCol w:w="3061"/>
        <w:gridCol w:w="30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大气稳定状况</w:t>
            </w:r>
          </w:p>
        </w:tc>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n</w:t>
            </w:r>
          </w:p>
        </w:tc>
        <w:tc>
          <w:tcPr>
            <w:tcW w:w="1667"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不稳定（A-B）</w:t>
            </w:r>
          </w:p>
        </w:tc>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0.2</w:t>
            </w:r>
          </w:p>
        </w:tc>
        <w:tc>
          <w:tcPr>
            <w:tcW w:w="1667"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3.846×10</w:t>
            </w:r>
            <w:r>
              <w:rPr>
                <w:rFonts w:ascii="Times New Roman" w:hAnsi="Times New Roman" w:eastAsia="宋体" w:cs="Times New Roman"/>
                <w:color w:val="auto"/>
                <w:sz w:val="21"/>
                <w:szCs w:val="21"/>
                <w:u w:val="none" w:color="auto"/>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自然状态（D）</w:t>
            </w:r>
          </w:p>
        </w:tc>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0.25</w:t>
            </w:r>
          </w:p>
        </w:tc>
        <w:tc>
          <w:tcPr>
            <w:tcW w:w="1667"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4.685×10</w:t>
            </w:r>
            <w:r>
              <w:rPr>
                <w:rFonts w:ascii="Times New Roman" w:hAnsi="Times New Roman" w:eastAsia="宋体" w:cs="Times New Roman"/>
                <w:color w:val="auto"/>
                <w:sz w:val="21"/>
                <w:szCs w:val="21"/>
                <w:u w:val="none" w:color="auto"/>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稳定（E-F）</w:t>
            </w:r>
          </w:p>
        </w:tc>
        <w:tc>
          <w:tcPr>
            <w:tcW w:w="1666"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0.3</w:t>
            </w:r>
          </w:p>
        </w:tc>
        <w:tc>
          <w:tcPr>
            <w:tcW w:w="1667"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5.285×10</w:t>
            </w:r>
            <w:r>
              <w:rPr>
                <w:rFonts w:ascii="Times New Roman" w:hAnsi="Times New Roman" w:eastAsia="宋体" w:cs="Times New Roman"/>
                <w:color w:val="auto"/>
                <w:sz w:val="21"/>
                <w:szCs w:val="21"/>
                <w:u w:val="none" w:color="auto"/>
                <w:vertAlign w:val="superscript"/>
              </w:rPr>
              <w:t>-3</w:t>
            </w:r>
          </w:p>
        </w:tc>
      </w:tr>
    </w:tbl>
    <w:p>
      <w:pPr>
        <w:wordWrap/>
        <w:spacing w:line="360" w:lineRule="auto"/>
        <w:ind w:firstLine="480" w:firstLineChars="200"/>
        <w:rPr>
          <w:rFonts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本评价污染物质量蒸发计算结果见表</w:t>
      </w:r>
      <w:r>
        <w:rPr>
          <w:rFonts w:hint="eastAsia" w:ascii="Times New Roman" w:hAnsi="Times New Roman" w:eastAsia="宋体" w:cs="Times New Roman"/>
          <w:color w:val="auto"/>
          <w:sz w:val="24"/>
          <w:szCs w:val="24"/>
          <w:u w:val="none" w:color="auto"/>
          <w:lang w:val="en-US" w:eastAsia="zh-CN"/>
        </w:rPr>
        <w:t>4.1-3</w:t>
      </w:r>
      <w:r>
        <w:rPr>
          <w:rFonts w:hint="eastAsia" w:ascii="Times New Roman" w:hAnsi="Times New Roman" w:eastAsia="宋体" w:cs="Times New Roman"/>
          <w:color w:val="auto"/>
          <w:sz w:val="24"/>
          <w:szCs w:val="24"/>
          <w:u w:val="none" w:color="auto"/>
        </w:rPr>
        <w:t>。</w:t>
      </w:r>
    </w:p>
    <w:p>
      <w:pPr>
        <w:autoSpaceDE w:val="0"/>
        <w:autoSpaceDN w:val="0"/>
        <w:adjustRightInd/>
        <w:snapToGrid/>
        <w:ind w:firstLine="0" w:firstLineChars="0"/>
        <w:jc w:val="center"/>
        <w:rPr>
          <w:rFonts w:hint="default" w:ascii="Times New Roman" w:hAnsi="Times New Roman" w:eastAsia="宋体" w:cs="Times New Roman"/>
          <w:b/>
          <w:bCs/>
          <w:color w:val="auto"/>
          <w:kern w:val="0"/>
          <w:sz w:val="24"/>
          <w:szCs w:val="24"/>
          <w:highlight w:val="none"/>
          <w:u w:val="none" w:color="auto"/>
          <w:lang w:val="en-US" w:eastAsia="zh-CN" w:bidi="zh-CN"/>
        </w:rPr>
      </w:pPr>
      <w:r>
        <w:rPr>
          <w:rFonts w:hint="eastAsia" w:ascii="Times New Roman" w:hAnsi="Times New Roman" w:eastAsia="宋体" w:cs="Times New Roman"/>
          <w:b/>
          <w:bCs/>
          <w:color w:val="auto"/>
          <w:kern w:val="0"/>
          <w:sz w:val="24"/>
          <w:szCs w:val="24"/>
          <w:highlight w:val="none"/>
          <w:u w:val="none" w:color="auto"/>
          <w:lang w:val="en-US" w:eastAsia="zh-CN" w:bidi="zh-CN"/>
        </w:rPr>
        <w:t>表4.1-3</w:t>
      </w:r>
      <w:r>
        <w:rPr>
          <w:rFonts w:hint="default" w:ascii="Times New Roman" w:hAnsi="Times New Roman" w:eastAsia="宋体" w:cs="Times New Roman"/>
          <w:b/>
          <w:bCs/>
          <w:color w:val="auto"/>
          <w:kern w:val="0"/>
          <w:sz w:val="24"/>
          <w:szCs w:val="24"/>
          <w:highlight w:val="none"/>
          <w:u w:val="none" w:color="auto"/>
          <w:lang w:val="en-US" w:eastAsia="zh-CN" w:bidi="zh-CN"/>
        </w:rPr>
        <w:t>蒸发计算</w:t>
      </w:r>
      <w:r>
        <w:rPr>
          <w:rFonts w:hint="eastAsia" w:ascii="Times New Roman" w:hAnsi="Times New Roman" w:eastAsia="宋体" w:cs="Times New Roman"/>
          <w:b/>
          <w:bCs/>
          <w:color w:val="auto"/>
          <w:kern w:val="0"/>
          <w:sz w:val="24"/>
          <w:szCs w:val="24"/>
          <w:highlight w:val="none"/>
          <w:u w:val="none" w:color="auto"/>
          <w:lang w:val="en-US" w:eastAsia="zh-CN" w:bidi="zh-CN"/>
        </w:rPr>
        <w:t>参数</w:t>
      </w:r>
    </w:p>
    <w:tbl>
      <w:tblPr>
        <w:tblStyle w:val="2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70"/>
        <w:gridCol w:w="1290"/>
        <w:gridCol w:w="1442"/>
        <w:gridCol w:w="1563"/>
        <w:gridCol w:w="21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95" w:type="pct"/>
            <w:gridSpan w:val="3"/>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含义</w:t>
            </w:r>
          </w:p>
        </w:tc>
        <w:tc>
          <w:tcPr>
            <w:tcW w:w="851"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单位</w:t>
            </w:r>
          </w:p>
        </w:tc>
        <w:tc>
          <w:tcPr>
            <w:tcW w:w="1152"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硫酸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210" w:type="pct"/>
            <w:gridSpan w:val="2"/>
            <w:vMerge w:val="restar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大气稳定度系数（取不利气象条件F稳定度下）</w:t>
            </w:r>
          </w:p>
        </w:tc>
        <w:tc>
          <w:tcPr>
            <w:tcW w:w="785"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a</w:t>
            </w:r>
          </w:p>
        </w:tc>
        <w:tc>
          <w:tcPr>
            <w:tcW w:w="851"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无量纲</w:t>
            </w:r>
          </w:p>
        </w:tc>
        <w:tc>
          <w:tcPr>
            <w:tcW w:w="1152"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210" w:type="pct"/>
            <w:gridSpan w:val="2"/>
            <w:vMerge w:val="continue"/>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p>
        </w:tc>
        <w:tc>
          <w:tcPr>
            <w:tcW w:w="785"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w:t>
            </w:r>
          </w:p>
        </w:tc>
        <w:tc>
          <w:tcPr>
            <w:tcW w:w="851"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无量纲</w:t>
            </w:r>
          </w:p>
        </w:tc>
        <w:tc>
          <w:tcPr>
            <w:tcW w:w="1152"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ascii="Times New Roman" w:hAnsi="Times New Roman" w:eastAsia="宋体" w:cs="Times New Roman"/>
                <w:color w:val="auto"/>
                <w:sz w:val="21"/>
                <w:szCs w:val="21"/>
                <w:u w:val="none" w:color="auto"/>
              </w:rPr>
              <w:t>5.285×10</w:t>
            </w:r>
            <w:r>
              <w:rPr>
                <w:rFonts w:ascii="Times New Roman" w:hAnsi="Times New Roman" w:eastAsia="宋体" w:cs="Times New Roman"/>
                <w:color w:val="auto"/>
                <w:sz w:val="21"/>
                <w:szCs w:val="21"/>
                <w:u w:val="none" w:color="auto"/>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 w:hRule="atLeast"/>
        </w:trPr>
        <w:tc>
          <w:tcPr>
            <w:tcW w:w="2995" w:type="pct"/>
            <w:gridSpan w:val="3"/>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分子量</w:t>
            </w:r>
            <w:r>
              <w:rPr>
                <w:rFonts w:hint="eastAsia" w:ascii="Times New Roman" w:hAnsi="Times New Roman" w:eastAsia="宋体" w:cs="Times New Roman"/>
                <w:color w:val="auto"/>
                <w:sz w:val="21"/>
                <w:szCs w:val="21"/>
                <w:u w:val="none" w:color="auto"/>
                <w:lang w:val="en-US" w:eastAsia="zh-CN"/>
              </w:rPr>
              <w:t>M</w:t>
            </w:r>
          </w:p>
        </w:tc>
        <w:tc>
          <w:tcPr>
            <w:tcW w:w="851"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kg/mol</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w:t>
            </w:r>
            <w:r>
              <w:rPr>
                <w:rFonts w:hint="eastAsia" w:ascii="Times New Roman" w:hAnsi="Times New Roman" w:eastAsia="宋体" w:cs="Times New Roman"/>
                <w:color w:val="auto"/>
                <w:sz w:val="21"/>
                <w:szCs w:val="21"/>
                <w:u w:val="none" w:color="auto"/>
                <w:lang w:val="en-US" w:eastAsia="zh-CN"/>
              </w:rPr>
              <w:t>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95" w:type="pct"/>
            <w:gridSpan w:val="3"/>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rPr>
              <w:t>液体表面蒸汽压</w:t>
            </w:r>
            <w:r>
              <w:rPr>
                <w:rFonts w:hint="eastAsia" w:ascii="Times New Roman" w:hAnsi="Times New Roman" w:eastAsia="宋体" w:cs="Times New Roman"/>
                <w:color w:val="auto"/>
                <w:sz w:val="21"/>
                <w:szCs w:val="21"/>
                <w:u w:val="none" w:color="auto"/>
                <w:lang w:val="en-US" w:eastAsia="zh-CN"/>
              </w:rPr>
              <w:t>p</w:t>
            </w:r>
          </w:p>
        </w:tc>
        <w:tc>
          <w:tcPr>
            <w:tcW w:w="851"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Pa</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highlight w:val="yellow"/>
                <w:u w:val="none" w:color="auto"/>
                <w:lang w:val="en-US" w:eastAsia="zh-CN"/>
              </w:rPr>
            </w:pPr>
            <w:r>
              <w:rPr>
                <w:rFonts w:hint="eastAsia" w:ascii="Times New Roman" w:hAnsi="Times New Roman" w:cs="Times New Roman"/>
                <w:color w:val="auto"/>
                <w:kern w:val="0"/>
                <w:sz w:val="21"/>
                <w:szCs w:val="21"/>
                <w:u w:val="none" w:color="auto"/>
                <w:lang w:val="en-US" w:eastAsia="zh-CN"/>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995" w:type="pct"/>
            <w:gridSpan w:val="3"/>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气体常数</w:t>
            </w:r>
            <w:r>
              <w:rPr>
                <w:rFonts w:hint="eastAsia" w:ascii="Times New Roman" w:hAnsi="Times New Roman" w:eastAsia="宋体" w:cs="Times New Roman"/>
                <w:color w:val="auto"/>
                <w:sz w:val="21"/>
                <w:szCs w:val="21"/>
                <w:u w:val="none" w:color="auto"/>
                <w:lang w:val="en-US" w:eastAsia="zh-CN"/>
              </w:rPr>
              <w:t>R</w:t>
            </w:r>
          </w:p>
        </w:tc>
        <w:tc>
          <w:tcPr>
            <w:tcW w:w="851"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J/mol·K</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8.314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95" w:type="pct"/>
            <w:gridSpan w:val="3"/>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环境温度</w:t>
            </w:r>
            <w:r>
              <w:rPr>
                <w:rFonts w:hint="eastAsia" w:ascii="Times New Roman" w:hAnsi="Times New Roman" w:eastAsia="宋体" w:cs="Times New Roman"/>
                <w:color w:val="auto"/>
                <w:sz w:val="21"/>
                <w:szCs w:val="21"/>
                <w:u w:val="none" w:color="auto"/>
                <w:lang w:val="en-US" w:eastAsia="zh-CN"/>
              </w:rPr>
              <w:t>T</w:t>
            </w:r>
            <w:r>
              <w:rPr>
                <w:rFonts w:hint="eastAsia" w:ascii="Times New Roman" w:hAnsi="Times New Roman" w:eastAsia="宋体" w:cs="Times New Roman"/>
                <w:color w:val="auto"/>
                <w:sz w:val="21"/>
                <w:szCs w:val="21"/>
                <w:u w:val="none" w:color="auto"/>
                <w:vertAlign w:val="subscript"/>
                <w:lang w:val="en-US" w:eastAsia="zh-CN"/>
              </w:rPr>
              <w:t>0</w:t>
            </w:r>
          </w:p>
        </w:tc>
        <w:tc>
          <w:tcPr>
            <w:tcW w:w="851"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K</w:t>
            </w:r>
          </w:p>
        </w:tc>
        <w:tc>
          <w:tcPr>
            <w:tcW w:w="1152"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298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95" w:type="pct"/>
            <w:gridSpan w:val="3"/>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eastAsia="zh-CN"/>
              </w:rPr>
              <w:t>液池半径</w:t>
            </w:r>
            <w:r>
              <w:rPr>
                <w:rFonts w:hint="eastAsia" w:ascii="Times New Roman" w:hAnsi="Times New Roman" w:cs="Times New Roman"/>
                <w:color w:val="auto"/>
                <w:highlight w:val="none"/>
                <w:u w:val="none" w:color="auto"/>
                <w:lang w:val="en-US" w:eastAsia="zh-CN"/>
              </w:rPr>
              <w:t>r</w:t>
            </w:r>
          </w:p>
        </w:tc>
        <w:tc>
          <w:tcPr>
            <w:tcW w:w="851"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m</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2.82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95" w:type="pct"/>
            <w:gridSpan w:val="3"/>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挥发时间</w:t>
            </w:r>
          </w:p>
        </w:tc>
        <w:tc>
          <w:tcPr>
            <w:tcW w:w="851"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08" w:type="pct"/>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挥发速率</w:t>
            </w:r>
          </w:p>
        </w:tc>
        <w:tc>
          <w:tcPr>
            <w:tcW w:w="1487" w:type="pct"/>
            <w:gridSpan w:val="2"/>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1.5</w:t>
            </w:r>
            <w:r>
              <w:rPr>
                <w:rFonts w:hint="eastAsia" w:ascii="Times New Roman" w:hAnsi="Times New Roman" w:eastAsia="宋体" w:cs="Times New Roman"/>
                <w:color w:val="auto"/>
                <w:sz w:val="21"/>
                <w:szCs w:val="21"/>
                <w:u w:val="none" w:color="auto"/>
                <w:lang w:eastAsia="zh-CN"/>
              </w:rPr>
              <w:t>m/s风速</w:t>
            </w:r>
          </w:p>
        </w:tc>
        <w:tc>
          <w:tcPr>
            <w:tcW w:w="851"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kg/s</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0.211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95" w:type="pct"/>
            <w:gridSpan w:val="3"/>
            <w:noWrap w:val="0"/>
            <w:vAlign w:val="center"/>
          </w:tcPr>
          <w:p>
            <w:pPr>
              <w:wordWrap/>
              <w:spacing w:line="240" w:lineRule="auto"/>
              <w:ind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挥发量</w:t>
            </w:r>
          </w:p>
        </w:tc>
        <w:tc>
          <w:tcPr>
            <w:tcW w:w="851" w:type="pct"/>
            <w:noWrap w:val="0"/>
            <w:vAlign w:val="center"/>
          </w:tcPr>
          <w:p>
            <w:pPr>
              <w:wordWrap/>
              <w:spacing w:line="240" w:lineRule="auto"/>
              <w:ind w:firstLine="0" w:firstLineChars="0"/>
              <w:jc w:val="center"/>
              <w:rPr>
                <w:rFonts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kg</w:t>
            </w:r>
          </w:p>
        </w:tc>
        <w:tc>
          <w:tcPr>
            <w:tcW w:w="1152" w:type="pct"/>
            <w:noWrap w:val="0"/>
            <w:vAlign w:val="center"/>
          </w:tcPr>
          <w:p>
            <w:pPr>
              <w:wordWrap/>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379.8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00" w:type="pct"/>
            <w:gridSpan w:val="5"/>
            <w:noWrap w:val="0"/>
            <w:vAlign w:val="center"/>
          </w:tcPr>
          <w:p>
            <w:pPr>
              <w:wordWrap/>
              <w:spacing w:line="240" w:lineRule="auto"/>
              <w:ind w:firstLine="0" w:firstLineChars="0"/>
              <w:jc w:val="left"/>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注：围堰面积约25m</w:t>
            </w:r>
            <w:r>
              <w:rPr>
                <w:rFonts w:hint="eastAsia" w:ascii="Times New Roman" w:hAnsi="Times New Roman" w:eastAsia="宋体" w:cs="Times New Roman"/>
                <w:color w:val="auto"/>
                <w:sz w:val="21"/>
                <w:szCs w:val="21"/>
                <w:u w:val="none" w:color="auto"/>
                <w:vertAlign w:val="superscript"/>
                <w:lang w:val="en-US" w:eastAsia="zh-CN"/>
              </w:rPr>
              <w:t>2</w:t>
            </w: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highlight w:val="none"/>
                <w:u w:val="none" w:color="auto"/>
                <w:lang w:eastAsia="zh-CN"/>
              </w:rPr>
              <w:t>液池</w:t>
            </w:r>
            <w:r>
              <w:rPr>
                <w:rFonts w:hint="eastAsia" w:ascii="Times New Roman" w:hAnsi="Times New Roman" w:eastAsia="宋体" w:cs="Times New Roman"/>
                <w:color w:val="auto"/>
                <w:sz w:val="21"/>
                <w:szCs w:val="21"/>
                <w:u w:val="none" w:color="auto"/>
                <w:lang w:val="en-US" w:eastAsia="zh-CN"/>
              </w:rPr>
              <w:t>半径为2.82m</w:t>
            </w:r>
          </w:p>
        </w:tc>
      </w:tr>
    </w:tbl>
    <w:p>
      <w:pPr>
        <w:spacing w:line="360" w:lineRule="auto"/>
        <w:ind w:firstLine="482" w:firstLineChars="200"/>
        <w:rPr>
          <w:rFonts w:hint="default" w:ascii="Times New Roman" w:hAnsi="Times New Roman" w:eastAsia="宋体" w:cs="Times New Roman"/>
          <w:b/>
          <w:bCs/>
          <w:color w:val="auto"/>
          <w:kern w:val="28"/>
          <w:sz w:val="24"/>
          <w:szCs w:val="24"/>
          <w:highlight w:val="none"/>
          <w:u w:val="none" w:color="auto"/>
          <w:lang w:val="en-US" w:eastAsia="zh-CN"/>
        </w:rPr>
      </w:pPr>
      <w:r>
        <w:rPr>
          <w:rFonts w:hint="default" w:ascii="Times New Roman" w:hAnsi="Times New Roman" w:cs="Times New Roman"/>
          <w:b/>
          <w:bCs/>
          <w:color w:val="auto"/>
          <w:kern w:val="28"/>
          <w:sz w:val="24"/>
          <w:szCs w:val="24"/>
          <w:highlight w:val="none"/>
          <w:u w:val="none" w:color="auto"/>
          <w:lang w:val="zh-CN"/>
        </w:rPr>
        <w:t>（</w:t>
      </w:r>
      <w:r>
        <w:rPr>
          <w:rFonts w:hint="default" w:ascii="Times New Roman" w:hAnsi="Times New Roman" w:cs="Times New Roman"/>
          <w:b/>
          <w:bCs/>
          <w:color w:val="auto"/>
          <w:kern w:val="28"/>
          <w:sz w:val="24"/>
          <w:szCs w:val="24"/>
          <w:highlight w:val="none"/>
          <w:u w:val="none" w:color="auto"/>
          <w:lang w:val="en-US" w:eastAsia="zh-CN"/>
        </w:rPr>
        <w:t>2</w:t>
      </w:r>
      <w:r>
        <w:rPr>
          <w:rFonts w:hint="default" w:ascii="Times New Roman" w:hAnsi="Times New Roman" w:cs="Times New Roman"/>
          <w:b/>
          <w:bCs/>
          <w:color w:val="auto"/>
          <w:kern w:val="28"/>
          <w:sz w:val="24"/>
          <w:szCs w:val="24"/>
          <w:highlight w:val="none"/>
          <w:u w:val="none" w:color="auto"/>
          <w:lang w:val="zh-CN"/>
        </w:rPr>
        <w:t>）</w:t>
      </w:r>
      <w:r>
        <w:rPr>
          <w:rFonts w:hint="default" w:ascii="Times New Roman" w:hAnsi="Times New Roman" w:cs="Times New Roman"/>
          <w:b/>
          <w:bCs/>
          <w:color w:val="auto"/>
          <w:kern w:val="28"/>
          <w:sz w:val="24"/>
          <w:szCs w:val="24"/>
          <w:highlight w:val="none"/>
          <w:u w:val="none" w:color="auto"/>
          <w:lang w:val="en-US" w:eastAsia="zh-CN"/>
        </w:rPr>
        <w:t>液氨泄露事件</w:t>
      </w:r>
    </w:p>
    <w:p>
      <w:pPr>
        <w:spacing w:line="360" w:lineRule="auto"/>
        <w:ind w:firstLine="480" w:firstLineChars="200"/>
        <w:jc w:val="left"/>
        <w:rPr>
          <w:rFonts w:hint="default" w:ascii="Times New Roman" w:hAnsi="Times New Roman" w:cs="Times New Roman"/>
          <w:color w:val="auto"/>
          <w:sz w:val="24"/>
          <w:szCs w:val="24"/>
          <w:highlight w:val="yellow"/>
          <w:u w:color="auto"/>
        </w:rPr>
      </w:pPr>
      <w:r>
        <w:rPr>
          <w:rFonts w:hint="default" w:ascii="Times New Roman" w:hAnsi="Times New Roman" w:cs="Times New Roman"/>
          <w:color w:val="auto"/>
          <w:sz w:val="24"/>
          <w:szCs w:val="24"/>
          <w:u w:color="auto"/>
        </w:rPr>
        <w:t>根据现场调查，本公司液氨使用</w:t>
      </w:r>
      <w:r>
        <w:rPr>
          <w:rFonts w:hint="default" w:ascii="Times New Roman" w:hAnsi="Times New Roman" w:cs="Times New Roman"/>
          <w:color w:val="auto"/>
          <w:sz w:val="24"/>
          <w:szCs w:val="24"/>
          <w:u w:color="auto"/>
          <w:lang w:val="en-US" w:eastAsia="zh-CN"/>
        </w:rPr>
        <w:t>2</w:t>
      </w:r>
      <w:r>
        <w:rPr>
          <w:rFonts w:hint="default" w:ascii="Times New Roman" w:hAnsi="Times New Roman" w:cs="Times New Roman"/>
          <w:color w:val="auto"/>
          <w:sz w:val="24"/>
          <w:szCs w:val="24"/>
          <w:u w:color="auto"/>
        </w:rPr>
        <w:t>个</w:t>
      </w:r>
      <w:r>
        <w:rPr>
          <w:rFonts w:hint="default" w:ascii="Times New Roman" w:hAnsi="Times New Roman" w:cs="Times New Roman"/>
          <w:color w:val="auto"/>
          <w:sz w:val="24"/>
          <w:szCs w:val="24"/>
          <w:u w:color="auto"/>
          <w:lang w:val="en-US" w:eastAsia="zh-CN"/>
        </w:rPr>
        <w:t>0.4t</w:t>
      </w:r>
      <w:r>
        <w:rPr>
          <w:rFonts w:hint="default" w:ascii="Times New Roman" w:hAnsi="Times New Roman" w:cs="Times New Roman"/>
          <w:color w:val="auto"/>
          <w:sz w:val="24"/>
          <w:szCs w:val="24"/>
          <w:u w:color="auto"/>
        </w:rPr>
        <w:t>液氨罐储存。各储存、输送设施阀门是使用最频繁的部件，也是最容易发生故障的零件，现以阀门松动发生事故性泄漏对源强进行估算。</w:t>
      </w:r>
    </w:p>
    <w:p>
      <w:pPr>
        <w:pStyle w:val="122"/>
        <w:spacing w:line="360" w:lineRule="auto"/>
        <w:rPr>
          <w:rFonts w:hint="default" w:ascii="Times New Roman" w:hAnsi="Times New Roman" w:cs="Times New Roman"/>
          <w:color w:val="auto"/>
          <w:sz w:val="24"/>
          <w:szCs w:val="24"/>
          <w:highlight w:val="none"/>
          <w:u w:color="auto"/>
        </w:rPr>
      </w:pPr>
      <w:r>
        <w:rPr>
          <w:rFonts w:hint="default" w:ascii="Times New Roman" w:hAnsi="Times New Roman" w:cs="Times New Roman"/>
          <w:color w:val="auto"/>
          <w:sz w:val="24"/>
          <w:szCs w:val="24"/>
          <w:highlight w:val="none"/>
          <w:u w:color="auto"/>
        </w:rPr>
        <w:t>泄漏速率根据《建设项目环境风险评价技术导则》（HJ169-2018）附录F中的气体泄漏公式计算，计算过程如下：</w:t>
      </w:r>
    </w:p>
    <w:p>
      <w:pPr>
        <w:pStyle w:val="122"/>
        <w:spacing w:line="360" w:lineRule="auto"/>
        <w:rPr>
          <w:rFonts w:hint="default" w:ascii="Times New Roman" w:hAnsi="Times New Roman" w:cs="Times New Roman"/>
          <w:color w:val="auto"/>
          <w:sz w:val="24"/>
          <w:szCs w:val="24"/>
          <w:highlight w:val="none"/>
          <w:u w:color="auto"/>
        </w:rPr>
      </w:pPr>
      <w:r>
        <w:rPr>
          <w:rFonts w:hint="default" w:ascii="Times New Roman" w:hAnsi="Times New Roman" w:cs="Times New Roman"/>
          <w:color w:val="auto"/>
          <w:sz w:val="24"/>
          <w:szCs w:val="24"/>
          <w:highlight w:val="none"/>
          <w:u w:color="auto"/>
        </w:rPr>
        <w:t>当下式成立时，气体流动属音速流动（临界流）：</w:t>
      </w:r>
    </w:p>
    <w:p>
      <w:pPr>
        <w:pStyle w:val="122"/>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1203960" cy="586740"/>
            <wp:effectExtent l="0" t="0" r="15240" b="38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3"/>
                    <a:stretch>
                      <a:fillRect/>
                    </a:stretch>
                  </pic:blipFill>
                  <pic:spPr>
                    <a:xfrm>
                      <a:off x="0" y="0"/>
                      <a:ext cx="1203960" cy="586740"/>
                    </a:xfrm>
                    <a:prstGeom prst="rect">
                      <a:avLst/>
                    </a:prstGeom>
                    <a:noFill/>
                    <a:ln>
                      <a:noFill/>
                    </a:ln>
                  </pic:spPr>
                </pic:pic>
              </a:graphicData>
            </a:graphic>
          </wp:inline>
        </w:drawing>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当下式成立时，气体流动属于亚音速流动（次临界流）：</w:t>
      </w:r>
    </w:p>
    <w:p>
      <w:pPr>
        <w:pStyle w:val="122"/>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1043940" cy="586740"/>
            <wp:effectExtent l="0" t="0" r="3810" b="38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4"/>
                    <a:stretch>
                      <a:fillRect/>
                    </a:stretch>
                  </pic:blipFill>
                  <pic:spPr>
                    <a:xfrm>
                      <a:off x="0" y="0"/>
                      <a:ext cx="1043940" cy="586740"/>
                    </a:xfrm>
                    <a:prstGeom prst="rect">
                      <a:avLst/>
                    </a:prstGeom>
                    <a:noFill/>
                    <a:ln>
                      <a:noFill/>
                    </a:ln>
                  </pic:spPr>
                </pic:pic>
              </a:graphicData>
            </a:graphic>
          </wp:inline>
        </w:drawing>
      </w:r>
    </w:p>
    <w:p>
      <w:pPr>
        <w:pStyle w:val="122"/>
        <w:spacing w:line="36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式中：P：容器压力，管道输送压力均为</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0</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000Pa；</w:t>
      </w:r>
    </w:p>
    <w:p>
      <w:pPr>
        <w:pStyle w:val="122"/>
        <w:spacing w:line="360" w:lineRule="auto"/>
        <w:ind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：环境压力，101325Pa；</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γ：气体的绝热指数（比热容比），</w:t>
      </w:r>
      <w:r>
        <w:rPr>
          <w:rFonts w:hint="eastAsia" w:cs="Times New Roman"/>
          <w:color w:val="auto"/>
          <w:sz w:val="24"/>
          <w:szCs w:val="24"/>
          <w:highlight w:val="none"/>
          <w:lang w:eastAsia="zh-CN"/>
        </w:rPr>
        <w:t>液氨</w:t>
      </w:r>
      <w:r>
        <w:rPr>
          <w:rFonts w:hint="eastAsia" w:cs="Times New Roman"/>
          <w:color w:val="auto"/>
          <w:sz w:val="24"/>
          <w:szCs w:val="24"/>
          <w:highlight w:val="none"/>
          <w:lang w:val="en-US" w:eastAsia="zh-CN"/>
        </w:rPr>
        <w:t>1.307</w:t>
      </w:r>
      <w:r>
        <w:rPr>
          <w:rFonts w:hint="default" w:ascii="Times New Roman" w:hAnsi="Times New Roman" w:cs="Times New Roman"/>
          <w:color w:val="auto"/>
          <w:sz w:val="24"/>
          <w:szCs w:val="24"/>
          <w:highlight w:val="none"/>
        </w:rPr>
        <w:t>。</w:t>
      </w:r>
    </w:p>
    <w:p>
      <w:pPr>
        <w:pStyle w:val="122"/>
        <w:spacing w:line="36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经计算，</w:t>
      </w:r>
      <w:r>
        <w:rPr>
          <w:rFonts w:hint="eastAsia" w:cs="Times New Roman"/>
          <w:color w:val="auto"/>
          <w:sz w:val="24"/>
          <w:szCs w:val="24"/>
          <w:highlight w:val="none"/>
          <w:lang w:eastAsia="zh-CN"/>
        </w:rPr>
        <w:t>液氨</w:t>
      </w:r>
      <w:r>
        <w:rPr>
          <w:rFonts w:hint="default" w:ascii="Times New Roman" w:hAnsi="Times New Roman" w:cs="Times New Roman"/>
          <w:color w:val="auto"/>
          <w:sz w:val="24"/>
          <w:szCs w:val="24"/>
          <w:highlight w:val="none"/>
        </w:rPr>
        <w:t>泄漏</w:t>
      </w:r>
      <w:r>
        <w:rPr>
          <w:rFonts w:hint="eastAsia" w:cs="Times New Roman"/>
          <w:color w:val="auto"/>
          <w:sz w:val="24"/>
          <w:szCs w:val="24"/>
          <w:highlight w:val="none"/>
          <w:lang w:eastAsia="zh-CN"/>
        </w:rPr>
        <w:t>不属于</w:t>
      </w:r>
      <w:r>
        <w:rPr>
          <w:rFonts w:hint="default" w:ascii="Times New Roman" w:hAnsi="Times New Roman" w:cs="Times New Roman"/>
          <w:color w:val="auto"/>
          <w:sz w:val="24"/>
          <w:szCs w:val="24"/>
          <w:highlight w:val="none"/>
        </w:rPr>
        <w:t>临界流。</w:t>
      </w:r>
    </w:p>
    <w:p>
      <w:pPr>
        <w:pStyle w:val="122"/>
        <w:spacing w:line="36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假定气体特性为理想气体，其泄漏速率Q</w:t>
      </w:r>
      <w:r>
        <w:rPr>
          <w:rFonts w:hint="default" w:ascii="Times New Roman" w:hAnsi="Times New Roman" w:cs="Times New Roman"/>
          <w:color w:val="auto"/>
          <w:sz w:val="24"/>
          <w:szCs w:val="24"/>
          <w:highlight w:val="none"/>
          <w:vertAlign w:val="subscript"/>
        </w:rPr>
        <w:t>G</w:t>
      </w:r>
      <w:r>
        <w:rPr>
          <w:rFonts w:hint="default" w:ascii="Times New Roman" w:hAnsi="Times New Roman" w:cs="Times New Roman"/>
          <w:color w:val="auto"/>
          <w:sz w:val="24"/>
          <w:szCs w:val="24"/>
          <w:highlight w:val="none"/>
        </w:rPr>
        <w:t>按下式计算：</w:t>
      </w:r>
    </w:p>
    <w:p>
      <w:pPr>
        <w:pStyle w:val="122"/>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2385060" cy="655320"/>
            <wp:effectExtent l="0" t="0" r="1524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5"/>
                    <a:stretch>
                      <a:fillRect/>
                    </a:stretch>
                  </pic:blipFill>
                  <pic:spPr>
                    <a:xfrm>
                      <a:off x="0" y="0"/>
                      <a:ext cx="2385060" cy="655320"/>
                    </a:xfrm>
                    <a:prstGeom prst="rect">
                      <a:avLst/>
                    </a:prstGeom>
                    <a:noFill/>
                    <a:ln>
                      <a:noFill/>
                    </a:ln>
                  </pic:spPr>
                </pic:pic>
              </a:graphicData>
            </a:graphic>
          </wp:inline>
        </w:drawing>
      </w:r>
    </w:p>
    <w:p>
      <w:pPr>
        <w:pStyle w:val="122"/>
        <w:spacing w:line="36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式中：Q</w:t>
      </w:r>
      <w:r>
        <w:rPr>
          <w:rFonts w:hint="default" w:ascii="Times New Roman" w:hAnsi="Times New Roman" w:cs="Times New Roman"/>
          <w:color w:val="auto"/>
          <w:sz w:val="24"/>
          <w:szCs w:val="24"/>
          <w:highlight w:val="none"/>
          <w:vertAlign w:val="subscript"/>
        </w:rPr>
        <w:t>G</w:t>
      </w:r>
      <w:r>
        <w:rPr>
          <w:rFonts w:hint="default" w:ascii="Times New Roman" w:hAnsi="Times New Roman" w:cs="Times New Roman"/>
          <w:color w:val="auto"/>
          <w:sz w:val="24"/>
          <w:szCs w:val="24"/>
          <w:highlight w:val="none"/>
        </w:rPr>
        <w:t>：气体泄漏速率，kg/s；</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P：容器压力，管道输送压力均为</w:t>
      </w:r>
      <w:r>
        <w:rPr>
          <w:rFonts w:hint="eastAsia" w:cs="Times New Roman"/>
          <w:color w:val="auto"/>
          <w:sz w:val="24"/>
          <w:szCs w:val="24"/>
          <w:highlight w:val="none"/>
          <w:lang w:val="en-US" w:eastAsia="zh-CN"/>
        </w:rPr>
        <w:t>600000</w:t>
      </w:r>
      <w:r>
        <w:rPr>
          <w:rFonts w:hint="default" w:ascii="Times New Roman" w:hAnsi="Times New Roman" w:cs="Times New Roman"/>
          <w:color w:val="auto"/>
          <w:sz w:val="24"/>
          <w:szCs w:val="24"/>
          <w:highlight w:val="none"/>
        </w:rPr>
        <w:t>Pa；</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d</w:t>
      </w:r>
      <w:r>
        <w:rPr>
          <w:rFonts w:hint="default" w:ascii="Times New Roman" w:hAnsi="Times New Roman" w:cs="Times New Roman"/>
          <w:color w:val="auto"/>
          <w:sz w:val="24"/>
          <w:szCs w:val="24"/>
          <w:highlight w:val="none"/>
        </w:rPr>
        <w:t>：气体泄漏系数；当裂口形状为圆形时取1.00；</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M：物质的摩尔质量，</w:t>
      </w:r>
      <w:r>
        <w:rPr>
          <w:rFonts w:hint="eastAsia" w:cs="Times New Roman"/>
          <w:color w:val="auto"/>
          <w:sz w:val="24"/>
          <w:szCs w:val="24"/>
          <w:highlight w:val="none"/>
          <w:lang w:eastAsia="zh-CN"/>
        </w:rPr>
        <w:t>液氨</w:t>
      </w:r>
      <w:r>
        <w:rPr>
          <w:rFonts w:hint="default" w:ascii="Times New Roman" w:hAnsi="Times New Roman" w:cs="Times New Roman"/>
          <w:color w:val="auto"/>
          <w:sz w:val="24"/>
          <w:szCs w:val="24"/>
          <w:highlight w:val="none"/>
        </w:rPr>
        <w:t>0.0</w:t>
      </w:r>
      <w:r>
        <w:rPr>
          <w:rFonts w:hint="eastAsia" w:cs="Times New Roman"/>
          <w:color w:val="auto"/>
          <w:sz w:val="24"/>
          <w:szCs w:val="24"/>
          <w:highlight w:val="none"/>
          <w:lang w:val="en-US" w:eastAsia="zh-CN"/>
        </w:rPr>
        <w:t>17</w:t>
      </w:r>
      <w:r>
        <w:rPr>
          <w:rFonts w:hint="default" w:ascii="Times New Roman" w:hAnsi="Times New Roman" w:cs="Times New Roman"/>
          <w:color w:val="auto"/>
          <w:sz w:val="24"/>
          <w:szCs w:val="24"/>
          <w:highlight w:val="none"/>
        </w:rPr>
        <w:t>kg/mol；</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R：气体常数，8.314J/（mol·K）；</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T</w:t>
      </w:r>
      <w:r>
        <w:rPr>
          <w:rFonts w:hint="eastAsia" w:cs="Times New Roman"/>
          <w:color w:val="auto"/>
          <w:sz w:val="24"/>
          <w:szCs w:val="24"/>
          <w:highlight w:val="none"/>
          <w:vertAlign w:val="subscript"/>
          <w:lang w:val="en-US" w:eastAsia="zh-CN"/>
        </w:rPr>
        <w:t>G</w:t>
      </w:r>
      <w:r>
        <w:rPr>
          <w:rFonts w:hint="default" w:ascii="Times New Roman" w:hAnsi="Times New Roman" w:cs="Times New Roman"/>
          <w:color w:val="auto"/>
          <w:sz w:val="24"/>
          <w:szCs w:val="24"/>
          <w:highlight w:val="none"/>
        </w:rPr>
        <w:t>：气体温度，293K；</w:t>
      </w:r>
    </w:p>
    <w:p>
      <w:pPr>
        <w:pStyle w:val="122"/>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A：裂口面积，</w:t>
      </w:r>
      <w:r>
        <w:rPr>
          <w:rFonts w:hint="default" w:ascii="Times New Roman" w:hAnsi="Times New Roman" w:eastAsia="宋体" w:cs="Times New Roman"/>
          <w:color w:val="auto"/>
          <w:sz w:val="24"/>
          <w:szCs w:val="24"/>
          <w:highlight w:val="none"/>
          <w:u w:val="none" w:color="auto"/>
          <w:lang w:val="en-US" w:eastAsia="zh-CN" w:bidi="ar"/>
        </w:rPr>
        <w:t>取A=0.0000785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pPr>
        <w:spacing w:line="360" w:lineRule="auto"/>
        <w:ind w:firstLine="480" w:firstLineChars="200"/>
        <w:jc w:val="left"/>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color w:val="auto"/>
          <w:sz w:val="24"/>
          <w:szCs w:val="24"/>
          <w:highlight w:val="none"/>
        </w:rPr>
        <w:t>Y：流出系数，</w:t>
      </w:r>
      <w:r>
        <w:rPr>
          <w:rFonts w:hint="eastAsia" w:ascii="Times New Roman" w:hAnsi="Times New Roman" w:cs="Times New Roman"/>
          <w:color w:val="auto"/>
          <w:sz w:val="24"/>
          <w:szCs w:val="24"/>
          <w:highlight w:val="none"/>
          <w:lang w:eastAsia="zh-CN"/>
        </w:rPr>
        <w:t>对于临界流</w:t>
      </w:r>
      <w:r>
        <w:rPr>
          <w:rFonts w:hint="eastAsia" w:ascii="Times New Roman" w:hAnsi="Times New Roman" w:cs="Times New Roman"/>
          <w:color w:val="auto"/>
          <w:sz w:val="24"/>
          <w:szCs w:val="24"/>
          <w:highlight w:val="none"/>
          <w:lang w:val="en-US" w:eastAsia="zh-CN"/>
        </w:rPr>
        <w:t>Y=1.0。</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公司液氨泄漏事故源强估算详见下表。</w:t>
      </w:r>
    </w:p>
    <w:p>
      <w:pPr>
        <w:ind w:firstLine="482" w:firstLineChars="20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4.1-4</w:t>
      </w:r>
      <w:r>
        <w:rPr>
          <w:rFonts w:hint="default" w:ascii="Times New Roman" w:hAnsi="Times New Roman" w:cs="Times New Roman"/>
          <w:b/>
          <w:color w:val="auto"/>
          <w:sz w:val="24"/>
          <w:szCs w:val="24"/>
        </w:rPr>
        <w:t>液氨泄漏事故源强估算表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1"/>
        <w:gridCol w:w="2300"/>
        <w:gridCol w:w="2464"/>
        <w:gridCol w:w="1519"/>
        <w:gridCol w:w="14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95"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源强名称</w:t>
            </w:r>
          </w:p>
        </w:tc>
        <w:tc>
          <w:tcPr>
            <w:tcW w:w="1252"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泄漏时间（min）</w:t>
            </w:r>
          </w:p>
        </w:tc>
        <w:tc>
          <w:tcPr>
            <w:tcW w:w="1341"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泄漏速率（kg/s）</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泄漏量kg</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挥发量kg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795"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bidi="ar-SA"/>
              </w:rPr>
              <w:t>液氨</w:t>
            </w:r>
          </w:p>
        </w:tc>
        <w:tc>
          <w:tcPr>
            <w:tcW w:w="1252"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10</w:t>
            </w:r>
          </w:p>
        </w:tc>
        <w:tc>
          <w:tcPr>
            <w:tcW w:w="1341"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0.0247</w:t>
            </w:r>
          </w:p>
        </w:tc>
        <w:tc>
          <w:tcPr>
            <w:tcW w:w="827" w:type="pct"/>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14.84</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keepLines w:val="0"/>
              <w:pageBreakBefore w:val="0"/>
              <w:widowControl w:val="0"/>
              <w:numPr>
                <w:ilvl w:val="4"/>
                <w:numId w:val="0"/>
              </w:numPr>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14.84</w:t>
            </w:r>
          </w:p>
        </w:tc>
      </w:tr>
    </w:tbl>
    <w:p>
      <w:pPr>
        <w:widowControl w:val="0"/>
        <w:spacing w:line="360" w:lineRule="auto"/>
        <w:ind w:firstLine="482" w:firstLineChars="200"/>
        <w:jc w:val="both"/>
        <w:rPr>
          <w:rFonts w:hint="default" w:ascii="Times New Roman" w:hAnsi="Times New Roman" w:eastAsia="宋体" w:cs="Times New Roman"/>
          <w:b/>
          <w:bCs/>
          <w:color w:val="auto"/>
          <w:kern w:val="2"/>
          <w:sz w:val="24"/>
          <w:szCs w:val="24"/>
          <w:u w:val="single"/>
          <w:lang w:val="en-US" w:eastAsia="zh-CN" w:bidi="ar-SA"/>
        </w:rPr>
      </w:pPr>
      <w:r>
        <w:rPr>
          <w:rFonts w:hint="default" w:ascii="Times New Roman" w:hAnsi="Times New Roman" w:eastAsia="宋体" w:cs="Times New Roman"/>
          <w:b/>
          <w:bCs/>
          <w:color w:val="auto"/>
          <w:kern w:val="2"/>
          <w:sz w:val="24"/>
          <w:szCs w:val="24"/>
          <w:u w:val="single"/>
          <w:lang w:val="en-US" w:eastAsia="zh-CN" w:bidi="ar-SA"/>
        </w:rPr>
        <w:t>（3）</w:t>
      </w:r>
      <w:r>
        <w:rPr>
          <w:rFonts w:hint="eastAsia" w:cs="Times New Roman"/>
          <w:b/>
          <w:bCs/>
          <w:color w:val="auto"/>
          <w:kern w:val="2"/>
          <w:sz w:val="24"/>
          <w:szCs w:val="24"/>
          <w:u w:val="single"/>
          <w:lang w:val="en-US" w:eastAsia="zh-CN" w:bidi="ar-SA"/>
        </w:rPr>
        <w:t>润滑油泄漏事件</w:t>
      </w:r>
    </w:p>
    <w:p>
      <w:pPr>
        <w:widowControl w:val="0"/>
        <w:spacing w:line="360" w:lineRule="auto"/>
        <w:ind w:firstLine="480" w:firstLineChars="200"/>
        <w:jc w:val="both"/>
        <w:rPr>
          <w:rFonts w:hint="default" w:ascii="Times New Roman" w:hAnsi="Times New Roman" w:eastAsia="宋体" w:cs="Times New Roman"/>
          <w:b w:val="0"/>
          <w:bCs w:val="0"/>
          <w:color w:val="auto"/>
          <w:kern w:val="2"/>
          <w:sz w:val="24"/>
          <w:szCs w:val="24"/>
          <w:u w:val="single"/>
          <w:lang w:val="en-US" w:eastAsia="zh-CN" w:bidi="ar-SA"/>
        </w:rPr>
      </w:pPr>
      <w:r>
        <w:rPr>
          <w:rFonts w:hint="eastAsia" w:cs="Times New Roman"/>
          <w:b w:val="0"/>
          <w:bCs w:val="0"/>
          <w:color w:val="auto"/>
          <w:kern w:val="2"/>
          <w:sz w:val="24"/>
          <w:szCs w:val="24"/>
          <w:u w:val="single"/>
          <w:lang w:val="en-US" w:eastAsia="zh-CN" w:bidi="ar-SA"/>
        </w:rPr>
        <w:t>润滑油暂存于车间内暂存区，</w:t>
      </w:r>
      <w:r>
        <w:rPr>
          <w:rFonts w:hint="default" w:ascii="Times New Roman" w:hAnsi="Times New Roman" w:eastAsia="宋体" w:cs="Times New Roman"/>
          <w:color w:val="auto"/>
          <w:kern w:val="2"/>
          <w:sz w:val="24"/>
          <w:szCs w:val="24"/>
          <w:u w:val="single"/>
          <w:lang w:val="en-US" w:eastAsia="zh-CN" w:bidi="ar-SA"/>
        </w:rPr>
        <w:t>按要求进行了防渗处理，正常情况下，不会造成物料流失。在</w:t>
      </w:r>
      <w:r>
        <w:rPr>
          <w:rFonts w:hint="eastAsia" w:eastAsia="宋体" w:cs="Times New Roman"/>
          <w:color w:val="auto"/>
          <w:kern w:val="2"/>
          <w:sz w:val="24"/>
          <w:szCs w:val="24"/>
          <w:u w:val="single"/>
          <w:lang w:val="en-US" w:eastAsia="zh-CN" w:bidi="ar-SA"/>
        </w:rPr>
        <w:t>桶装</w:t>
      </w:r>
      <w:r>
        <w:rPr>
          <w:rFonts w:hint="default" w:ascii="Times New Roman" w:hAnsi="Times New Roman" w:eastAsia="宋体" w:cs="Times New Roman"/>
          <w:color w:val="auto"/>
          <w:kern w:val="2"/>
          <w:sz w:val="24"/>
          <w:szCs w:val="24"/>
          <w:u w:val="single"/>
          <w:lang w:val="en-US" w:eastAsia="zh-CN" w:bidi="ar-SA"/>
        </w:rPr>
        <w:t>容器发生破损，或装卸过程中可能会有部分物料流失，可</w:t>
      </w:r>
      <w:r>
        <w:rPr>
          <w:rFonts w:hint="default" w:ascii="Times New Roman" w:hAnsi="Times New Roman" w:cs="Times New Roman"/>
          <w:color w:val="auto"/>
          <w:sz w:val="24"/>
          <w:szCs w:val="24"/>
          <w:u w:val="single"/>
        </w:rPr>
        <w:t>及时采用吸附材料吸附地面</w:t>
      </w:r>
      <w:r>
        <w:rPr>
          <w:rFonts w:hint="default" w:ascii="Times New Roman" w:hAnsi="Times New Roman" w:cs="Times New Roman"/>
          <w:color w:val="auto"/>
          <w:sz w:val="24"/>
          <w:szCs w:val="24"/>
          <w:u w:val="single"/>
          <w:lang w:eastAsia="zh-CN"/>
        </w:rPr>
        <w:t>物料</w:t>
      </w:r>
      <w:r>
        <w:rPr>
          <w:rFonts w:hint="default" w:ascii="Times New Roman" w:hAnsi="Times New Roman" w:eastAsia="宋体" w:cs="Times New Roman"/>
          <w:color w:val="auto"/>
          <w:kern w:val="2"/>
          <w:sz w:val="24"/>
          <w:szCs w:val="24"/>
          <w:u w:val="single"/>
          <w:lang w:val="en-US" w:eastAsia="zh-CN" w:bidi="ar-SA"/>
        </w:rPr>
        <w:t>，流失到</w:t>
      </w:r>
      <w:r>
        <w:rPr>
          <w:rFonts w:hint="eastAsia" w:cs="Times New Roman"/>
          <w:b w:val="0"/>
          <w:bCs w:val="0"/>
          <w:color w:val="auto"/>
          <w:kern w:val="2"/>
          <w:sz w:val="24"/>
          <w:szCs w:val="24"/>
          <w:u w:val="single"/>
          <w:lang w:val="en-US" w:eastAsia="zh-CN" w:bidi="ar-SA"/>
        </w:rPr>
        <w:t>暂存区</w:t>
      </w:r>
      <w:r>
        <w:rPr>
          <w:rFonts w:hint="default" w:ascii="Times New Roman" w:hAnsi="Times New Roman" w:eastAsia="宋体" w:cs="Times New Roman"/>
          <w:color w:val="auto"/>
          <w:kern w:val="2"/>
          <w:sz w:val="24"/>
          <w:szCs w:val="24"/>
          <w:u w:val="single"/>
          <w:lang w:val="en-US" w:eastAsia="zh-CN" w:bidi="ar-SA"/>
        </w:rPr>
        <w:t>外的可能性很小。</w:t>
      </w:r>
    </w:p>
    <w:p>
      <w:pPr>
        <w:widowControl w:val="0"/>
        <w:spacing w:line="360" w:lineRule="auto"/>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危险废物泄漏事件</w:t>
      </w:r>
    </w:p>
    <w:p>
      <w:pPr>
        <w:widowControl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污泥暂存暂存间、危废暂存间主要贮存半固态</w:t>
      </w:r>
      <w:r>
        <w:rPr>
          <w:rFonts w:hint="eastAsia" w:ascii="Times New Roman" w:hAnsi="Times New Roman" w:cs="Times New Roman"/>
          <w:color w:val="auto"/>
          <w:kern w:val="2"/>
          <w:sz w:val="24"/>
          <w:szCs w:val="24"/>
          <w:lang w:val="en-US" w:eastAsia="zh-CN" w:bidi="ar-SA"/>
        </w:rPr>
        <w:t>污泥</w:t>
      </w:r>
      <w:r>
        <w:rPr>
          <w:rFonts w:hint="default" w:ascii="Times New Roman" w:hAnsi="Times New Roman" w:eastAsia="宋体" w:cs="Times New Roman"/>
          <w:color w:val="auto"/>
          <w:kern w:val="2"/>
          <w:sz w:val="24"/>
          <w:szCs w:val="24"/>
          <w:lang w:val="en-US" w:eastAsia="zh-CN" w:bidi="ar-SA"/>
        </w:rPr>
        <w:t>、废机油。均按要求进行了防渗处理，正常情况下，不会造成物料流失。</w:t>
      </w:r>
    </w:p>
    <w:p>
      <w:pPr>
        <w:widowControl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污泥主要危害属性为毒性，脱水后的污泥为固态，储存在袋装内，在袋装容器发生破损，或装卸过程中可能会有部分物料流失，因半固态物料流动性较差，可</w:t>
      </w:r>
      <w:r>
        <w:rPr>
          <w:rFonts w:hint="default" w:ascii="Times New Roman" w:hAnsi="Times New Roman" w:cs="Times New Roman"/>
          <w:color w:val="auto"/>
          <w:sz w:val="24"/>
          <w:szCs w:val="24"/>
        </w:rPr>
        <w:t>及时采用吸附材料吸附地面</w:t>
      </w:r>
      <w:r>
        <w:rPr>
          <w:rFonts w:hint="default" w:ascii="Times New Roman" w:hAnsi="Times New Roman" w:cs="Times New Roman"/>
          <w:color w:val="auto"/>
          <w:sz w:val="24"/>
          <w:szCs w:val="24"/>
          <w:lang w:eastAsia="zh-CN"/>
        </w:rPr>
        <w:t>物料</w:t>
      </w:r>
      <w:r>
        <w:rPr>
          <w:rFonts w:hint="default" w:ascii="Times New Roman" w:hAnsi="Times New Roman" w:eastAsia="宋体" w:cs="Times New Roman"/>
          <w:color w:val="auto"/>
          <w:kern w:val="2"/>
          <w:sz w:val="24"/>
          <w:szCs w:val="24"/>
          <w:lang w:val="en-US" w:eastAsia="zh-CN" w:bidi="ar-SA"/>
        </w:rPr>
        <w:t>，流失到暂存间外的可能性很小。</w:t>
      </w:r>
    </w:p>
    <w:p>
      <w:pPr>
        <w:widowControl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当废机油物料流失时，危废暂存间设置了</w:t>
      </w:r>
      <w:r>
        <w:rPr>
          <w:rFonts w:hint="default" w:ascii="Times New Roman" w:hAnsi="Times New Roman" w:cs="Times New Roman"/>
          <w:color w:val="auto"/>
          <w:sz w:val="24"/>
          <w:szCs w:val="24"/>
        </w:rPr>
        <w:t>截流沟</w:t>
      </w:r>
      <w:r>
        <w:rPr>
          <w:rFonts w:hint="default" w:ascii="Times New Roman" w:hAnsi="Times New Roman" w:eastAsia="宋体" w:cs="Times New Roman"/>
          <w:color w:val="auto"/>
          <w:kern w:val="2"/>
          <w:sz w:val="24"/>
          <w:szCs w:val="24"/>
          <w:lang w:val="en-US" w:eastAsia="zh-CN" w:bidi="ar-SA"/>
        </w:rPr>
        <w:t>和收集池，利用抽吸泵</w:t>
      </w:r>
      <w:r>
        <w:rPr>
          <w:rFonts w:hint="default" w:ascii="Times New Roman" w:hAnsi="Times New Roman" w:eastAsia="宋体" w:cs="Times New Roman"/>
          <w:color w:val="auto"/>
          <w:sz w:val="24"/>
          <w:szCs w:val="24"/>
          <w:lang w:val="en-US" w:eastAsia="zh-CN"/>
        </w:rPr>
        <w:t>转移至</w:t>
      </w:r>
      <w:r>
        <w:rPr>
          <w:rFonts w:hint="default" w:ascii="Times New Roman" w:hAnsi="Times New Roman" w:cs="Times New Roman"/>
          <w:color w:val="auto"/>
          <w:sz w:val="24"/>
          <w:szCs w:val="24"/>
        </w:rPr>
        <w:t>应急池，应急池位于</w:t>
      </w:r>
      <w:r>
        <w:rPr>
          <w:rFonts w:hint="default" w:ascii="Times New Roman" w:hAnsi="Times New Roman" w:cs="Times New Roman"/>
          <w:color w:val="auto"/>
          <w:sz w:val="24"/>
          <w:szCs w:val="24"/>
          <w:lang w:val="en-US" w:eastAsia="zh-CN"/>
        </w:rPr>
        <w:t>废水处理设施东</w:t>
      </w:r>
      <w:r>
        <w:rPr>
          <w:rFonts w:hint="default" w:ascii="Times New Roman" w:hAnsi="Times New Roman" w:cs="Times New Roman"/>
          <w:color w:val="auto"/>
          <w:sz w:val="24"/>
          <w:szCs w:val="24"/>
          <w:lang w:eastAsia="zh-CN"/>
        </w:rPr>
        <w:t>侧</w:t>
      </w:r>
      <w:r>
        <w:rPr>
          <w:rFonts w:hint="default" w:ascii="Times New Roman" w:hAnsi="Times New Roman" w:cs="Times New Roman"/>
          <w:color w:val="auto"/>
          <w:sz w:val="24"/>
          <w:szCs w:val="24"/>
        </w:rPr>
        <w:t>，总容积为</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，可截留收集泄漏物料</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kern w:val="2"/>
          <w:sz w:val="24"/>
          <w:szCs w:val="24"/>
          <w:lang w:val="en-US" w:eastAsia="zh-CN" w:bidi="ar-SA"/>
        </w:rPr>
        <w:t>不会出现长时间泄露情况，可</w:t>
      </w:r>
      <w:r>
        <w:rPr>
          <w:rFonts w:hint="default" w:ascii="Times New Roman" w:hAnsi="Times New Roman" w:cs="Times New Roman"/>
          <w:color w:val="auto"/>
          <w:sz w:val="24"/>
          <w:szCs w:val="24"/>
        </w:rPr>
        <w:t>及时采用吸附材料吸附地面</w:t>
      </w:r>
      <w:r>
        <w:rPr>
          <w:rFonts w:hint="default" w:ascii="Times New Roman" w:hAnsi="Times New Roman" w:cs="Times New Roman"/>
          <w:color w:val="auto"/>
          <w:sz w:val="24"/>
          <w:szCs w:val="24"/>
          <w:lang w:eastAsia="zh-CN"/>
        </w:rPr>
        <w:t>物料</w:t>
      </w:r>
      <w:r>
        <w:rPr>
          <w:rFonts w:hint="default" w:ascii="Times New Roman" w:hAnsi="Times New Roman" w:eastAsia="宋体" w:cs="Times New Roman"/>
          <w:color w:val="auto"/>
          <w:kern w:val="2"/>
          <w:sz w:val="24"/>
          <w:szCs w:val="24"/>
          <w:lang w:val="en-US" w:eastAsia="zh-CN" w:bidi="ar-SA"/>
        </w:rPr>
        <w:t>。</w:t>
      </w:r>
    </w:p>
    <w:p>
      <w:pPr>
        <w:widowControl w:val="0"/>
        <w:spacing w:line="360" w:lineRule="auto"/>
        <w:ind w:firstLine="482" w:firstLineChars="200"/>
        <w:jc w:val="both"/>
        <w:rPr>
          <w:rFonts w:hint="default" w:ascii="Times New Roman" w:hAnsi="Times New Roman" w:eastAsia="宋体" w:cs="Times New Roman"/>
          <w:b/>
          <w:bCs/>
          <w:color w:val="auto"/>
          <w:kern w:val="2"/>
          <w:sz w:val="24"/>
          <w:szCs w:val="24"/>
          <w:u w:val="single"/>
          <w:lang w:val="en-US" w:eastAsia="zh-CN" w:bidi="ar-SA"/>
        </w:rPr>
      </w:pPr>
      <w:r>
        <w:rPr>
          <w:rFonts w:hint="default" w:ascii="Times New Roman" w:hAnsi="Times New Roman" w:eastAsia="宋体" w:cs="Times New Roman"/>
          <w:b/>
          <w:bCs/>
          <w:color w:val="auto"/>
          <w:kern w:val="2"/>
          <w:sz w:val="24"/>
          <w:szCs w:val="24"/>
          <w:u w:val="single"/>
          <w:lang w:val="en-US" w:eastAsia="zh-CN" w:bidi="ar-SA"/>
        </w:rPr>
        <w:t>（</w:t>
      </w:r>
      <w:r>
        <w:rPr>
          <w:rFonts w:hint="eastAsia" w:cs="Times New Roman"/>
          <w:b/>
          <w:bCs/>
          <w:color w:val="auto"/>
          <w:kern w:val="2"/>
          <w:sz w:val="24"/>
          <w:szCs w:val="24"/>
          <w:u w:val="single"/>
          <w:lang w:val="en-US" w:eastAsia="zh-CN" w:bidi="ar-SA"/>
        </w:rPr>
        <w:t>5</w:t>
      </w:r>
      <w:r>
        <w:rPr>
          <w:rFonts w:hint="default" w:ascii="Times New Roman" w:hAnsi="Times New Roman" w:eastAsia="宋体" w:cs="Times New Roman"/>
          <w:b/>
          <w:bCs/>
          <w:color w:val="auto"/>
          <w:kern w:val="2"/>
          <w:sz w:val="24"/>
          <w:szCs w:val="24"/>
          <w:u w:val="single"/>
          <w:lang w:val="en-US" w:eastAsia="zh-CN" w:bidi="ar-SA"/>
        </w:rPr>
        <w:t>）槽体泄漏事件</w:t>
      </w:r>
    </w:p>
    <w:p>
      <w:pPr>
        <w:widowControl w:val="0"/>
        <w:spacing w:line="360" w:lineRule="auto"/>
        <w:ind w:firstLine="480" w:firstLineChars="200"/>
        <w:jc w:val="both"/>
        <w:rPr>
          <w:rFonts w:hint="default" w:ascii="Times New Roman" w:hAnsi="Times New Roman" w:eastAsia="宋体" w:cs="Times New Roman"/>
          <w:color w:val="auto"/>
          <w:sz w:val="24"/>
          <w:szCs w:val="24"/>
          <w:u w:val="single"/>
        </w:rPr>
      </w:pPr>
      <w:r>
        <w:rPr>
          <w:rFonts w:hint="default" w:ascii="Times New Roman" w:hAnsi="Times New Roman" w:eastAsia="宋体" w:cs="Times New Roman"/>
          <w:color w:val="auto"/>
          <w:sz w:val="24"/>
          <w:szCs w:val="24"/>
          <w:u w:val="single"/>
          <w:lang w:val="en-US" w:eastAsia="zh-CN"/>
        </w:rPr>
        <w:t>生产车间内的酸电解槽的槽液由于人为原因操作失误或者设备故障，发生跑冒或者</w:t>
      </w:r>
      <w:r>
        <w:rPr>
          <w:rFonts w:hint="default" w:ascii="Times New Roman" w:hAnsi="Times New Roman" w:eastAsia="宋体" w:cs="Times New Roman"/>
          <w:color w:val="auto"/>
          <w:sz w:val="24"/>
          <w:szCs w:val="24"/>
          <w:u w:val="single"/>
        </w:rPr>
        <w:t>泄漏，使槽液进入车间地沟，操作工人及时发现，则应立即</w:t>
      </w:r>
      <w:r>
        <w:rPr>
          <w:rFonts w:hint="eastAsia" w:cs="Times New Roman"/>
          <w:color w:val="auto"/>
          <w:sz w:val="24"/>
          <w:szCs w:val="24"/>
          <w:u w:val="single"/>
          <w:lang w:eastAsia="zh-CN"/>
        </w:rPr>
        <w:t>对</w:t>
      </w:r>
      <w:r>
        <w:rPr>
          <w:rFonts w:hint="default" w:ascii="Times New Roman" w:hAnsi="Times New Roman" w:eastAsia="宋体" w:cs="Times New Roman"/>
          <w:color w:val="auto"/>
          <w:sz w:val="24"/>
          <w:szCs w:val="24"/>
          <w:u w:val="single"/>
        </w:rPr>
        <w:t>车间内的地沟出口进行封堵，防止槽液外泄，并对跑冒或泄漏的槽液进行回收；</w:t>
      </w:r>
    </w:p>
    <w:p>
      <w:pPr>
        <w:widowControl w:val="0"/>
        <w:spacing w:line="360" w:lineRule="auto"/>
        <w:ind w:firstLine="480" w:firstLineChars="200"/>
        <w:jc w:val="both"/>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若发生跑冒或者泄漏未及时被发现或者发生大量的泄漏，导致槽液流出车间。本企业车间地面均采用水泥混凝土防渗，泄漏物质不会对地下水以及土壤造成污染。本企业车间内的地沟均连接厂区的</w:t>
      </w:r>
      <w:r>
        <w:rPr>
          <w:rFonts w:hint="eastAsia" w:ascii="Times New Roman" w:hAnsi="Times New Roman"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lang w:val="en-US" w:eastAsia="zh-CN"/>
        </w:rPr>
        <w:t>00m</w:t>
      </w:r>
      <w:r>
        <w:rPr>
          <w:rFonts w:hint="default" w:ascii="Times New Roman" w:hAnsi="Times New Roman" w:eastAsia="宋体" w:cs="Times New Roman"/>
          <w:color w:val="auto"/>
          <w:sz w:val="24"/>
          <w:szCs w:val="24"/>
          <w:u w:val="single"/>
          <w:vertAlign w:val="superscript"/>
          <w:lang w:val="en-US" w:eastAsia="zh-CN"/>
        </w:rPr>
        <w:t>3</w:t>
      </w:r>
      <w:r>
        <w:rPr>
          <w:rFonts w:hint="default" w:ascii="Times New Roman" w:hAnsi="Times New Roman" w:eastAsia="宋体" w:cs="Times New Roman"/>
          <w:color w:val="auto"/>
          <w:sz w:val="24"/>
          <w:szCs w:val="24"/>
          <w:u w:val="single"/>
        </w:rPr>
        <w:t>应急事故池，当槽液发生跑冒或者泄漏时，若未对地沟及时封堵，泄漏的槽液进入应急事故池内暂存，不会进入地表水体，企业应对应急事故池内的槽液进行收集或后续处理</w:t>
      </w:r>
      <w:r>
        <w:rPr>
          <w:rFonts w:hint="default" w:ascii="Times New Roman" w:hAnsi="Times New Roman" w:eastAsia="宋体" w:cs="Times New Roman"/>
          <w:color w:val="auto"/>
          <w:sz w:val="24"/>
          <w:szCs w:val="24"/>
          <w:u w:val="single"/>
          <w:lang w:eastAsia="zh-CN"/>
        </w:rPr>
        <w:t>。</w:t>
      </w:r>
    </w:p>
    <w:p>
      <w:pPr>
        <w:widowControl w:val="0"/>
        <w:bidi w:val="0"/>
        <w:spacing w:line="360" w:lineRule="auto"/>
        <w:ind w:left="0" w:firstLine="0"/>
        <w:jc w:val="both"/>
        <w:outlineLvl w:val="1"/>
        <w:rPr>
          <w:rFonts w:hint="default" w:ascii="Times New Roman" w:hAnsi="Times New Roman" w:eastAsia="宋体" w:cs="Times New Roman"/>
          <w:b/>
          <w:color w:val="auto"/>
          <w:kern w:val="28"/>
          <w:sz w:val="24"/>
          <w:szCs w:val="24"/>
          <w:highlight w:val="none"/>
          <w:u w:val="none" w:color="auto"/>
          <w:lang w:val="en-US" w:eastAsia="zh-CN" w:bidi="ar-SA"/>
        </w:rPr>
      </w:pPr>
      <w:r>
        <w:rPr>
          <w:rFonts w:hint="default" w:ascii="Times New Roman" w:hAnsi="Times New Roman" w:eastAsia="宋体" w:cs="Times New Roman"/>
          <w:b/>
          <w:color w:val="auto"/>
          <w:kern w:val="28"/>
          <w:sz w:val="24"/>
          <w:szCs w:val="24"/>
          <w:highlight w:val="none"/>
          <w:u w:val="none" w:color="auto"/>
          <w:lang w:val="en-US" w:eastAsia="zh-CN" w:bidi="ar-SA"/>
        </w:rPr>
        <w:t>4.2</w:t>
      </w:r>
      <w:r>
        <w:rPr>
          <w:rFonts w:hint="eastAsia" w:ascii="Times New Roman" w:hAnsi="Times New Roman" w:eastAsia="宋体" w:cs="Times New Roman"/>
          <w:b/>
          <w:color w:val="auto"/>
          <w:kern w:val="28"/>
          <w:sz w:val="24"/>
          <w:szCs w:val="24"/>
          <w:highlight w:val="none"/>
          <w:u w:val="none" w:color="auto"/>
          <w:lang w:val="en-US" w:eastAsia="zh-CN" w:bidi="ar-SA"/>
        </w:rPr>
        <w:t>废水处理系统事故</w:t>
      </w:r>
      <w:r>
        <w:rPr>
          <w:rFonts w:hint="default" w:ascii="Times New Roman" w:hAnsi="Times New Roman" w:eastAsia="宋体" w:cs="Times New Roman"/>
          <w:b/>
          <w:color w:val="auto"/>
          <w:kern w:val="28"/>
          <w:sz w:val="24"/>
          <w:szCs w:val="24"/>
          <w:highlight w:val="none"/>
          <w:u w:val="none" w:color="auto"/>
          <w:lang w:val="en-US" w:eastAsia="zh-CN" w:bidi="ar-SA"/>
        </w:rPr>
        <w:t>风险源强</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w:t>
      </w:r>
      <w:r>
        <w:rPr>
          <w:rFonts w:hint="eastAsia"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发生事故时企业应该尽快切断总排放口闸门，指派专人管理，事故时立即用沙袋将总排口堵住，将事故废水</w:t>
      </w:r>
      <w:r>
        <w:rPr>
          <w:rFonts w:hint="eastAsia" w:ascii="Times New Roman" w:hAnsi="Times New Roman" w:eastAsia="宋体" w:cs="Times New Roman"/>
          <w:color w:val="auto"/>
          <w:sz w:val="24"/>
          <w:szCs w:val="24"/>
          <w:lang w:val="en-US" w:eastAsia="zh-CN"/>
        </w:rPr>
        <w:t>导入事故池</w:t>
      </w:r>
      <w:r>
        <w:rPr>
          <w:rFonts w:hint="default" w:ascii="Times New Roman" w:hAnsi="Times New Roman" w:eastAsia="宋体" w:cs="Times New Roman"/>
          <w:color w:val="auto"/>
          <w:sz w:val="24"/>
          <w:szCs w:val="24"/>
        </w:rPr>
        <w:t>，杜绝此类废污水外排，将风险控制在厂</w:t>
      </w:r>
      <w:r>
        <w:rPr>
          <w:rFonts w:hint="eastAsia"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rPr>
        <w:t>内。</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在厂区</w:t>
      </w:r>
      <w:r>
        <w:rPr>
          <w:rFonts w:hint="eastAsia" w:ascii="Times New Roman" w:hAnsi="Times New Roman" w:eastAsia="宋体" w:cs="Times New Roman"/>
          <w:color w:val="auto"/>
          <w:sz w:val="24"/>
          <w:szCs w:val="24"/>
          <w:lang w:val="en-US" w:eastAsia="zh-CN"/>
        </w:rPr>
        <w:t>废水处理设施东侧</w:t>
      </w:r>
      <w:r>
        <w:rPr>
          <w:rFonts w:hint="default" w:ascii="Times New Roman" w:hAnsi="Times New Roman" w:eastAsia="宋体" w:cs="Times New Roman"/>
          <w:color w:val="auto"/>
          <w:sz w:val="24"/>
          <w:szCs w:val="24"/>
        </w:rPr>
        <w:t>设置</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个容积为</w:t>
      </w:r>
      <w:r>
        <w:rPr>
          <w:rFonts w:hint="eastAsia"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val="en-US" w:eastAsia="zh-CN"/>
        </w:rPr>
        <w:t>应急池，</w:t>
      </w:r>
      <w:r>
        <w:rPr>
          <w:rFonts w:hint="eastAsia" w:ascii="Times New Roman" w:hAnsi="Times New Roman" w:cs="Times New Roman"/>
          <w:color w:val="auto"/>
          <w:sz w:val="24"/>
          <w:szCs w:val="24"/>
          <w:lang w:eastAsia="zh-CN"/>
        </w:rPr>
        <w:t>事故废水</w:t>
      </w:r>
      <w:r>
        <w:rPr>
          <w:rFonts w:hint="default" w:ascii="Times New Roman" w:hAnsi="Times New Roman" w:eastAsia="宋体" w:cs="Times New Roman"/>
          <w:color w:val="auto"/>
          <w:sz w:val="24"/>
          <w:szCs w:val="24"/>
        </w:rPr>
        <w:t>进入</w:t>
      </w:r>
      <w:r>
        <w:rPr>
          <w:rFonts w:hint="eastAsia" w:ascii="Times New Roman" w:hAnsi="Times New Roman" w:eastAsia="宋体" w:cs="Times New Roman"/>
          <w:color w:val="auto"/>
          <w:sz w:val="24"/>
          <w:szCs w:val="24"/>
          <w:lang w:val="en-US" w:eastAsia="zh-CN"/>
        </w:rPr>
        <w:t>湘阴县第三污水处理厂的</w:t>
      </w:r>
      <w:r>
        <w:rPr>
          <w:rFonts w:hint="default" w:ascii="Times New Roman" w:hAnsi="Times New Roman" w:eastAsia="宋体" w:cs="Times New Roman"/>
          <w:color w:val="auto"/>
          <w:sz w:val="24"/>
          <w:szCs w:val="24"/>
        </w:rPr>
        <w:t>可能性较低。</w:t>
      </w:r>
      <w:r>
        <w:rPr>
          <w:rFonts w:hint="default" w:ascii="Times New Roman" w:hAnsi="Times New Roman" w:eastAsia="宋体" w:cs="Times New Roman"/>
          <w:color w:val="auto"/>
          <w:sz w:val="24"/>
          <w:szCs w:val="24"/>
          <w:lang w:val="en-US" w:eastAsia="zh-CN"/>
        </w:rPr>
        <w:t>因此，</w:t>
      </w:r>
      <w:r>
        <w:rPr>
          <w:rFonts w:hint="eastAsia" w:ascii="Times New Roman" w:hAnsi="Times New Roman" w:eastAsia="宋体" w:cs="Times New Roman"/>
          <w:color w:val="auto"/>
          <w:sz w:val="24"/>
          <w:szCs w:val="24"/>
          <w:lang w:val="en-US" w:eastAsia="zh-CN"/>
        </w:rPr>
        <w:t>事故废水</w:t>
      </w:r>
      <w:r>
        <w:rPr>
          <w:rFonts w:hint="default" w:ascii="Times New Roman" w:hAnsi="Times New Roman" w:eastAsia="宋体" w:cs="Times New Roman"/>
          <w:color w:val="auto"/>
          <w:sz w:val="24"/>
          <w:szCs w:val="24"/>
          <w:lang w:val="en-US" w:eastAsia="zh-CN"/>
        </w:rPr>
        <w:t>不会对</w:t>
      </w:r>
      <w:r>
        <w:rPr>
          <w:rFonts w:hint="eastAsia" w:ascii="Times New Roman" w:hAnsi="Times New Roman" w:eastAsia="宋体" w:cs="Times New Roman"/>
          <w:color w:val="auto"/>
          <w:sz w:val="24"/>
          <w:szCs w:val="24"/>
          <w:lang w:val="en-US" w:eastAsia="zh-CN"/>
        </w:rPr>
        <w:t>湘阴县第三污水处理厂</w:t>
      </w:r>
      <w:r>
        <w:rPr>
          <w:rFonts w:hint="default" w:ascii="Times New Roman" w:hAnsi="Times New Roman" w:eastAsia="宋体" w:cs="Times New Roman"/>
          <w:color w:val="auto"/>
          <w:sz w:val="24"/>
          <w:szCs w:val="24"/>
          <w:lang w:val="en-US" w:eastAsia="zh-CN"/>
        </w:rPr>
        <w:t>处理系统造成冲击。</w:t>
      </w:r>
      <w:r>
        <w:rPr>
          <w:rFonts w:hint="eastAsia" w:ascii="Times New Roman" w:hAnsi="Times New Roman" w:eastAsia="宋体" w:cs="Times New Roman"/>
          <w:color w:val="auto"/>
          <w:sz w:val="24"/>
          <w:szCs w:val="24"/>
          <w:lang w:val="en-US" w:eastAsia="zh-CN"/>
        </w:rPr>
        <w:t>待事故废水经处理后再</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湘阴县第三污水处理厂</w:t>
      </w:r>
      <w:r>
        <w:rPr>
          <w:rFonts w:hint="default" w:ascii="Times New Roman" w:hAnsi="Times New Roman" w:eastAsia="宋体" w:cs="Times New Roman"/>
          <w:color w:val="auto"/>
          <w:sz w:val="24"/>
          <w:szCs w:val="24"/>
          <w:lang w:val="en-US" w:eastAsia="zh-CN"/>
        </w:rPr>
        <w:t>处理达标后，排入</w:t>
      </w:r>
      <w:r>
        <w:rPr>
          <w:rFonts w:hint="eastAsia" w:ascii="Times New Roman" w:hAnsi="Times New Roman" w:eastAsia="宋体" w:cs="Times New Roman"/>
          <w:color w:val="auto"/>
          <w:sz w:val="24"/>
          <w:szCs w:val="24"/>
          <w:lang w:val="en-US" w:eastAsia="zh-CN"/>
        </w:rPr>
        <w:t>洋沙河</w:t>
      </w:r>
      <w:r>
        <w:rPr>
          <w:rFonts w:hint="default" w:ascii="Times New Roman" w:hAnsi="Times New Roman" w:eastAsia="宋体" w:cs="Times New Roman"/>
          <w:color w:val="auto"/>
          <w:sz w:val="24"/>
          <w:szCs w:val="24"/>
          <w:lang w:val="en-US" w:eastAsia="zh-CN"/>
        </w:rPr>
        <w:t>，不直接进入地表水环境。因此不会对地表水环境造成污染。</w:t>
      </w:r>
    </w:p>
    <w:p>
      <w:pPr>
        <w:spacing w:line="360" w:lineRule="auto"/>
        <w:ind w:firstLine="480"/>
        <w:rPr>
          <w:rFonts w:hint="default" w:ascii="Times New Roman" w:hAnsi="Times New Roman" w:eastAsia="宋体" w:cs="Times New Roman"/>
          <w:color w:val="auto"/>
          <w:sz w:val="24"/>
          <w:szCs w:val="24"/>
          <w:lang w:val="zh-CN" w:eastAsia="en-US"/>
        </w:rPr>
      </w:pPr>
      <w:r>
        <w:rPr>
          <w:rFonts w:hint="default" w:ascii="Times New Roman" w:hAnsi="Times New Roman" w:eastAsia="宋体" w:cs="Times New Roman"/>
          <w:color w:val="auto"/>
          <w:sz w:val="24"/>
          <w:szCs w:val="24"/>
          <w:lang w:val="en-US" w:eastAsia="zh-CN"/>
        </w:rPr>
        <w:t>经采取以上措施后，可避免各事故状态下的废水排入地表水环境，事故状态下产生的废水对周围环境的影响较小。</w:t>
      </w:r>
    </w:p>
    <w:p>
      <w:pPr>
        <w:widowControl w:val="0"/>
        <w:bidi w:val="0"/>
        <w:spacing w:line="360" w:lineRule="auto"/>
        <w:ind w:left="0" w:firstLine="0"/>
        <w:jc w:val="both"/>
        <w:outlineLvl w:val="1"/>
        <w:rPr>
          <w:rFonts w:hint="default" w:ascii="Times New Roman" w:hAnsi="Times New Roman" w:eastAsia="宋体" w:cs="Times New Roman"/>
          <w:b/>
          <w:color w:val="auto"/>
          <w:kern w:val="28"/>
          <w:sz w:val="24"/>
          <w:szCs w:val="24"/>
          <w:highlight w:val="none"/>
          <w:u w:val="none" w:color="auto"/>
          <w:lang w:val="en-US" w:eastAsia="zh-CN" w:bidi="ar-SA"/>
        </w:rPr>
      </w:pPr>
      <w:r>
        <w:rPr>
          <w:rFonts w:hint="default" w:ascii="Times New Roman" w:hAnsi="Times New Roman" w:eastAsia="宋体" w:cs="Times New Roman"/>
          <w:b/>
          <w:color w:val="auto"/>
          <w:kern w:val="28"/>
          <w:sz w:val="24"/>
          <w:szCs w:val="24"/>
          <w:highlight w:val="none"/>
          <w:u w:val="none" w:color="auto"/>
          <w:lang w:val="en-US" w:eastAsia="zh-CN" w:bidi="ar-SA"/>
        </w:rPr>
        <w:t>4.3废气处理系统故障风险源强</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公司废气处理设施主要有</w:t>
      </w:r>
      <w:r>
        <w:rPr>
          <w:rFonts w:hint="eastAsia" w:ascii="Times New Roman" w:hAnsi="Times New Roman" w:cs="Times New Roman"/>
          <w:color w:val="auto"/>
          <w:sz w:val="24"/>
          <w:szCs w:val="24"/>
          <w:lang w:val="en-US" w:eastAsia="zh-CN"/>
        </w:rPr>
        <w:t>碱喷淋</w:t>
      </w:r>
      <w:r>
        <w:rPr>
          <w:rFonts w:hint="default" w:ascii="Times New Roman" w:hAnsi="Times New Roman" w:cs="Times New Roman"/>
          <w:color w:val="auto"/>
          <w:sz w:val="24"/>
          <w:szCs w:val="24"/>
        </w:rPr>
        <w:t>处理设施、</w:t>
      </w:r>
      <w:r>
        <w:rPr>
          <w:rFonts w:hint="eastAsia" w:ascii="Times New Roman" w:hAnsi="Times New Roman" w:cs="Times New Roman"/>
          <w:color w:val="auto"/>
          <w:sz w:val="24"/>
          <w:szCs w:val="24"/>
          <w:lang w:val="en-US" w:eastAsia="zh-CN"/>
        </w:rPr>
        <w:t>布袋除尘处理设施、活性炭吸附处理设施</w:t>
      </w:r>
      <w:r>
        <w:rPr>
          <w:rFonts w:hint="default" w:ascii="Times New Roman" w:hAnsi="Times New Roman" w:cs="Times New Roman"/>
          <w:color w:val="auto"/>
          <w:sz w:val="24"/>
          <w:szCs w:val="24"/>
        </w:rPr>
        <w:t>等，涉及污染物为</w:t>
      </w:r>
      <w:r>
        <w:rPr>
          <w:rFonts w:hint="eastAsia" w:ascii="Times New Roman" w:hAnsi="Times New Roman" w:cs="Times New Roman"/>
          <w:color w:val="auto"/>
          <w:sz w:val="24"/>
          <w:szCs w:val="24"/>
          <w:lang w:val="en-US" w:eastAsia="zh-CN"/>
        </w:rPr>
        <w:t>硫酸雾</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颗粒物</w:t>
      </w:r>
      <w:r>
        <w:rPr>
          <w:rFonts w:hint="eastAsia" w:ascii="Times New Roman" w:hAnsi="Times New Roman" w:cs="Times New Roman"/>
          <w:color w:val="auto"/>
          <w:sz w:val="24"/>
          <w:szCs w:val="24"/>
          <w:lang w:eastAsia="zh-CN"/>
        </w:rPr>
        <w:t>、有机废气，</w:t>
      </w:r>
      <w:r>
        <w:rPr>
          <w:rFonts w:hint="eastAsia" w:ascii="Times New Roman" w:hAnsi="Times New Roman" w:cs="Times New Roman"/>
          <w:color w:val="auto"/>
          <w:sz w:val="24"/>
          <w:szCs w:val="24"/>
          <w:lang w:val="en-US" w:eastAsia="zh-CN"/>
        </w:rPr>
        <w:t>根据报告表工程计算后果分析。</w:t>
      </w:r>
    </w:p>
    <w:p>
      <w:pPr>
        <w:pStyle w:val="8"/>
        <w:keepNext/>
        <w:ind w:firstLine="482"/>
        <w:rPr>
          <w:rFonts w:hint="default" w:ascii="Times New Roman" w:hAnsi="Times New Roman" w:cs="Times New Roman"/>
          <w:color w:val="auto"/>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4.3-1</w:t>
      </w:r>
      <w:r>
        <w:rPr>
          <w:rFonts w:hint="default" w:ascii="Times New Roman" w:hAnsi="Times New Roman" w:eastAsia="宋体" w:cs="Times New Roman"/>
          <w:b/>
          <w:color w:val="auto"/>
          <w:sz w:val="24"/>
          <w:szCs w:val="24"/>
        </w:rPr>
        <w:t>废气事故排放参数调查清单</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03"/>
        <w:gridCol w:w="1299"/>
        <w:gridCol w:w="1088"/>
        <w:gridCol w:w="858"/>
        <w:gridCol w:w="1055"/>
        <w:gridCol w:w="703"/>
        <w:gridCol w:w="911"/>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tblHeader/>
        </w:trPr>
        <w:tc>
          <w:tcPr>
            <w:tcW w:w="887"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污染源名称</w:t>
            </w:r>
          </w:p>
        </w:tc>
        <w:tc>
          <w:tcPr>
            <w:tcW w:w="719"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602"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排气筒底部海拔高度</w:t>
            </w:r>
            <w:r>
              <w:rPr>
                <w:rFonts w:hint="default" w:ascii="Times New Roman" w:hAnsi="Times New Roman" w:cs="Times New Roman"/>
                <w:b/>
                <w:bCs/>
                <w:color w:val="auto"/>
                <w:kern w:val="0"/>
                <w:sz w:val="21"/>
                <w:szCs w:val="21"/>
              </w:rPr>
              <w:t>(m)</w:t>
            </w:r>
          </w:p>
        </w:tc>
        <w:tc>
          <w:tcPr>
            <w:tcW w:w="475"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排气筒高度</w:t>
            </w:r>
            <w:r>
              <w:rPr>
                <w:rFonts w:hint="default" w:ascii="Times New Roman" w:hAnsi="Times New Roman" w:cs="Times New Roman"/>
                <w:b/>
                <w:bCs/>
                <w:color w:val="auto"/>
                <w:kern w:val="0"/>
                <w:sz w:val="21"/>
                <w:szCs w:val="21"/>
              </w:rPr>
              <w:t>(m)</w:t>
            </w:r>
          </w:p>
        </w:tc>
        <w:tc>
          <w:tcPr>
            <w:tcW w:w="584"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排气筒出口内径</w:t>
            </w:r>
            <w:r>
              <w:rPr>
                <w:rFonts w:hint="default" w:ascii="Times New Roman" w:hAnsi="Times New Roman" w:cs="Times New Roman"/>
                <w:b/>
                <w:bCs/>
                <w:color w:val="auto"/>
                <w:kern w:val="0"/>
                <w:sz w:val="21"/>
                <w:szCs w:val="21"/>
              </w:rPr>
              <w:t>(m)</w:t>
            </w:r>
          </w:p>
        </w:tc>
        <w:tc>
          <w:tcPr>
            <w:tcW w:w="389"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烟气温度</w:t>
            </w:r>
          </w:p>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w:t>
            </w:r>
          </w:p>
        </w:tc>
        <w:tc>
          <w:tcPr>
            <w:tcW w:w="504"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流量</w:t>
            </w:r>
          </w:p>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(m</w:t>
            </w:r>
            <w:r>
              <w:rPr>
                <w:rFonts w:hint="default" w:ascii="Times New Roman" w:hAnsi="Times New Roman" w:cs="Times New Roman"/>
                <w:b/>
                <w:bCs/>
                <w:color w:val="auto"/>
                <w:kern w:val="0"/>
                <w:sz w:val="21"/>
                <w:szCs w:val="21"/>
                <w:vertAlign w:val="superscript"/>
              </w:rPr>
              <w:t>3</w:t>
            </w:r>
            <w:r>
              <w:rPr>
                <w:rFonts w:hint="default" w:ascii="Times New Roman" w:hAnsi="Times New Roman" w:cs="Times New Roman"/>
                <w:b/>
                <w:bCs/>
                <w:color w:val="auto"/>
                <w:kern w:val="0"/>
                <w:sz w:val="21"/>
                <w:szCs w:val="21"/>
              </w:rPr>
              <w:t>/h)</w:t>
            </w:r>
          </w:p>
        </w:tc>
        <w:tc>
          <w:tcPr>
            <w:tcW w:w="835"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事故排放速率（</w:t>
            </w:r>
            <w:r>
              <w:rPr>
                <w:rFonts w:hint="default" w:ascii="Times New Roman" w:hAnsi="Times New Roman" w:cs="Times New Roman"/>
                <w:b/>
                <w:bCs/>
                <w:color w:val="auto"/>
                <w:kern w:val="0"/>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lang w:val="en-US" w:eastAsia="zh-CN"/>
              </w:rPr>
              <w:t>酸雾废气</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lang w:val="en-US" w:eastAsia="zh-CN" w:bidi="ar-SA"/>
              </w:rPr>
              <w:t>硫酸雾</w:t>
            </w:r>
          </w:p>
        </w:tc>
        <w:tc>
          <w:tcPr>
            <w:tcW w:w="602"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65</w:t>
            </w:r>
          </w:p>
        </w:tc>
        <w:tc>
          <w:tcPr>
            <w:tcW w:w="47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15</w:t>
            </w:r>
          </w:p>
        </w:tc>
        <w:tc>
          <w:tcPr>
            <w:tcW w:w="584" w:type="pct"/>
            <w:noWrap w:val="0"/>
            <w:vAlign w:val="center"/>
          </w:tcPr>
          <w:p>
            <w:pPr>
              <w:adjustRightInd w:val="0"/>
              <w:snapToGrid w:val="0"/>
              <w:jc w:val="center"/>
              <w:rPr>
                <w:rFonts w:hint="default" w:ascii="Times New Roman" w:hAnsi="Times New Roman" w:cs="Times New Roman"/>
                <w:color w:val="auto"/>
                <w:kern w:val="0"/>
                <w:sz w:val="21"/>
                <w:szCs w:val="21"/>
              </w:rPr>
            </w:pPr>
            <w:r>
              <w:rPr>
                <w:rFonts w:hint="eastAsia" w:ascii="Times New Roman" w:hAnsi="Times New Roman" w:cs="Times New Roman"/>
                <w:color w:val="auto"/>
                <w:highlight w:val="none"/>
                <w:u w:val="none"/>
                <w:lang w:val="en-US" w:eastAsia="zh-CN"/>
              </w:rPr>
              <w:t>0.5</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25</w:t>
            </w:r>
          </w:p>
        </w:tc>
        <w:tc>
          <w:tcPr>
            <w:tcW w:w="504"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000</w:t>
            </w:r>
          </w:p>
        </w:tc>
        <w:tc>
          <w:tcPr>
            <w:tcW w:w="835" w:type="pct"/>
            <w:noWrap w:val="0"/>
            <w:vAlign w:val="center"/>
          </w:tcPr>
          <w:p>
            <w:pPr>
              <w:widowControl/>
              <w:bidi w:val="0"/>
              <w:spacing w:line="240" w:lineRule="auto"/>
              <w:jc w:val="center"/>
              <w:rPr>
                <w:rFonts w:hint="default" w:ascii="Times New Roman" w:hAnsi="Times New Roman" w:eastAsia="宋体" w:cs="Times New Roman"/>
                <w:bCs/>
                <w:color w:val="auto"/>
                <w:kern w:val="0"/>
                <w:sz w:val="21"/>
                <w:szCs w:val="21"/>
                <w:highlight w:val="yellow"/>
                <w:u w:val="single"/>
                <w:lang w:val="en-US" w:eastAsia="zh-CN" w:bidi="ar"/>
              </w:rPr>
            </w:pPr>
            <w:r>
              <w:rPr>
                <w:rFonts w:hint="eastAsia" w:cs="Times New Roman"/>
                <w:bCs/>
                <w:color w:val="auto"/>
                <w:kern w:val="2"/>
                <w:sz w:val="21"/>
                <w:szCs w:val="21"/>
                <w:u w:val="single"/>
                <w:lang w:val="en-US" w:eastAsia="zh-CN" w:bidi="ar"/>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配粉</w:t>
            </w:r>
            <w:r>
              <w:rPr>
                <w:rFonts w:hint="eastAsia" w:cs="Times New Roman"/>
                <w:color w:val="auto"/>
                <w:kern w:val="0"/>
                <w:sz w:val="21"/>
                <w:szCs w:val="21"/>
                <w:lang w:val="en-US" w:eastAsia="zh-CN"/>
              </w:rPr>
              <w:t>、磨头磨尾</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lang w:val="en-US" w:eastAsia="zh-CN" w:bidi="ar-SA"/>
              </w:rPr>
              <w:t>颗粒物</w:t>
            </w:r>
          </w:p>
        </w:tc>
        <w:tc>
          <w:tcPr>
            <w:tcW w:w="602"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65</w:t>
            </w:r>
          </w:p>
        </w:tc>
        <w:tc>
          <w:tcPr>
            <w:tcW w:w="47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15</w:t>
            </w:r>
          </w:p>
        </w:tc>
        <w:tc>
          <w:tcPr>
            <w:tcW w:w="584" w:type="pct"/>
            <w:noWrap w:val="0"/>
            <w:vAlign w:val="center"/>
          </w:tcPr>
          <w:p>
            <w:pPr>
              <w:adjustRightInd w:val="0"/>
              <w:snapToGrid w:val="0"/>
              <w:jc w:val="center"/>
              <w:rPr>
                <w:rFonts w:hint="default" w:ascii="Times New Roman" w:hAnsi="Times New Roman" w:cs="Times New Roman"/>
                <w:color w:val="auto"/>
                <w:kern w:val="0"/>
                <w:sz w:val="21"/>
                <w:szCs w:val="21"/>
              </w:rPr>
            </w:pPr>
            <w:r>
              <w:rPr>
                <w:rFonts w:hint="eastAsia" w:ascii="Times New Roman" w:hAnsi="Times New Roman" w:cs="Times New Roman"/>
                <w:color w:val="auto"/>
                <w:highlight w:val="none"/>
                <w:u w:val="none"/>
                <w:lang w:val="en-US" w:eastAsia="zh-CN"/>
              </w:rPr>
              <w:t>0.5</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25</w:t>
            </w:r>
          </w:p>
        </w:tc>
        <w:tc>
          <w:tcPr>
            <w:tcW w:w="504" w:type="pc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2000</w:t>
            </w:r>
          </w:p>
        </w:tc>
        <w:tc>
          <w:tcPr>
            <w:tcW w:w="835" w:type="pct"/>
            <w:noWrap w:val="0"/>
            <w:vAlign w:val="center"/>
          </w:tcPr>
          <w:p>
            <w:pPr>
              <w:widowControl/>
              <w:bidi w:val="0"/>
              <w:spacing w:line="240" w:lineRule="auto"/>
              <w:jc w:val="center"/>
              <w:rPr>
                <w:rFonts w:hint="default" w:ascii="Times New Roman" w:hAnsi="Times New Roman" w:eastAsia="宋体" w:cs="Times New Roman"/>
                <w:bCs/>
                <w:color w:val="auto"/>
                <w:kern w:val="0"/>
                <w:sz w:val="21"/>
                <w:szCs w:val="21"/>
                <w:highlight w:val="yellow"/>
                <w:u w:val="single"/>
                <w:lang w:val="en-US" w:eastAsia="zh-CN" w:bidi="ar"/>
              </w:rPr>
            </w:pPr>
            <w:r>
              <w:rPr>
                <w:rFonts w:hint="eastAsia" w:cs="Times New Roman"/>
                <w:bCs/>
                <w:color w:val="auto"/>
                <w:kern w:val="2"/>
                <w:sz w:val="21"/>
                <w:szCs w:val="21"/>
                <w:u w:val="single"/>
                <w:lang w:val="en-US" w:eastAsia="zh-CN" w:bidi="ar"/>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vMerge w:val="restart"/>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注塑废气</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lang w:val="en-US" w:eastAsia="zh-CN" w:bidi="ar-SA"/>
              </w:rPr>
              <w:t>非甲烷总烃</w:t>
            </w:r>
          </w:p>
        </w:tc>
        <w:tc>
          <w:tcPr>
            <w:tcW w:w="602" w:type="pct"/>
            <w:vMerge w:val="restar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65</w:t>
            </w:r>
          </w:p>
        </w:tc>
        <w:tc>
          <w:tcPr>
            <w:tcW w:w="47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15</w:t>
            </w:r>
          </w:p>
        </w:tc>
        <w:tc>
          <w:tcPr>
            <w:tcW w:w="584" w:type="pct"/>
            <w:vMerge w:val="restart"/>
            <w:noWrap w:val="0"/>
            <w:vAlign w:val="center"/>
          </w:tcPr>
          <w:p>
            <w:pPr>
              <w:adjustRightInd w:val="0"/>
              <w:snapToGrid w:val="0"/>
              <w:jc w:val="center"/>
              <w:rPr>
                <w:rFonts w:hint="eastAsia"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0.5</w:t>
            </w:r>
          </w:p>
        </w:tc>
        <w:tc>
          <w:tcPr>
            <w:tcW w:w="3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kern w:val="2"/>
                <w:sz w:val="21"/>
                <w:szCs w:val="21"/>
                <w:highlight w:val="none"/>
                <w:u w:val="none" w:color="auto"/>
                <w:lang w:val="en-US" w:eastAsia="zh-CN" w:bidi="ar-SA"/>
              </w:rPr>
              <w:t>25</w:t>
            </w:r>
          </w:p>
        </w:tc>
        <w:tc>
          <w:tcPr>
            <w:tcW w:w="504" w:type="pct"/>
            <w:vMerge w:val="restar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18000</w:t>
            </w:r>
          </w:p>
        </w:tc>
        <w:tc>
          <w:tcPr>
            <w:tcW w:w="835" w:type="pct"/>
            <w:noWrap w:val="0"/>
            <w:vAlign w:val="center"/>
          </w:tcPr>
          <w:p>
            <w:pPr>
              <w:widowControl/>
              <w:bidi w:val="0"/>
              <w:spacing w:line="240" w:lineRule="auto"/>
              <w:jc w:val="center"/>
              <w:rPr>
                <w:rFonts w:hint="default" w:ascii="Times New Roman" w:hAnsi="Times New Roman" w:eastAsia="宋体" w:cs="Times New Roman"/>
                <w:bCs/>
                <w:color w:val="auto"/>
                <w:kern w:val="2"/>
                <w:sz w:val="21"/>
                <w:szCs w:val="21"/>
                <w:highlight w:val="yellow"/>
                <w:u w:val="none"/>
                <w:lang w:val="en-US" w:eastAsia="zh-CN" w:bidi="ar"/>
              </w:rPr>
            </w:pPr>
            <w:r>
              <w:rPr>
                <w:rFonts w:hint="eastAsia" w:ascii="Times New Roman" w:hAnsi="Times New Roman" w:eastAsia="宋体" w:cs="Times New Roman"/>
                <w:bCs/>
                <w:color w:val="auto"/>
                <w:kern w:val="2"/>
                <w:sz w:val="21"/>
                <w:szCs w:val="21"/>
                <w:u w:val="none"/>
                <w:lang w:val="en-US" w:eastAsia="zh-CN" w:bidi="ar"/>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719" w:type="pct"/>
            <w:noWrap w:val="0"/>
            <w:vAlign w:val="center"/>
          </w:tcPr>
          <w:p>
            <w:pPr>
              <w:adjustRightInd w:val="0"/>
              <w:snapToGrid w:val="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szCs w:val="21"/>
                <w:highlight w:val="none"/>
                <w:u w:val="none"/>
                <w:lang w:val="en-US" w:eastAsia="zh-CN"/>
              </w:rPr>
              <w:t>苯</w:t>
            </w:r>
          </w:p>
        </w:tc>
        <w:tc>
          <w:tcPr>
            <w:tcW w:w="602"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4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p>
        </w:tc>
        <w:tc>
          <w:tcPr>
            <w:tcW w:w="584" w:type="pct"/>
            <w:vMerge w:val="continue"/>
            <w:noWrap w:val="0"/>
            <w:vAlign w:val="center"/>
          </w:tcPr>
          <w:p>
            <w:pPr>
              <w:adjustRightInd w:val="0"/>
              <w:snapToGrid w:val="0"/>
              <w:jc w:val="center"/>
              <w:rPr>
                <w:rFonts w:hint="eastAsia" w:ascii="Times New Roman" w:hAnsi="Times New Roman" w:cs="Times New Roman"/>
                <w:color w:val="auto"/>
                <w:highlight w:val="none"/>
                <w:u w:val="none"/>
                <w:lang w:val="en-US" w:eastAsia="zh-CN"/>
              </w:rPr>
            </w:pPr>
          </w:p>
        </w:tc>
        <w:tc>
          <w:tcPr>
            <w:tcW w:w="3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p>
        </w:tc>
        <w:tc>
          <w:tcPr>
            <w:tcW w:w="504"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rPr>
            </w:pPr>
          </w:p>
        </w:tc>
        <w:tc>
          <w:tcPr>
            <w:tcW w:w="835" w:type="pct"/>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yellow"/>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719" w:type="pct"/>
            <w:noWrap w:val="0"/>
            <w:vAlign w:val="center"/>
          </w:tcPr>
          <w:p>
            <w:pPr>
              <w:adjustRightInd w:val="0"/>
              <w:snapToGrid w:val="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szCs w:val="21"/>
                <w:highlight w:val="none"/>
                <w:u w:val="none"/>
                <w:lang w:val="en-US" w:eastAsia="zh-CN"/>
              </w:rPr>
              <w:t>甲苯</w:t>
            </w:r>
          </w:p>
        </w:tc>
        <w:tc>
          <w:tcPr>
            <w:tcW w:w="602"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4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p>
        </w:tc>
        <w:tc>
          <w:tcPr>
            <w:tcW w:w="584" w:type="pct"/>
            <w:vMerge w:val="continue"/>
            <w:noWrap w:val="0"/>
            <w:vAlign w:val="center"/>
          </w:tcPr>
          <w:p>
            <w:pPr>
              <w:adjustRightInd w:val="0"/>
              <w:snapToGrid w:val="0"/>
              <w:jc w:val="center"/>
              <w:rPr>
                <w:rFonts w:hint="eastAsia" w:ascii="Times New Roman" w:hAnsi="Times New Roman" w:cs="Times New Roman"/>
                <w:color w:val="auto"/>
                <w:highlight w:val="none"/>
                <w:u w:val="none"/>
                <w:lang w:val="en-US" w:eastAsia="zh-CN"/>
              </w:rPr>
            </w:pPr>
          </w:p>
        </w:tc>
        <w:tc>
          <w:tcPr>
            <w:tcW w:w="3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p>
        </w:tc>
        <w:tc>
          <w:tcPr>
            <w:tcW w:w="504"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rPr>
            </w:pPr>
          </w:p>
        </w:tc>
        <w:tc>
          <w:tcPr>
            <w:tcW w:w="835" w:type="pct"/>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yellow"/>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719" w:type="pct"/>
            <w:noWrap w:val="0"/>
            <w:vAlign w:val="center"/>
          </w:tcPr>
          <w:p>
            <w:pPr>
              <w:adjustRightInd w:val="0"/>
              <w:snapToGrid w:val="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szCs w:val="21"/>
                <w:highlight w:val="none"/>
                <w:u w:val="none"/>
                <w:lang w:val="en-US" w:eastAsia="zh-CN"/>
              </w:rPr>
              <w:t>二甲苯</w:t>
            </w:r>
          </w:p>
        </w:tc>
        <w:tc>
          <w:tcPr>
            <w:tcW w:w="602"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4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p>
        </w:tc>
        <w:tc>
          <w:tcPr>
            <w:tcW w:w="584" w:type="pct"/>
            <w:vMerge w:val="continue"/>
            <w:noWrap w:val="0"/>
            <w:vAlign w:val="center"/>
          </w:tcPr>
          <w:p>
            <w:pPr>
              <w:adjustRightInd w:val="0"/>
              <w:snapToGrid w:val="0"/>
              <w:jc w:val="center"/>
              <w:rPr>
                <w:rFonts w:hint="eastAsia" w:ascii="Times New Roman" w:hAnsi="Times New Roman" w:cs="Times New Roman"/>
                <w:color w:val="auto"/>
                <w:highlight w:val="none"/>
                <w:u w:val="none"/>
                <w:lang w:val="en-US" w:eastAsia="zh-CN"/>
              </w:rPr>
            </w:pPr>
          </w:p>
        </w:tc>
        <w:tc>
          <w:tcPr>
            <w:tcW w:w="3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p>
        </w:tc>
        <w:tc>
          <w:tcPr>
            <w:tcW w:w="504"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rPr>
            </w:pPr>
          </w:p>
        </w:tc>
        <w:tc>
          <w:tcPr>
            <w:tcW w:w="835" w:type="pct"/>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yellow"/>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719" w:type="pct"/>
            <w:noWrap w:val="0"/>
            <w:vAlign w:val="center"/>
          </w:tcPr>
          <w:p>
            <w:pPr>
              <w:adjustRightInd w:val="0"/>
              <w:snapToGrid w:val="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szCs w:val="21"/>
                <w:highlight w:val="none"/>
                <w:u w:val="none"/>
                <w:lang w:val="en-US" w:eastAsia="zh-CN"/>
              </w:rPr>
              <w:t>乙苯</w:t>
            </w:r>
          </w:p>
        </w:tc>
        <w:tc>
          <w:tcPr>
            <w:tcW w:w="602"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4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p>
        </w:tc>
        <w:tc>
          <w:tcPr>
            <w:tcW w:w="584" w:type="pct"/>
            <w:vMerge w:val="continue"/>
            <w:noWrap w:val="0"/>
            <w:vAlign w:val="center"/>
          </w:tcPr>
          <w:p>
            <w:pPr>
              <w:adjustRightInd w:val="0"/>
              <w:snapToGrid w:val="0"/>
              <w:jc w:val="center"/>
              <w:rPr>
                <w:rFonts w:hint="eastAsia" w:ascii="Times New Roman" w:hAnsi="Times New Roman" w:cs="Times New Roman"/>
                <w:color w:val="auto"/>
                <w:highlight w:val="none"/>
                <w:u w:val="none"/>
                <w:lang w:val="en-US" w:eastAsia="zh-CN"/>
              </w:rPr>
            </w:pPr>
          </w:p>
        </w:tc>
        <w:tc>
          <w:tcPr>
            <w:tcW w:w="3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p>
        </w:tc>
        <w:tc>
          <w:tcPr>
            <w:tcW w:w="504"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rPr>
            </w:pPr>
          </w:p>
        </w:tc>
        <w:tc>
          <w:tcPr>
            <w:tcW w:w="835" w:type="pct"/>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yellow"/>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trPr>
        <w:tc>
          <w:tcPr>
            <w:tcW w:w="887"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719" w:type="pct"/>
            <w:noWrap w:val="0"/>
            <w:vAlign w:val="center"/>
          </w:tcPr>
          <w:p>
            <w:pPr>
              <w:adjustRightInd w:val="0"/>
              <w:snapToGrid w:val="0"/>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szCs w:val="21"/>
                <w:highlight w:val="none"/>
                <w:u w:val="none"/>
                <w:lang w:val="en-US" w:eastAsia="zh-CN"/>
              </w:rPr>
              <w:t>苯乙烯</w:t>
            </w:r>
          </w:p>
        </w:tc>
        <w:tc>
          <w:tcPr>
            <w:tcW w:w="602"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cs="Times New Roman"/>
                <w:color w:val="auto"/>
                <w:kern w:val="0"/>
                <w:sz w:val="21"/>
                <w:szCs w:val="21"/>
                <w:lang w:val="en-US" w:eastAsia="zh-CN"/>
              </w:rPr>
            </w:pPr>
          </w:p>
        </w:tc>
        <w:tc>
          <w:tcPr>
            <w:tcW w:w="47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p>
        </w:tc>
        <w:tc>
          <w:tcPr>
            <w:tcW w:w="584" w:type="pct"/>
            <w:vMerge w:val="continue"/>
            <w:noWrap w:val="0"/>
            <w:vAlign w:val="center"/>
          </w:tcPr>
          <w:p>
            <w:pPr>
              <w:adjustRightInd w:val="0"/>
              <w:snapToGrid w:val="0"/>
              <w:jc w:val="center"/>
              <w:rPr>
                <w:rFonts w:hint="eastAsia" w:ascii="Times New Roman" w:hAnsi="Times New Roman" w:cs="Times New Roman"/>
                <w:color w:val="auto"/>
                <w:highlight w:val="none"/>
                <w:u w:val="none"/>
                <w:lang w:val="en-US" w:eastAsia="zh-CN"/>
              </w:rPr>
            </w:pPr>
          </w:p>
        </w:tc>
        <w:tc>
          <w:tcPr>
            <w:tcW w:w="3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p>
        </w:tc>
        <w:tc>
          <w:tcPr>
            <w:tcW w:w="504" w:type="pct"/>
            <w:vMerge w:val="continue"/>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rPr>
            </w:pPr>
          </w:p>
        </w:tc>
        <w:tc>
          <w:tcPr>
            <w:tcW w:w="835" w:type="pct"/>
            <w:noWrap w:val="0"/>
            <w:vAlign w:val="center"/>
          </w:tcPr>
          <w:p>
            <w:pPr>
              <w:keepNext w:val="0"/>
              <w:keepLines w:val="0"/>
              <w:widowControl/>
              <w:suppressLineNumbers w:val="0"/>
              <w:jc w:val="center"/>
              <w:textAlignment w:val="center"/>
              <w:rPr>
                <w:rFonts w:hint="default" w:ascii="Times New Roman" w:hAnsi="Times New Roman" w:cs="Times New Roman"/>
                <w:color w:val="auto"/>
                <w:highlight w:val="yellow"/>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r>
    </w:tbl>
    <w:p>
      <w:pPr>
        <w:widowControl w:val="0"/>
        <w:bidi w:val="0"/>
        <w:spacing w:line="360" w:lineRule="auto"/>
        <w:ind w:left="0" w:firstLine="0"/>
        <w:jc w:val="both"/>
        <w:outlineLvl w:val="1"/>
        <w:rPr>
          <w:rFonts w:hint="default" w:ascii="Times New Roman" w:hAnsi="Times New Roman" w:eastAsia="宋体" w:cs="Times New Roman"/>
          <w:b/>
          <w:color w:val="auto"/>
          <w:kern w:val="28"/>
          <w:sz w:val="24"/>
          <w:szCs w:val="24"/>
          <w:highlight w:val="none"/>
          <w:u w:val="none" w:color="auto"/>
          <w:lang w:val="en-US" w:eastAsia="zh-CN" w:bidi="ar-SA"/>
        </w:rPr>
      </w:pPr>
      <w:r>
        <w:rPr>
          <w:rFonts w:hint="eastAsia" w:ascii="Times New Roman" w:hAnsi="Times New Roman" w:eastAsia="宋体" w:cs="Times New Roman"/>
          <w:b/>
          <w:color w:val="auto"/>
          <w:kern w:val="28"/>
          <w:sz w:val="24"/>
          <w:szCs w:val="24"/>
          <w:highlight w:val="none"/>
          <w:u w:val="none" w:color="auto"/>
          <w:lang w:val="en-US" w:eastAsia="zh-CN" w:bidi="ar-SA"/>
        </w:rPr>
        <w:t>4.4</w:t>
      </w:r>
      <w:r>
        <w:rPr>
          <w:rFonts w:hint="default" w:ascii="Times New Roman" w:hAnsi="Times New Roman" w:eastAsia="宋体" w:cs="Times New Roman"/>
          <w:b/>
          <w:color w:val="auto"/>
          <w:kern w:val="28"/>
          <w:sz w:val="24"/>
          <w:szCs w:val="24"/>
          <w:highlight w:val="none"/>
          <w:u w:val="none" w:color="auto"/>
          <w:lang w:val="zh-CN" w:eastAsia="zh-CN" w:bidi="ar-SA"/>
        </w:rPr>
        <w:t>火灾爆炸引发的次生污染事故</w:t>
      </w:r>
      <w:r>
        <w:rPr>
          <w:rFonts w:hint="eastAsia" w:ascii="Times New Roman" w:hAnsi="Times New Roman" w:eastAsia="宋体" w:cs="Times New Roman"/>
          <w:b/>
          <w:color w:val="auto"/>
          <w:kern w:val="28"/>
          <w:sz w:val="24"/>
          <w:szCs w:val="24"/>
          <w:highlight w:val="none"/>
          <w:u w:val="none" w:color="auto"/>
          <w:lang w:val="en-US" w:eastAsia="zh-CN" w:bidi="ar-SA"/>
        </w:rPr>
        <w:t>源强</w:t>
      </w:r>
    </w:p>
    <w:p>
      <w:pPr>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废机油</w:t>
      </w:r>
      <w:r>
        <w:rPr>
          <w:rFonts w:hint="eastAsia" w:cs="Times New Roman"/>
          <w:color w:val="auto"/>
          <w:sz w:val="24"/>
          <w:szCs w:val="24"/>
          <w:lang w:val="en-US" w:eastAsia="zh-CN"/>
        </w:rPr>
        <w:t>、润滑油</w:t>
      </w:r>
      <w:r>
        <w:rPr>
          <w:rFonts w:hint="default" w:ascii="Times New Roman" w:hAnsi="Times New Roman" w:eastAsia="宋体" w:cs="Times New Roman"/>
          <w:color w:val="auto"/>
          <w:sz w:val="24"/>
          <w:szCs w:val="24"/>
          <w:lang w:val="en-US" w:eastAsia="zh-CN"/>
        </w:rPr>
        <w:t>可燃，若此类风险物质泄漏后处理不及时，遇到火源则发生火灾甚至引起爆炸，在燃烧过程中会伴生大量的烟尘、CO等污染物，会在短时间内对周围环境产生不利影响，CO的毒性较大，对人体健康产生的危害较大，故本预案选定CO作为预测因子，预测火灾过程中CO排放对周边环境及人群的影响。若使用消防水还会产生消防废水。</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单位时间内参与燃烧的物质量即燃烧速度Q：</w:t>
      </w:r>
    </w:p>
    <w:p>
      <w:pPr>
        <w:ind w:firstLine="480"/>
        <w:jc w:val="center"/>
        <w:rPr>
          <w:rFonts w:ascii="Times New Roman" w:hAnsi="Times New Roman" w:cs="Times New Roman"/>
          <w:color w:val="auto"/>
          <w:u w:val="single"/>
        </w:rPr>
      </w:pPr>
      <w:r>
        <w:rPr>
          <w:rFonts w:ascii="Times New Roman" w:hAnsi="Times New Roman" w:cs="Times New Roman"/>
          <w:color w:val="auto"/>
          <w:u w:val="single"/>
        </w:rPr>
        <w:drawing>
          <wp:inline distT="0" distB="0" distL="114300" distR="114300">
            <wp:extent cx="2036445" cy="419735"/>
            <wp:effectExtent l="0" t="0" r="0" b="1841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6"/>
                    <a:stretch>
                      <a:fillRect/>
                    </a:stretch>
                  </pic:blipFill>
                  <pic:spPr>
                    <a:xfrm>
                      <a:off x="0" y="0"/>
                      <a:ext cx="2036445" cy="419735"/>
                    </a:xfrm>
                    <a:prstGeom prst="rect">
                      <a:avLst/>
                    </a:prstGeom>
                    <a:noFill/>
                    <a:ln>
                      <a:noFill/>
                    </a:ln>
                  </pic:spPr>
                </pic:pic>
              </a:graphicData>
            </a:graphic>
          </wp:inline>
        </w:drawing>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式中：</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Q—燃烧速度，单位时间内参与燃烧的物质量（kg/h）；</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ρ—油品的密度，kg/m</w:t>
      </w:r>
      <w:r>
        <w:rPr>
          <w:rFonts w:hint="default" w:ascii="Times New Roman" w:hAnsi="Times New Roman" w:eastAsia="宋体" w:cs="Times New Roman"/>
          <w:color w:val="auto"/>
          <w:sz w:val="24"/>
          <w:szCs w:val="24"/>
          <w:u w:val="single"/>
          <w:vertAlign w:val="superscript"/>
          <w:lang w:val="en-US" w:eastAsia="zh-CN"/>
        </w:rPr>
        <w:t>3</w:t>
      </w:r>
      <w:r>
        <w:rPr>
          <w:rFonts w:hint="default" w:ascii="Times New Roman" w:hAnsi="Times New Roman" w:eastAsia="宋体" w:cs="Times New Roman"/>
          <w:color w:val="auto"/>
          <w:sz w:val="24"/>
          <w:szCs w:val="24"/>
          <w:u w:val="single"/>
          <w:lang w:val="en-US" w:eastAsia="zh-CN"/>
        </w:rPr>
        <w:t>；</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D—燃烧液面的直径，取仓库等效直径；</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S—燃烧液面的面积，取仓库面积。</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危废暂存间易燃物燃烧速度计算如下：</w:t>
      </w:r>
    </w:p>
    <w:p>
      <w:pPr>
        <w:pStyle w:val="8"/>
        <w:keepNext/>
        <w:ind w:firstLine="482"/>
        <w:rPr>
          <w:rFonts w:hint="default" w:ascii="Times New Roman" w:hAnsi="Times New Roman" w:eastAsia="宋体" w:cs="Times New Roman"/>
          <w:b/>
          <w:color w:val="auto"/>
          <w:sz w:val="24"/>
          <w:szCs w:val="24"/>
          <w:u w:val="single"/>
          <w:lang w:val="zh-CN"/>
        </w:rPr>
      </w:pPr>
      <w:r>
        <w:rPr>
          <w:rFonts w:hint="default" w:ascii="Times New Roman" w:hAnsi="Times New Roman" w:eastAsia="宋体" w:cs="Times New Roman"/>
          <w:b/>
          <w:color w:val="auto"/>
          <w:sz w:val="24"/>
          <w:szCs w:val="24"/>
          <w:u w:val="single"/>
          <w:lang w:val="en-US" w:eastAsia="zh-CN"/>
        </w:rPr>
        <w:t>表4.4-1</w:t>
      </w:r>
      <w:r>
        <w:rPr>
          <w:rFonts w:hint="default" w:ascii="Times New Roman" w:hAnsi="Times New Roman" w:eastAsia="宋体" w:cs="Times New Roman"/>
          <w:b/>
          <w:color w:val="auto"/>
          <w:sz w:val="24"/>
          <w:szCs w:val="24"/>
          <w:u w:val="single"/>
          <w:lang w:val="zh-CN"/>
        </w:rPr>
        <w:t>易燃物燃烧速度计算</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08"/>
        <w:gridCol w:w="2519"/>
        <w:gridCol w:w="1825"/>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0" w:type="auto"/>
            <w:noWrap w:val="0"/>
            <w:vAlign w:val="center"/>
          </w:tcPr>
          <w:p>
            <w:pPr>
              <w:spacing w:line="240" w:lineRule="auto"/>
              <w:ind w:firstLine="0" w:firstLineChars="0"/>
              <w:jc w:val="center"/>
              <w:rPr>
                <w:rFonts w:hint="default" w:ascii="Times New Roman" w:hAnsi="Times New Roman" w:eastAsia="宋体" w:cs="Times New Roman"/>
                <w:b/>
                <w:color w:val="auto"/>
                <w:sz w:val="21"/>
                <w:szCs w:val="20"/>
                <w:u w:val="single"/>
              </w:rPr>
            </w:pPr>
            <w:r>
              <w:rPr>
                <w:rFonts w:hint="default" w:ascii="Times New Roman" w:hAnsi="Times New Roman" w:eastAsia="宋体" w:cs="Times New Roman"/>
                <w:b/>
                <w:color w:val="auto"/>
                <w:sz w:val="21"/>
                <w:szCs w:val="20"/>
                <w:u w:val="single"/>
              </w:rPr>
              <w:t>参数</w:t>
            </w:r>
          </w:p>
        </w:tc>
        <w:tc>
          <w:tcPr>
            <w:tcW w:w="0" w:type="auto"/>
            <w:noWrap w:val="0"/>
            <w:vAlign w:val="center"/>
          </w:tcPr>
          <w:p>
            <w:pPr>
              <w:spacing w:line="240" w:lineRule="auto"/>
              <w:ind w:firstLine="0" w:firstLineChars="0"/>
              <w:jc w:val="center"/>
              <w:rPr>
                <w:rFonts w:hint="default" w:ascii="Times New Roman" w:hAnsi="Times New Roman" w:eastAsia="宋体" w:cs="Times New Roman"/>
                <w:b/>
                <w:color w:val="auto"/>
                <w:sz w:val="21"/>
                <w:szCs w:val="20"/>
                <w:u w:val="single"/>
              </w:rPr>
            </w:pPr>
            <w:r>
              <w:rPr>
                <w:rFonts w:hint="default" w:ascii="Times New Roman" w:hAnsi="Times New Roman" w:eastAsia="宋体" w:cs="Times New Roman"/>
                <w:b/>
                <w:color w:val="auto"/>
                <w:sz w:val="21"/>
                <w:szCs w:val="20"/>
                <w:u w:val="single"/>
              </w:rPr>
              <w:t>单位</w:t>
            </w:r>
          </w:p>
        </w:tc>
        <w:tc>
          <w:tcPr>
            <w:tcW w:w="1011"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0"/>
                <w:u w:val="single"/>
              </w:rPr>
            </w:pPr>
            <w:r>
              <w:rPr>
                <w:rFonts w:hint="eastAsia" w:ascii="Times New Roman" w:hAnsi="Times New Roman" w:eastAsia="宋体" w:cs="Times New Roman"/>
                <w:b/>
                <w:color w:val="auto"/>
                <w:sz w:val="21"/>
                <w:szCs w:val="20"/>
                <w:u w:val="single"/>
                <w:lang w:val="en-US" w:eastAsia="zh-CN"/>
              </w:rPr>
              <w:t>废机油</w:t>
            </w:r>
          </w:p>
        </w:tc>
        <w:tc>
          <w:tcPr>
            <w:tcW w:w="872" w:type="pct"/>
            <w:noWrap w:val="0"/>
            <w:vAlign w:val="center"/>
          </w:tcPr>
          <w:p>
            <w:pPr>
              <w:spacing w:line="240" w:lineRule="auto"/>
              <w:ind w:firstLine="0" w:firstLineChars="0"/>
              <w:jc w:val="center"/>
              <w:rPr>
                <w:rFonts w:hint="eastAsia" w:ascii="Times New Roman" w:hAnsi="Times New Roman" w:eastAsia="宋体" w:cs="Times New Roman"/>
                <w:b/>
                <w:color w:val="auto"/>
                <w:sz w:val="21"/>
                <w:szCs w:val="20"/>
                <w:u w:val="single"/>
                <w:lang w:val="en-US" w:eastAsia="zh-CN"/>
              </w:rPr>
            </w:pPr>
            <w:r>
              <w:rPr>
                <w:rFonts w:hint="eastAsia" w:cs="Times New Roman"/>
                <w:b/>
                <w:color w:val="auto"/>
                <w:sz w:val="21"/>
                <w:szCs w:val="20"/>
                <w:u w:val="single"/>
                <w:lang w:val="en-US" w:eastAsia="zh-CN"/>
              </w:rPr>
              <w:t>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ρ</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kg/m</w:t>
            </w:r>
            <w:r>
              <w:rPr>
                <w:rFonts w:hint="default" w:ascii="Times New Roman" w:hAnsi="Times New Roman" w:cs="Times New Roman"/>
                <w:color w:val="auto"/>
                <w:sz w:val="21"/>
                <w:szCs w:val="20"/>
                <w:u w:val="single"/>
                <w:vertAlign w:val="superscript"/>
              </w:rPr>
              <w:t>3</w:t>
            </w:r>
          </w:p>
        </w:tc>
        <w:tc>
          <w:tcPr>
            <w:tcW w:w="101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900</w:t>
            </w:r>
          </w:p>
        </w:tc>
        <w:tc>
          <w:tcPr>
            <w:tcW w:w="87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cs="Times New Roman"/>
                <w:color w:val="auto"/>
                <w:sz w:val="21"/>
                <w:szCs w:val="20"/>
                <w:u w:val="singl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D</w:t>
            </w: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m</w:t>
            </w:r>
          </w:p>
        </w:tc>
        <w:tc>
          <w:tcPr>
            <w:tcW w:w="101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cs="Times New Roman"/>
                <w:color w:val="auto"/>
                <w:sz w:val="21"/>
                <w:szCs w:val="20"/>
                <w:highlight w:val="none"/>
                <w:u w:val="single"/>
                <w:lang w:val="en-US" w:eastAsia="zh-CN"/>
              </w:rPr>
              <w:t>1.78</w:t>
            </w:r>
          </w:p>
        </w:tc>
        <w:tc>
          <w:tcPr>
            <w:tcW w:w="872" w:type="pct"/>
            <w:noWrap w:val="0"/>
            <w:vAlign w:val="center"/>
          </w:tcPr>
          <w:p>
            <w:pPr>
              <w:spacing w:line="240" w:lineRule="auto"/>
              <w:ind w:firstLine="0" w:firstLineChars="0"/>
              <w:jc w:val="center"/>
              <w:rPr>
                <w:rFonts w:hint="default" w:ascii="Times New Roman" w:hAnsi="Times New Roman" w:cs="Times New Roman"/>
                <w:color w:val="auto"/>
                <w:sz w:val="21"/>
                <w:szCs w:val="20"/>
                <w:highlight w:val="none"/>
                <w:u w:val="single"/>
                <w:lang w:val="en-US" w:eastAsia="zh-CN"/>
              </w:rPr>
            </w:pPr>
            <w:r>
              <w:rPr>
                <w:rFonts w:hint="eastAsia" w:cs="Times New Roman"/>
                <w:color w:val="auto"/>
                <w:sz w:val="21"/>
                <w:szCs w:val="20"/>
                <w:highlight w:val="none"/>
                <w:u w:val="single"/>
                <w:lang w:val="en-US" w:eastAsia="zh-CN"/>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S</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m</w:t>
            </w:r>
            <w:r>
              <w:rPr>
                <w:rFonts w:hint="default" w:ascii="Times New Roman" w:hAnsi="Times New Roman" w:cs="Times New Roman"/>
                <w:color w:val="auto"/>
                <w:sz w:val="21"/>
                <w:szCs w:val="20"/>
                <w:u w:val="single"/>
                <w:vertAlign w:val="superscript"/>
              </w:rPr>
              <w:t>2</w:t>
            </w:r>
          </w:p>
        </w:tc>
        <w:tc>
          <w:tcPr>
            <w:tcW w:w="101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ascii="Times New Roman" w:hAnsi="Times New Roman" w:cs="Times New Roman"/>
                <w:color w:val="auto"/>
                <w:sz w:val="21"/>
                <w:szCs w:val="20"/>
                <w:u w:val="single"/>
                <w:lang w:val="en-US" w:eastAsia="zh-CN"/>
              </w:rPr>
              <w:t>10</w:t>
            </w:r>
          </w:p>
        </w:tc>
        <w:tc>
          <w:tcPr>
            <w:tcW w:w="872" w:type="pct"/>
            <w:noWrap w:val="0"/>
            <w:vAlign w:val="center"/>
          </w:tcPr>
          <w:p>
            <w:pPr>
              <w:spacing w:line="240" w:lineRule="auto"/>
              <w:ind w:firstLine="0" w:firstLineChars="0"/>
              <w:jc w:val="center"/>
              <w:rPr>
                <w:rFonts w:hint="default" w:ascii="Times New Roman" w:hAnsi="Times New Roman" w:cs="Times New Roman"/>
                <w:color w:val="auto"/>
                <w:sz w:val="21"/>
                <w:szCs w:val="20"/>
                <w:u w:val="single"/>
                <w:lang w:val="en-US" w:eastAsia="zh-CN"/>
              </w:rPr>
            </w:pPr>
            <w:r>
              <w:rPr>
                <w:rFonts w:hint="eastAsia" w:cs="Times New Roman"/>
                <w:color w:val="auto"/>
                <w:sz w:val="21"/>
                <w:szCs w:val="20"/>
                <w:u w:val="singl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储存量</w:t>
            </w: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t</w:t>
            </w:r>
          </w:p>
        </w:tc>
        <w:tc>
          <w:tcPr>
            <w:tcW w:w="101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ascii="Times New Roman" w:hAnsi="Times New Roman" w:cs="Times New Roman"/>
                <w:color w:val="auto"/>
                <w:sz w:val="21"/>
                <w:szCs w:val="20"/>
                <w:u w:val="single"/>
                <w:lang w:val="en-US" w:eastAsia="zh-CN"/>
              </w:rPr>
              <w:t>0.1</w:t>
            </w:r>
          </w:p>
        </w:tc>
        <w:tc>
          <w:tcPr>
            <w:tcW w:w="872" w:type="pct"/>
            <w:noWrap w:val="0"/>
            <w:vAlign w:val="center"/>
          </w:tcPr>
          <w:p>
            <w:pPr>
              <w:spacing w:line="240" w:lineRule="auto"/>
              <w:ind w:firstLine="0" w:firstLineChars="0"/>
              <w:jc w:val="center"/>
              <w:rPr>
                <w:rFonts w:hint="default" w:ascii="Times New Roman" w:hAnsi="Times New Roman" w:cs="Times New Roman"/>
                <w:color w:val="auto"/>
                <w:sz w:val="21"/>
                <w:szCs w:val="20"/>
                <w:u w:val="single"/>
                <w:lang w:val="en-US" w:eastAsia="zh-CN"/>
              </w:rPr>
            </w:pPr>
            <w:r>
              <w:rPr>
                <w:rFonts w:hint="eastAsia" w:cs="Times New Roman"/>
                <w:color w:val="auto"/>
                <w:sz w:val="21"/>
                <w:szCs w:val="20"/>
                <w:u w:val="singl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 w:hRule="atLeast"/>
        </w:trPr>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Q</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kg/h</w:t>
            </w:r>
          </w:p>
        </w:tc>
        <w:tc>
          <w:tcPr>
            <w:tcW w:w="101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cs="Times New Roman"/>
                <w:color w:val="auto"/>
                <w:sz w:val="21"/>
                <w:szCs w:val="20"/>
                <w:u w:val="single"/>
                <w:lang w:val="en-US" w:eastAsia="zh-CN"/>
              </w:rPr>
              <w:t>1649</w:t>
            </w:r>
          </w:p>
        </w:tc>
        <w:tc>
          <w:tcPr>
            <w:tcW w:w="872" w:type="pct"/>
            <w:noWrap w:val="0"/>
            <w:vAlign w:val="center"/>
          </w:tcPr>
          <w:p>
            <w:pPr>
              <w:spacing w:line="240" w:lineRule="auto"/>
              <w:ind w:firstLine="0" w:firstLineChars="0"/>
              <w:jc w:val="center"/>
              <w:rPr>
                <w:rFonts w:hint="default" w:ascii="Times New Roman" w:hAnsi="Times New Roman" w:cs="Times New Roman"/>
                <w:color w:val="auto"/>
                <w:sz w:val="21"/>
                <w:szCs w:val="20"/>
                <w:u w:val="single"/>
                <w:lang w:val="en-US" w:eastAsia="zh-CN"/>
              </w:rPr>
            </w:pPr>
            <w:r>
              <w:rPr>
                <w:rFonts w:hint="eastAsia" w:cs="Times New Roman"/>
                <w:color w:val="auto"/>
                <w:sz w:val="21"/>
                <w:szCs w:val="20"/>
                <w:u w:val="single"/>
                <w:lang w:val="en-US" w:eastAsia="zh-CN"/>
              </w:rPr>
              <w:t>21261</w:t>
            </w:r>
          </w:p>
        </w:tc>
      </w:tr>
    </w:tbl>
    <w:p>
      <w:pPr>
        <w:spacing w:line="360" w:lineRule="auto"/>
        <w:ind w:firstLine="480"/>
        <w:rPr>
          <w:rFonts w:hint="eastAsia"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根据《建设项目环境风险评价技术导则》（HJ169-2018）附录F，油品火灾、爆炸次生一氧化碳产生量按下式计算：</w:t>
      </w:r>
    </w:p>
    <w:p>
      <w:pPr>
        <w:spacing w:line="360" w:lineRule="auto"/>
        <w:jc w:val="center"/>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G一氧化碳=2330qCQ</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式中：</w:t>
      </w:r>
    </w:p>
    <w:p>
      <w:pPr>
        <w:spacing w:line="360" w:lineRule="auto"/>
        <w:ind w:firstLine="480"/>
        <w:rPr>
          <w:rFonts w:hint="eastAsia"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G一氧化碳</w:t>
      </w:r>
      <w:r>
        <w:rPr>
          <w:rFonts w:hint="default" w:ascii="Times New Roman" w:hAnsi="Times New Roman" w:eastAsia="宋体" w:cs="Times New Roman"/>
          <w:color w:val="auto"/>
          <w:sz w:val="24"/>
          <w:szCs w:val="24"/>
          <w:u w:val="single"/>
          <w:lang w:val="en-US" w:eastAsia="zh-CN"/>
        </w:rPr>
        <w:t>—</w:t>
      </w:r>
      <w:r>
        <w:rPr>
          <w:rFonts w:hint="eastAsia" w:ascii="Times New Roman" w:hAnsi="Times New Roman" w:eastAsia="宋体" w:cs="Times New Roman"/>
          <w:color w:val="auto"/>
          <w:sz w:val="24"/>
          <w:szCs w:val="24"/>
          <w:u w:val="single"/>
          <w:lang w:val="en-US" w:eastAsia="zh-CN"/>
        </w:rPr>
        <w:t>一氧化碳的产生量，kg/s；</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C</w:t>
      </w:r>
      <w:r>
        <w:rPr>
          <w:rFonts w:hint="default" w:ascii="Times New Roman" w:hAnsi="Times New Roman" w:eastAsia="宋体" w:cs="Times New Roman"/>
          <w:color w:val="auto"/>
          <w:sz w:val="24"/>
          <w:szCs w:val="24"/>
          <w:u w:val="single"/>
          <w:lang w:val="en-US" w:eastAsia="zh-CN"/>
        </w:rPr>
        <w:t>—</w:t>
      </w:r>
      <w:r>
        <w:rPr>
          <w:rFonts w:hint="eastAsia" w:ascii="Times New Roman" w:hAnsi="Times New Roman" w:eastAsia="宋体" w:cs="Times New Roman"/>
          <w:color w:val="auto"/>
          <w:sz w:val="24"/>
          <w:szCs w:val="24"/>
          <w:u w:val="single"/>
          <w:lang w:val="en-US" w:eastAsia="zh-CN"/>
        </w:rPr>
        <w:t>物质中碳的含量，取85%；</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q</w:t>
      </w:r>
      <w:r>
        <w:rPr>
          <w:rFonts w:hint="default" w:ascii="Times New Roman" w:hAnsi="Times New Roman" w:eastAsia="宋体" w:cs="Times New Roman"/>
          <w:color w:val="auto"/>
          <w:sz w:val="24"/>
          <w:szCs w:val="24"/>
          <w:u w:val="single"/>
          <w:lang w:val="en-US" w:eastAsia="zh-CN"/>
        </w:rPr>
        <w:t>—</w:t>
      </w:r>
      <w:r>
        <w:rPr>
          <w:rFonts w:hint="eastAsia" w:ascii="Times New Roman" w:hAnsi="Times New Roman" w:eastAsia="宋体" w:cs="Times New Roman"/>
          <w:color w:val="auto"/>
          <w:sz w:val="24"/>
          <w:szCs w:val="24"/>
          <w:u w:val="single"/>
          <w:lang w:val="en-US" w:eastAsia="zh-CN"/>
        </w:rPr>
        <w:t>化学不完全燃烧值，不完全燃烧值通常为2%；</w:t>
      </w:r>
    </w:p>
    <w:p>
      <w:pPr>
        <w:spacing w:line="360" w:lineRule="auto"/>
        <w:ind w:firstLine="480"/>
        <w:rPr>
          <w:rFonts w:hint="default"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Q—参与燃烧的物质量，t/s。</w:t>
      </w:r>
    </w:p>
    <w:p>
      <w:pPr>
        <w:spacing w:line="360" w:lineRule="auto"/>
        <w:ind w:firstLine="480"/>
        <w:rPr>
          <w:rFonts w:hint="eastAsia" w:ascii="Times New Roman" w:hAnsi="Times New Roman" w:eastAsia="宋体" w:cs="Times New Roman"/>
          <w:color w:val="auto"/>
          <w:sz w:val="24"/>
          <w:szCs w:val="24"/>
          <w:u w:val="single"/>
          <w:lang w:val="en-US" w:eastAsia="zh-CN"/>
        </w:rPr>
      </w:pPr>
      <w:r>
        <w:rPr>
          <w:rFonts w:hint="eastAsia" w:ascii="Times New Roman" w:hAnsi="Times New Roman" w:eastAsia="宋体" w:cs="Times New Roman"/>
          <w:color w:val="auto"/>
          <w:sz w:val="24"/>
          <w:szCs w:val="24"/>
          <w:u w:val="single"/>
          <w:lang w:val="en-US" w:eastAsia="zh-CN"/>
        </w:rPr>
        <w:t>燃烧CO产生量计算如下。</w:t>
      </w:r>
    </w:p>
    <w:p>
      <w:pPr>
        <w:pStyle w:val="8"/>
        <w:keepNext/>
        <w:ind w:firstLine="482"/>
        <w:rPr>
          <w:rFonts w:hint="default" w:ascii="Times New Roman" w:hAnsi="Times New Roman" w:eastAsia="宋体" w:cs="Times New Roman"/>
          <w:b/>
          <w:color w:val="auto"/>
          <w:kern w:val="2"/>
          <w:sz w:val="24"/>
          <w:szCs w:val="24"/>
          <w:u w:val="single"/>
          <w:lang w:val="zh-CN" w:eastAsia="zh-CN" w:bidi="ar-SA"/>
        </w:rPr>
      </w:pPr>
      <w:r>
        <w:rPr>
          <w:rFonts w:hint="default" w:ascii="Times New Roman" w:hAnsi="Times New Roman" w:cs="Times New Roman"/>
          <w:b/>
          <w:color w:val="auto"/>
          <w:sz w:val="24"/>
          <w:szCs w:val="24"/>
          <w:u w:val="single"/>
          <w:lang w:val="en-US" w:eastAsia="zh-CN"/>
        </w:rPr>
        <w:t>表4.4-2</w:t>
      </w:r>
      <w:r>
        <w:rPr>
          <w:rFonts w:hint="default" w:ascii="Times New Roman" w:hAnsi="Times New Roman" w:cs="Times New Roman"/>
          <w:b/>
          <w:color w:val="auto"/>
          <w:sz w:val="24"/>
          <w:szCs w:val="24"/>
          <w:u w:val="single"/>
          <w:lang w:val="zh-CN"/>
        </w:rPr>
        <w:t>C</w:t>
      </w:r>
      <w:r>
        <w:rPr>
          <w:rFonts w:hint="default" w:ascii="Times New Roman" w:hAnsi="Times New Roman" w:eastAsia="宋体" w:cs="Times New Roman"/>
          <w:b/>
          <w:color w:val="auto"/>
          <w:kern w:val="2"/>
          <w:sz w:val="24"/>
          <w:szCs w:val="24"/>
          <w:u w:val="single"/>
          <w:lang w:val="zh-CN" w:eastAsia="zh-CN" w:bidi="ar-SA"/>
        </w:rPr>
        <w:t>O产生量计算</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76"/>
        <w:gridCol w:w="1668"/>
        <w:gridCol w:w="2578"/>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blHeader/>
        </w:trPr>
        <w:tc>
          <w:tcPr>
            <w:tcW w:w="0" w:type="auto"/>
            <w:noWrap w:val="0"/>
            <w:vAlign w:val="center"/>
          </w:tcPr>
          <w:p>
            <w:pPr>
              <w:spacing w:line="240" w:lineRule="auto"/>
              <w:ind w:firstLine="0" w:firstLineChars="0"/>
              <w:jc w:val="center"/>
              <w:rPr>
                <w:rFonts w:hint="default" w:ascii="Times New Roman" w:hAnsi="Times New Roman" w:eastAsia="宋体" w:cs="Times New Roman"/>
                <w:b/>
                <w:color w:val="auto"/>
                <w:sz w:val="21"/>
                <w:szCs w:val="20"/>
                <w:u w:val="single"/>
              </w:rPr>
            </w:pPr>
            <w:r>
              <w:rPr>
                <w:rFonts w:hint="default" w:ascii="Times New Roman" w:hAnsi="Times New Roman" w:eastAsia="宋体" w:cs="Times New Roman"/>
                <w:b/>
                <w:color w:val="auto"/>
                <w:sz w:val="21"/>
                <w:szCs w:val="20"/>
                <w:u w:val="single"/>
              </w:rPr>
              <w:t>参数</w:t>
            </w:r>
          </w:p>
        </w:tc>
        <w:tc>
          <w:tcPr>
            <w:tcW w:w="0" w:type="auto"/>
            <w:noWrap w:val="0"/>
            <w:vAlign w:val="center"/>
          </w:tcPr>
          <w:p>
            <w:pPr>
              <w:spacing w:line="240" w:lineRule="auto"/>
              <w:ind w:firstLine="0" w:firstLineChars="0"/>
              <w:jc w:val="center"/>
              <w:rPr>
                <w:rFonts w:hint="default" w:ascii="Times New Roman" w:hAnsi="Times New Roman" w:eastAsia="宋体" w:cs="Times New Roman"/>
                <w:b/>
                <w:color w:val="auto"/>
                <w:sz w:val="21"/>
                <w:szCs w:val="20"/>
                <w:u w:val="single"/>
              </w:rPr>
            </w:pPr>
            <w:r>
              <w:rPr>
                <w:rFonts w:hint="default" w:ascii="Times New Roman" w:hAnsi="Times New Roman" w:eastAsia="宋体" w:cs="Times New Roman"/>
                <w:b/>
                <w:color w:val="auto"/>
                <w:sz w:val="21"/>
                <w:szCs w:val="20"/>
                <w:u w:val="single"/>
              </w:rPr>
              <w:t>单位</w:t>
            </w:r>
          </w:p>
        </w:tc>
        <w:tc>
          <w:tcPr>
            <w:tcW w:w="0" w:type="auto"/>
            <w:noWrap w:val="0"/>
            <w:vAlign w:val="center"/>
          </w:tcPr>
          <w:p>
            <w:pPr>
              <w:spacing w:line="240" w:lineRule="auto"/>
              <w:ind w:firstLine="0" w:firstLineChars="0"/>
              <w:jc w:val="center"/>
              <w:rPr>
                <w:rFonts w:hint="eastAsia" w:ascii="Times New Roman" w:hAnsi="Times New Roman" w:eastAsia="宋体" w:cs="Times New Roman"/>
                <w:b/>
                <w:color w:val="auto"/>
                <w:sz w:val="21"/>
                <w:szCs w:val="20"/>
                <w:u w:val="single"/>
                <w:lang w:val="en-US" w:eastAsia="zh-CN"/>
              </w:rPr>
            </w:pPr>
            <w:r>
              <w:rPr>
                <w:rFonts w:hint="eastAsia" w:ascii="Times New Roman" w:hAnsi="Times New Roman" w:eastAsia="宋体" w:cs="Times New Roman"/>
                <w:b/>
                <w:color w:val="auto"/>
                <w:sz w:val="21"/>
                <w:szCs w:val="20"/>
                <w:u w:val="single"/>
                <w:lang w:val="en-US" w:eastAsia="zh-CN"/>
              </w:rPr>
              <w:t>废机油</w:t>
            </w:r>
          </w:p>
        </w:tc>
        <w:tc>
          <w:tcPr>
            <w:tcW w:w="0" w:type="auto"/>
            <w:noWrap w:val="0"/>
            <w:vAlign w:val="center"/>
          </w:tcPr>
          <w:p>
            <w:pPr>
              <w:spacing w:line="240" w:lineRule="auto"/>
              <w:ind w:firstLine="0" w:firstLineChars="0"/>
              <w:jc w:val="center"/>
              <w:rPr>
                <w:rFonts w:hint="eastAsia" w:ascii="Times New Roman" w:hAnsi="Times New Roman" w:eastAsia="宋体" w:cs="Times New Roman"/>
                <w:b/>
                <w:color w:val="auto"/>
                <w:sz w:val="21"/>
                <w:szCs w:val="20"/>
                <w:u w:val="single"/>
                <w:lang w:val="en-US" w:eastAsia="zh-CN"/>
              </w:rPr>
            </w:pPr>
            <w:r>
              <w:rPr>
                <w:rFonts w:hint="eastAsia" w:cs="Times New Roman"/>
                <w:b/>
                <w:color w:val="auto"/>
                <w:sz w:val="21"/>
                <w:szCs w:val="20"/>
                <w:u w:val="single"/>
                <w:lang w:val="en-US" w:eastAsia="zh-CN"/>
              </w:rPr>
              <w:t>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Q</w:t>
            </w: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rPr>
            </w:pPr>
            <w:r>
              <w:rPr>
                <w:rFonts w:hint="default" w:ascii="Times New Roman" w:hAnsi="Times New Roman" w:eastAsia="宋体" w:cs="Times New Roman"/>
                <w:color w:val="auto"/>
                <w:sz w:val="21"/>
                <w:szCs w:val="20"/>
                <w:u w:val="single"/>
              </w:rPr>
              <w:t>t/s</w:t>
            </w: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ascii="Times New Roman" w:hAnsi="Times New Roman" w:cs="Times New Roman"/>
                <w:color w:val="auto"/>
                <w:sz w:val="21"/>
                <w:szCs w:val="20"/>
                <w:u w:val="single"/>
                <w:lang w:val="en-US" w:eastAsia="zh-CN"/>
              </w:rPr>
              <w:t>0.00053</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lang w:val="en-US" w:eastAsia="zh-CN"/>
              </w:rPr>
            </w:pPr>
            <w:r>
              <w:rPr>
                <w:rFonts w:hint="eastAsia" w:cs="Times New Roman"/>
                <w:color w:val="auto"/>
                <w:sz w:val="21"/>
                <w:szCs w:val="20"/>
                <w:u w:val="singl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G</w:t>
            </w:r>
            <w:r>
              <w:rPr>
                <w:rFonts w:hint="default" w:ascii="Times New Roman" w:hAnsi="Times New Roman" w:eastAsia="宋体" w:cs="Times New Roman"/>
                <w:color w:val="auto"/>
                <w:sz w:val="21"/>
                <w:szCs w:val="20"/>
                <w:u w:val="single"/>
                <w:vertAlign w:val="subscript"/>
              </w:rPr>
              <w:t>一氧化碳</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rPr>
            </w:pPr>
            <w:r>
              <w:rPr>
                <w:rFonts w:hint="default" w:ascii="Times New Roman" w:hAnsi="Times New Roman" w:cs="Times New Roman"/>
                <w:color w:val="auto"/>
                <w:sz w:val="21"/>
                <w:szCs w:val="20"/>
                <w:u w:val="single"/>
              </w:rPr>
              <w:t>kg/s</w:t>
            </w: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0"/>
                <w:u w:val="single"/>
                <w:lang w:val="en-US" w:eastAsia="zh-CN"/>
              </w:rPr>
            </w:pPr>
            <w:r>
              <w:rPr>
                <w:rFonts w:hint="eastAsia" w:ascii="Times New Roman" w:hAnsi="Times New Roman" w:cs="Times New Roman"/>
                <w:color w:val="auto"/>
                <w:sz w:val="21"/>
                <w:szCs w:val="20"/>
                <w:u w:val="single"/>
                <w:lang w:val="en-US" w:eastAsia="zh-CN"/>
              </w:rPr>
              <w:t>0.0</w:t>
            </w:r>
            <w:r>
              <w:rPr>
                <w:rFonts w:hint="eastAsia" w:cs="Times New Roman"/>
                <w:color w:val="auto"/>
                <w:sz w:val="21"/>
                <w:szCs w:val="20"/>
                <w:u w:val="single"/>
                <w:lang w:val="en-US" w:eastAsia="zh-CN"/>
              </w:rPr>
              <w:t>181</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0"/>
                <w:u w:val="single"/>
                <w:lang w:val="en-US" w:eastAsia="zh-CN"/>
              </w:rPr>
            </w:pPr>
            <w:r>
              <w:rPr>
                <w:rFonts w:hint="eastAsia" w:cs="Times New Roman"/>
                <w:color w:val="auto"/>
                <w:sz w:val="21"/>
                <w:szCs w:val="20"/>
                <w:u w:val="single"/>
                <w:lang w:val="en-US" w:eastAsia="zh-CN"/>
              </w:rPr>
              <w:t>0.234</w:t>
            </w:r>
          </w:p>
        </w:tc>
      </w:tr>
    </w:tbl>
    <w:p>
      <w:pPr>
        <w:rPr>
          <w:rFonts w:hint="default" w:ascii="Times New Roman" w:hAnsi="Times New Roman" w:eastAsia="宋体" w:cs="Times New Roman"/>
          <w:color w:val="auto"/>
          <w:sz w:val="24"/>
          <w:szCs w:val="24"/>
          <w:highlight w:val="none"/>
          <w:u w:val="none" w:color="auto"/>
        </w:rPr>
      </w:pPr>
    </w:p>
    <w:p>
      <w:pP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br w:type="page"/>
      </w:r>
    </w:p>
    <w:p>
      <w:pPr>
        <w:keepNext/>
        <w:keepLines/>
        <w:widowControl w:val="0"/>
        <w:numPr>
          <w:ilvl w:val="0"/>
          <w:numId w:val="29"/>
        </w:numPr>
        <w:bidi w:val="0"/>
        <w:spacing w:beforeAutospacing="0" w:line="360" w:lineRule="auto"/>
        <w:ind w:left="432" w:hanging="432" w:firstLineChars="0"/>
        <w:jc w:val="left"/>
        <w:outlineLvl w:val="0"/>
        <w:rPr>
          <w:rFonts w:hint="default" w:ascii="Times New Roman" w:hAnsi="Times New Roman" w:eastAsia="宋体" w:cs="Times New Roman"/>
          <w:b/>
          <w:bCs/>
          <w:color w:val="auto"/>
          <w:kern w:val="44"/>
          <w:sz w:val="36"/>
          <w:szCs w:val="44"/>
          <w:u w:val="none" w:color="auto"/>
          <w:lang w:val="zh-CN" w:eastAsia="zh-CN" w:bidi="ar-SA"/>
        </w:rPr>
      </w:pPr>
      <w:bookmarkStart w:id="146" w:name="_bookmark40"/>
      <w:bookmarkEnd w:id="146"/>
      <w:bookmarkStart w:id="147" w:name="6.7_风险预测与评价"/>
      <w:bookmarkEnd w:id="147"/>
      <w:bookmarkStart w:id="148" w:name="_Toc7914"/>
      <w:bookmarkStart w:id="149" w:name="_Toc16548"/>
      <w:bookmarkStart w:id="150" w:name="_Toc20706"/>
      <w:bookmarkStart w:id="151" w:name="_Toc20074"/>
      <w:r>
        <w:rPr>
          <w:rFonts w:hint="default" w:ascii="Times New Roman" w:hAnsi="Times New Roman" w:eastAsia="宋体" w:cs="Times New Roman"/>
          <w:b/>
          <w:bCs/>
          <w:color w:val="auto"/>
          <w:kern w:val="44"/>
          <w:sz w:val="36"/>
          <w:szCs w:val="44"/>
          <w:u w:val="none" w:color="auto"/>
          <w:lang w:val="zh-CN" w:eastAsia="zh-CN" w:bidi="ar-SA"/>
        </w:rPr>
        <w:t>项目风险预测与评价</w:t>
      </w:r>
      <w:bookmarkEnd w:id="148"/>
      <w:bookmarkEnd w:id="149"/>
      <w:bookmarkEnd w:id="150"/>
      <w:bookmarkEnd w:id="151"/>
    </w:p>
    <w:p>
      <w:pPr>
        <w:widowControl w:val="0"/>
        <w:bidi w:val="0"/>
        <w:spacing w:line="360" w:lineRule="auto"/>
        <w:ind w:left="0" w:firstLine="0"/>
        <w:jc w:val="both"/>
        <w:outlineLvl w:val="1"/>
        <w:rPr>
          <w:rFonts w:hint="default" w:ascii="Times New Roman" w:hAnsi="Times New Roman" w:eastAsia="宋体" w:cs="Times New Roman"/>
          <w:b/>
          <w:color w:val="auto"/>
          <w:kern w:val="2"/>
          <w:sz w:val="24"/>
          <w:szCs w:val="28"/>
          <w:u w:val="none" w:color="auto"/>
          <w:lang w:val="zh-CN" w:eastAsia="zh-CN" w:bidi="ar-SA"/>
        </w:rPr>
      </w:pPr>
      <w:r>
        <w:rPr>
          <w:rFonts w:hint="default" w:ascii="Times New Roman" w:hAnsi="Times New Roman" w:eastAsia="宋体" w:cs="Times New Roman"/>
          <w:b/>
          <w:color w:val="auto"/>
          <w:kern w:val="2"/>
          <w:sz w:val="24"/>
          <w:szCs w:val="28"/>
          <w:u w:val="none" w:color="auto"/>
          <w:lang w:val="en-US" w:eastAsia="zh-CN" w:bidi="ar-SA"/>
        </w:rPr>
        <w:t>5.1</w:t>
      </w:r>
      <w:r>
        <w:rPr>
          <w:rFonts w:hint="eastAsia" w:ascii="Times New Roman" w:hAnsi="Times New Roman" w:eastAsia="宋体" w:cs="Times New Roman"/>
          <w:b/>
          <w:color w:val="auto"/>
          <w:kern w:val="2"/>
          <w:sz w:val="24"/>
          <w:szCs w:val="28"/>
          <w:u w:val="none" w:color="auto"/>
          <w:lang w:val="en-US" w:eastAsia="zh-CN" w:bidi="ar-SA"/>
        </w:rPr>
        <w:t>风险</w:t>
      </w:r>
      <w:r>
        <w:rPr>
          <w:rFonts w:hint="default" w:ascii="Times New Roman" w:hAnsi="Times New Roman" w:eastAsia="宋体" w:cs="Times New Roman"/>
          <w:b/>
          <w:color w:val="auto"/>
          <w:kern w:val="2"/>
          <w:sz w:val="24"/>
          <w:szCs w:val="28"/>
          <w:u w:val="none" w:color="auto"/>
          <w:lang w:val="en-US" w:eastAsia="zh-CN" w:bidi="ar-SA"/>
        </w:rPr>
        <w:t>物质泄漏</w:t>
      </w:r>
      <w:r>
        <w:rPr>
          <w:rFonts w:hint="default" w:ascii="Times New Roman" w:hAnsi="Times New Roman" w:eastAsia="宋体" w:cs="Times New Roman"/>
          <w:b/>
          <w:color w:val="auto"/>
          <w:kern w:val="2"/>
          <w:sz w:val="24"/>
          <w:szCs w:val="28"/>
          <w:u w:val="none" w:color="auto"/>
          <w:lang w:val="zh-CN" w:eastAsia="zh-CN" w:bidi="ar-SA"/>
        </w:rPr>
        <w:t>事故预测与评价</w:t>
      </w:r>
    </w:p>
    <w:p>
      <w:pPr>
        <w:tabs>
          <w:tab w:val="left" w:pos="1320"/>
        </w:tabs>
        <w:autoSpaceDE w:val="0"/>
        <w:autoSpaceDN w:val="0"/>
        <w:adjustRightInd/>
        <w:snapToGrid/>
        <w:spacing w:line="360" w:lineRule="auto"/>
        <w:ind w:firstLine="0" w:firstLineChars="0"/>
        <w:rPr>
          <w:rFonts w:hint="default" w:ascii="Times New Roman" w:hAnsi="Times New Roman" w:eastAsia="宋体" w:cs="Times New Roman"/>
          <w:color w:val="auto"/>
          <w:sz w:val="24"/>
          <w:szCs w:val="24"/>
          <w:highlight w:val="none"/>
          <w:u w:val="none" w:color="auto"/>
          <w:lang w:val="zh-CN"/>
        </w:rPr>
      </w:pPr>
      <w:bookmarkStart w:id="152" w:name="6.7.1.1危险物料泄漏导致有机废气扩散预测与评价"/>
      <w:bookmarkEnd w:id="152"/>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lang w:val="zh-CN"/>
        </w:rPr>
        <w:t>预测模式</w:t>
      </w:r>
    </w:p>
    <w:p>
      <w:pPr>
        <w:autoSpaceDE w:val="0"/>
        <w:autoSpaceDN w:val="0"/>
        <w:adjustRightInd/>
        <w:snapToGrid/>
        <w:spacing w:line="360" w:lineRule="auto"/>
        <w:ind w:firstLine="480" w:firstLineChars="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按最大可信事故源项设定，有毒有害物质在大气中的扩散采用《建设项目环境风险评价技术导则》（HJ169-2018）附录G中推荐的模式，对设定的事故状态下的各污染物在不同风速和稳定度下的浓度分布进行预测。</w:t>
      </w:r>
    </w:p>
    <w:p>
      <w:pPr>
        <w:tabs>
          <w:tab w:val="left" w:pos="1320"/>
        </w:tabs>
        <w:autoSpaceDE w:val="0"/>
        <w:autoSpaceDN w:val="0"/>
        <w:adjustRightInd/>
        <w:snapToGrid/>
        <w:spacing w:line="360" w:lineRule="auto"/>
        <w:ind w:firstLine="0" w:firstLineChars="0"/>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w:t>
      </w:r>
      <w:r>
        <w:rPr>
          <w:rFonts w:hint="eastAsia" w:ascii="Times New Roman" w:hAnsi="Times New Roman"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zh-CN"/>
        </w:rPr>
        <w:t>）环境及气象参数</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cs="Times New Roman"/>
          <w:color w:val="auto"/>
          <w:sz w:val="24"/>
          <w:szCs w:val="24"/>
          <w:highlight w:val="none"/>
          <w:u w:val="none" w:color="auto"/>
          <w:lang w:val="zh-CN"/>
        </w:rPr>
        <w:t>硫酸</w:t>
      </w:r>
      <w:r>
        <w:rPr>
          <w:rFonts w:hint="default" w:ascii="Times New Roman" w:hAnsi="Times New Roman" w:eastAsia="宋体" w:cs="Times New Roman"/>
          <w:color w:val="auto"/>
          <w:sz w:val="24"/>
          <w:szCs w:val="24"/>
          <w:highlight w:val="none"/>
          <w:u w:val="none" w:color="auto"/>
          <w:lang w:val="zh-CN"/>
        </w:rPr>
        <w:t>泄漏后蒸发形成的气体（</w:t>
      </w:r>
      <w:r>
        <w:rPr>
          <w:rFonts w:hint="eastAsia" w:ascii="Times New Roman" w:hAnsi="Times New Roman" w:cs="Times New Roman"/>
          <w:color w:val="auto"/>
          <w:sz w:val="24"/>
          <w:szCs w:val="24"/>
          <w:highlight w:val="none"/>
          <w:u w:val="none" w:color="auto"/>
          <w:lang w:val="zh-CN"/>
        </w:rPr>
        <w:t>硫酸雾</w:t>
      </w:r>
      <w:r>
        <w:rPr>
          <w:rFonts w:hint="default" w:ascii="Times New Roman" w:hAnsi="Times New Roman" w:eastAsia="宋体" w:cs="Times New Roman"/>
          <w:color w:val="auto"/>
          <w:sz w:val="24"/>
          <w:szCs w:val="24"/>
          <w:highlight w:val="none"/>
          <w:u w:val="none" w:color="auto"/>
          <w:lang w:val="zh-CN"/>
        </w:rPr>
        <w:t>，为轻质气体）进行预测分析，因此本次选择AFTOX模型进行预测，AFTOX模型适用于平坦地形下中性气体和轻质气体排放以及液池蒸发气体的扩散模拟，可满足</w:t>
      </w:r>
      <w:r>
        <w:rPr>
          <w:rFonts w:hint="eastAsia" w:cs="Times New Roman"/>
          <w:color w:val="auto"/>
          <w:sz w:val="24"/>
          <w:szCs w:val="24"/>
          <w:highlight w:val="none"/>
          <w:u w:val="none" w:color="auto"/>
          <w:lang w:val="zh-CN"/>
        </w:rPr>
        <w:t>本次改扩建</w:t>
      </w:r>
      <w:r>
        <w:rPr>
          <w:rFonts w:hint="default" w:ascii="Times New Roman" w:hAnsi="Times New Roman" w:eastAsia="宋体" w:cs="Times New Roman"/>
          <w:color w:val="auto"/>
          <w:sz w:val="24"/>
          <w:szCs w:val="24"/>
          <w:highlight w:val="none"/>
          <w:u w:val="none" w:color="auto"/>
          <w:lang w:val="zh-CN"/>
        </w:rPr>
        <w:t>需求。</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根据《建设项目环境风险评价技术导则》（HJ169-2018），大气风险二级评价需选取最不利气象条件，</w:t>
      </w:r>
      <w:r>
        <w:rPr>
          <w:rFonts w:hint="default" w:ascii="Times New Roman" w:hAnsi="Times New Roman" w:eastAsia="宋体" w:cs="Times New Roman"/>
          <w:color w:val="auto"/>
          <w:sz w:val="24"/>
          <w:szCs w:val="24"/>
          <w:highlight w:val="none"/>
          <w:u w:val="none" w:color="auto"/>
        </w:rPr>
        <w:t>大气风险预测参数</w:t>
      </w:r>
      <w:r>
        <w:rPr>
          <w:rFonts w:hint="default" w:ascii="Times New Roman" w:hAnsi="Times New Roman" w:eastAsia="宋体" w:cs="Times New Roman"/>
          <w:color w:val="auto"/>
          <w:sz w:val="24"/>
          <w:szCs w:val="24"/>
          <w:highlight w:val="none"/>
          <w:u w:val="none" w:color="auto"/>
          <w:lang w:val="zh-CN"/>
        </w:rPr>
        <w:t>具体如下：</w:t>
      </w:r>
    </w:p>
    <w:p>
      <w:pPr>
        <w:autoSpaceDE w:val="0"/>
        <w:autoSpaceDN w:val="0"/>
        <w:adjustRightInd/>
        <w:snapToGrid/>
        <w:ind w:firstLine="0" w:firstLineChars="0"/>
        <w:jc w:val="center"/>
        <w:rPr>
          <w:rFonts w:hint="default" w:ascii="Times New Roman" w:hAnsi="Times New Roman" w:eastAsia="宋体" w:cs="Times New Roman"/>
          <w:b/>
          <w:bCs/>
          <w:color w:val="auto"/>
          <w:kern w:val="0"/>
          <w:sz w:val="24"/>
          <w:szCs w:val="24"/>
          <w:highlight w:val="none"/>
          <w:u w:val="none" w:color="auto"/>
          <w:lang w:val="zh-CN" w:eastAsia="zh-CN" w:bidi="zh-CN"/>
        </w:rPr>
      </w:pPr>
      <w:r>
        <w:rPr>
          <w:rFonts w:hint="default" w:ascii="Times New Roman" w:hAnsi="Times New Roman" w:eastAsia="宋体" w:cs="Times New Roman"/>
          <w:b/>
          <w:bCs/>
          <w:color w:val="auto"/>
          <w:kern w:val="0"/>
          <w:sz w:val="24"/>
          <w:szCs w:val="24"/>
          <w:highlight w:val="none"/>
          <w:u w:val="none" w:color="auto"/>
          <w:lang w:val="zh-CN" w:eastAsia="zh-CN" w:bidi="zh-CN"/>
        </w:rPr>
        <w:t>表</w:t>
      </w:r>
      <w:r>
        <w:rPr>
          <w:rFonts w:hint="default" w:ascii="Times New Roman" w:hAnsi="Times New Roman" w:eastAsia="宋体" w:cs="Times New Roman"/>
          <w:b/>
          <w:bCs/>
          <w:color w:val="auto"/>
          <w:kern w:val="0"/>
          <w:sz w:val="24"/>
          <w:szCs w:val="24"/>
          <w:highlight w:val="none"/>
          <w:u w:val="none" w:color="auto"/>
          <w:lang w:val="en-US" w:eastAsia="zh-CN" w:bidi="zh-CN"/>
        </w:rPr>
        <w:t>5.1-</w:t>
      </w:r>
      <w:r>
        <w:rPr>
          <w:rFonts w:hint="eastAsia" w:ascii="Times New Roman" w:hAnsi="Times New Roman" w:cs="Times New Roman"/>
          <w:b/>
          <w:bCs/>
          <w:color w:val="auto"/>
          <w:kern w:val="0"/>
          <w:sz w:val="24"/>
          <w:szCs w:val="24"/>
          <w:highlight w:val="none"/>
          <w:u w:val="none" w:color="auto"/>
          <w:lang w:val="en-US" w:eastAsia="zh-CN" w:bidi="zh-CN"/>
        </w:rPr>
        <w:t>1</w:t>
      </w:r>
      <w:r>
        <w:rPr>
          <w:rFonts w:hint="default" w:ascii="Times New Roman" w:hAnsi="Times New Roman" w:eastAsia="宋体" w:cs="Times New Roman"/>
          <w:b/>
          <w:bCs/>
          <w:color w:val="auto"/>
          <w:kern w:val="0"/>
          <w:sz w:val="24"/>
          <w:szCs w:val="24"/>
          <w:highlight w:val="none"/>
          <w:u w:val="none" w:color="auto"/>
          <w:lang w:val="zh-CN" w:eastAsia="zh-CN" w:bidi="zh-CN"/>
        </w:rPr>
        <w:t>大气风险预测模型主要参数表</w:t>
      </w:r>
    </w:p>
    <w:tbl>
      <w:tblPr>
        <w:tblStyle w:val="29"/>
        <w:tblW w:w="502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81"/>
        <w:gridCol w:w="2545"/>
        <w:gridCol w:w="51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tcBorders>
              <w:tl2br w:val="nil"/>
              <w:tr2bl w:val="nil"/>
            </w:tcBorders>
            <w:vAlign w:val="center"/>
          </w:tcPr>
          <w:p>
            <w:pPr>
              <w:adjustRightInd/>
              <w:snapToGrid/>
              <w:ind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rPr>
            </w:pPr>
            <w:r>
              <w:rPr>
                <w:rFonts w:hint="default" w:ascii="Times New Roman" w:hAnsi="Times New Roman" w:eastAsia="宋体" w:cs="Times New Roman"/>
                <w:b w:val="0"/>
                <w:bCs w:val="0"/>
                <w:color w:val="auto"/>
                <w:kern w:val="0"/>
                <w:sz w:val="21"/>
                <w:szCs w:val="21"/>
                <w:highlight w:val="none"/>
                <w:u w:val="none" w:color="auto"/>
                <w:lang w:val="zh-CN"/>
              </w:rPr>
              <w:t>参数类型</w:t>
            </w: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rPr>
            </w:pPr>
            <w:r>
              <w:rPr>
                <w:rFonts w:hint="default" w:ascii="Times New Roman" w:hAnsi="Times New Roman" w:eastAsia="宋体" w:cs="Times New Roman"/>
                <w:b w:val="0"/>
                <w:bCs w:val="0"/>
                <w:color w:val="auto"/>
                <w:kern w:val="0"/>
                <w:sz w:val="21"/>
                <w:szCs w:val="21"/>
                <w:highlight w:val="none"/>
                <w:u w:val="none" w:color="auto"/>
                <w:lang w:val="zh-CN"/>
              </w:rPr>
              <w:t>选项</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b w:val="0"/>
                <w:bCs w:val="0"/>
                <w:color w:val="auto"/>
                <w:kern w:val="0"/>
                <w:sz w:val="21"/>
                <w:szCs w:val="21"/>
                <w:highlight w:val="none"/>
                <w:u w:val="none" w:color="auto"/>
                <w:lang w:val="zh-CN"/>
              </w:rPr>
            </w:pPr>
            <w:r>
              <w:rPr>
                <w:rFonts w:hint="default" w:ascii="Times New Roman" w:hAnsi="Times New Roman" w:eastAsia="宋体" w:cs="Times New Roman"/>
                <w:b w:val="0"/>
                <w:bCs w:val="0"/>
                <w:color w:val="auto"/>
                <w:kern w:val="0"/>
                <w:sz w:val="21"/>
                <w:szCs w:val="21"/>
                <w:highlight w:val="none"/>
                <w:u w:val="none" w:color="auto"/>
                <w:lang w:val="zh-CN"/>
              </w:rPr>
              <w:t>参数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restart"/>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基本情况</w:t>
            </w: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事故源经度/（°）</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112°55′46.512″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事故源纬度/（°）</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28°31′54.845″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事故类型</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泄漏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restart"/>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气象参数</w:t>
            </w: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气象条件类型</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最不利气象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风速/（m/s）</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eastAsia="zh-CN"/>
              </w:rPr>
            </w:pPr>
            <w:r>
              <w:rPr>
                <w:rFonts w:hint="default" w:ascii="Times New Roman" w:hAnsi="Times New Roman" w:eastAsia="宋体" w:cs="Times New Roman"/>
                <w:color w:val="auto"/>
                <w:kern w:val="0"/>
                <w:sz w:val="21"/>
                <w:szCs w:val="21"/>
                <w:highlight w:val="none"/>
                <w:u w:val="none" w:color="auto"/>
                <w:lang w:val="zh-CN" w:eastAsia="zh-CN"/>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环境温度/（℃）</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相对湿度/（%）</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稳定度</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restart"/>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其他参数</w:t>
            </w: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地表粗糙度</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100cm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是否考虑地形</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276" w:type="dxa"/>
            <w:vMerge w:val="continue"/>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p>
        </w:tc>
        <w:tc>
          <w:tcPr>
            <w:tcW w:w="2351"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地形数据精度/m</w:t>
            </w:r>
          </w:p>
        </w:tc>
        <w:tc>
          <w:tcPr>
            <w:tcW w:w="4719" w:type="dxa"/>
            <w:tcBorders>
              <w:tl2br w:val="nil"/>
              <w:tr2bl w:val="nil"/>
            </w:tcBorders>
            <w:vAlign w:val="center"/>
          </w:tcPr>
          <w:p>
            <w:pPr>
              <w:adjustRightInd/>
              <w:snapToGrid/>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90</w:t>
            </w:r>
          </w:p>
        </w:tc>
      </w:tr>
    </w:tbl>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w:t>
      </w:r>
      <w:r>
        <w:rPr>
          <w:rFonts w:hint="eastAsia" w:ascii="Times New Roman" w:hAnsi="Times New Roman"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val="zh-CN"/>
        </w:rPr>
        <w:t>）预测评价标准</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根据《建设项目环境风险评价技术导则》（HJ169－2018）附录H，选择1级和2级大气毒性终点浓度值作为预测评价标准。</w:t>
      </w:r>
    </w:p>
    <w:p>
      <w:pPr>
        <w:autoSpaceDE w:val="0"/>
        <w:autoSpaceDN w:val="0"/>
        <w:adjustRightInd/>
        <w:snapToGrid/>
        <w:ind w:firstLine="0" w:firstLineChars="0"/>
        <w:jc w:val="center"/>
        <w:rPr>
          <w:rFonts w:hint="default" w:ascii="Times New Roman" w:hAnsi="Times New Roman" w:eastAsia="宋体" w:cs="Times New Roman"/>
          <w:b/>
          <w:bCs/>
          <w:color w:val="auto"/>
          <w:kern w:val="0"/>
          <w:sz w:val="24"/>
          <w:szCs w:val="24"/>
          <w:highlight w:val="none"/>
          <w:u w:val="none" w:color="auto"/>
          <w:lang w:val="zh-CN" w:eastAsia="zh-CN" w:bidi="zh-CN"/>
        </w:rPr>
      </w:pPr>
      <w:r>
        <w:rPr>
          <w:rFonts w:hint="default" w:ascii="Times New Roman" w:hAnsi="Times New Roman" w:eastAsia="宋体" w:cs="Times New Roman"/>
          <w:b/>
          <w:bCs/>
          <w:color w:val="auto"/>
          <w:kern w:val="0"/>
          <w:sz w:val="24"/>
          <w:szCs w:val="24"/>
          <w:highlight w:val="none"/>
          <w:u w:val="none" w:color="auto"/>
          <w:lang w:val="zh-CN" w:eastAsia="zh-CN" w:bidi="zh-CN"/>
        </w:rPr>
        <w:t>表</w:t>
      </w:r>
      <w:r>
        <w:rPr>
          <w:rFonts w:hint="default" w:ascii="Times New Roman" w:hAnsi="Times New Roman" w:eastAsia="宋体" w:cs="Times New Roman"/>
          <w:b/>
          <w:bCs/>
          <w:color w:val="auto"/>
          <w:kern w:val="0"/>
          <w:sz w:val="24"/>
          <w:szCs w:val="24"/>
          <w:highlight w:val="none"/>
          <w:u w:val="none" w:color="auto"/>
          <w:lang w:val="en-US" w:eastAsia="zh-CN" w:bidi="zh-CN"/>
        </w:rPr>
        <w:t>5.1-</w:t>
      </w:r>
      <w:r>
        <w:rPr>
          <w:rFonts w:hint="eastAsia" w:ascii="Times New Roman" w:hAnsi="Times New Roman" w:cs="Times New Roman"/>
          <w:b/>
          <w:bCs/>
          <w:color w:val="auto"/>
          <w:kern w:val="0"/>
          <w:sz w:val="24"/>
          <w:szCs w:val="24"/>
          <w:highlight w:val="none"/>
          <w:u w:val="none" w:color="auto"/>
          <w:lang w:val="en-US" w:eastAsia="zh-CN" w:bidi="zh-CN"/>
        </w:rPr>
        <w:t>2</w:t>
      </w:r>
      <w:r>
        <w:rPr>
          <w:rFonts w:hint="default" w:ascii="Times New Roman" w:hAnsi="Times New Roman" w:eastAsia="宋体" w:cs="Times New Roman"/>
          <w:b/>
          <w:bCs/>
          <w:color w:val="auto"/>
          <w:kern w:val="0"/>
          <w:sz w:val="24"/>
          <w:szCs w:val="24"/>
          <w:highlight w:val="none"/>
          <w:u w:val="none" w:color="auto"/>
          <w:lang w:val="zh-CN" w:eastAsia="zh-CN" w:bidi="zh-CN"/>
        </w:rPr>
        <w:t>大气毒性终点浓度</w:t>
      </w:r>
    </w:p>
    <w:tbl>
      <w:tblPr>
        <w:tblStyle w:val="29"/>
        <w:tblW w:w="502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522"/>
        <w:gridCol w:w="2928"/>
        <w:gridCol w:w="25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7" w:hRule="atLeast"/>
        </w:trPr>
        <w:tc>
          <w:tcPr>
            <w:tcW w:w="3254"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rPr>
            </w:pPr>
            <w:r>
              <w:rPr>
                <w:rFonts w:hint="default" w:ascii="Times New Roman" w:hAnsi="Times New Roman" w:eastAsia="宋体" w:cs="Times New Roman"/>
                <w:b/>
                <w:bCs/>
                <w:color w:val="auto"/>
                <w:kern w:val="0"/>
                <w:sz w:val="21"/>
                <w:szCs w:val="21"/>
                <w:highlight w:val="none"/>
                <w:u w:val="none" w:color="auto"/>
                <w:lang w:val="zh-CN"/>
              </w:rPr>
              <w:t>化学品</w:t>
            </w:r>
          </w:p>
        </w:tc>
        <w:tc>
          <w:tcPr>
            <w:tcW w:w="2706"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rPr>
            </w:pPr>
            <w:r>
              <w:rPr>
                <w:rFonts w:hint="default" w:ascii="Times New Roman" w:hAnsi="Times New Roman" w:eastAsia="宋体" w:cs="Times New Roman"/>
                <w:b/>
                <w:bCs/>
                <w:color w:val="auto"/>
                <w:kern w:val="0"/>
                <w:sz w:val="21"/>
                <w:szCs w:val="21"/>
                <w:highlight w:val="none"/>
                <w:u w:val="none" w:color="auto"/>
                <w:lang w:val="zh-CN"/>
              </w:rPr>
              <w:t>大气毒性终点浓度值1</w:t>
            </w:r>
          </w:p>
        </w:tc>
        <w:tc>
          <w:tcPr>
            <w:tcW w:w="2386"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rPr>
            </w:pPr>
            <w:r>
              <w:rPr>
                <w:rFonts w:hint="default" w:ascii="Times New Roman" w:hAnsi="Times New Roman" w:eastAsia="宋体" w:cs="Times New Roman"/>
                <w:b/>
                <w:bCs/>
                <w:color w:val="auto"/>
                <w:kern w:val="0"/>
                <w:sz w:val="21"/>
                <w:szCs w:val="21"/>
                <w:highlight w:val="none"/>
                <w:u w:val="none" w:color="auto"/>
                <w:lang w:val="zh-CN"/>
              </w:rPr>
              <w:t>大气毒性终点浓度值2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254"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eastAsia" w:ascii="Times New Roman" w:hAnsi="Times New Roman" w:cs="Times New Roman"/>
                <w:color w:val="auto"/>
                <w:kern w:val="0"/>
                <w:sz w:val="21"/>
                <w:szCs w:val="21"/>
                <w:highlight w:val="none"/>
                <w:u w:val="none" w:color="auto"/>
                <w:lang w:val="zh-CN"/>
              </w:rPr>
              <w:t>发烟</w:t>
            </w:r>
            <w:r>
              <w:rPr>
                <w:rFonts w:hint="default" w:ascii="Times New Roman" w:hAnsi="Times New Roman" w:cs="Times New Roman"/>
                <w:color w:val="auto"/>
                <w:kern w:val="0"/>
                <w:sz w:val="21"/>
                <w:szCs w:val="21"/>
                <w:highlight w:val="none"/>
                <w:u w:val="none" w:color="auto"/>
                <w:lang w:val="zh-CN"/>
              </w:rPr>
              <w:t>硫酸</w:t>
            </w:r>
          </w:p>
        </w:tc>
        <w:tc>
          <w:tcPr>
            <w:tcW w:w="2706"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cs="Times New Roman"/>
                <w:color w:val="auto"/>
                <w:kern w:val="0"/>
                <w:sz w:val="21"/>
                <w:szCs w:val="21"/>
                <w:highlight w:val="none"/>
                <w:u w:val="none" w:color="auto"/>
                <w:lang w:val="en-US" w:eastAsia="zh-CN"/>
              </w:rPr>
              <w:t>160</w:t>
            </w:r>
            <w:r>
              <w:rPr>
                <w:rFonts w:hint="default" w:ascii="Times New Roman" w:hAnsi="Times New Roman" w:eastAsia="宋体" w:cs="Times New Roman"/>
                <w:color w:val="auto"/>
                <w:kern w:val="0"/>
                <w:sz w:val="21"/>
                <w:szCs w:val="21"/>
                <w:highlight w:val="none"/>
                <w:u w:val="none" w:color="auto"/>
                <w:lang w:val="zh-CN"/>
              </w:rPr>
              <w:t>mg/m</w:t>
            </w:r>
            <w:r>
              <w:rPr>
                <w:rFonts w:hint="default" w:ascii="Times New Roman" w:hAnsi="Times New Roman" w:eastAsia="宋体" w:cs="Times New Roman"/>
                <w:color w:val="auto"/>
                <w:kern w:val="0"/>
                <w:sz w:val="21"/>
                <w:szCs w:val="21"/>
                <w:highlight w:val="none"/>
                <w:u w:val="none" w:color="auto"/>
                <w:vertAlign w:val="superscript"/>
                <w:lang w:val="zh-CN"/>
              </w:rPr>
              <w:t>3</w:t>
            </w:r>
          </w:p>
        </w:tc>
        <w:tc>
          <w:tcPr>
            <w:tcW w:w="2386"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cs="Times New Roman"/>
                <w:color w:val="auto"/>
                <w:kern w:val="0"/>
                <w:sz w:val="21"/>
                <w:szCs w:val="21"/>
                <w:highlight w:val="none"/>
                <w:u w:val="none" w:color="auto"/>
                <w:lang w:val="en-US" w:eastAsia="zh-CN"/>
              </w:rPr>
              <w:t>8.7</w:t>
            </w:r>
            <w:r>
              <w:rPr>
                <w:rFonts w:hint="default" w:ascii="Times New Roman" w:hAnsi="Times New Roman" w:eastAsia="宋体" w:cs="Times New Roman"/>
                <w:color w:val="auto"/>
                <w:kern w:val="0"/>
                <w:sz w:val="21"/>
                <w:szCs w:val="21"/>
                <w:highlight w:val="none"/>
                <w:u w:val="none" w:color="auto"/>
                <w:lang w:val="zh-CN"/>
              </w:rPr>
              <w:t>mg/m</w:t>
            </w:r>
            <w:r>
              <w:rPr>
                <w:rFonts w:hint="default" w:ascii="Times New Roman" w:hAnsi="Times New Roman" w:eastAsia="宋体" w:cs="Times New Roman"/>
                <w:color w:val="auto"/>
                <w:kern w:val="0"/>
                <w:sz w:val="21"/>
                <w:szCs w:val="21"/>
                <w:highlight w:val="none"/>
                <w:u w:val="none" w:color="auto"/>
                <w:vertAlign w:val="superscript"/>
                <w:lang w:val="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254" w:type="dxa"/>
            <w:tcBorders>
              <w:tl2br w:val="nil"/>
              <w:tr2bl w:val="nil"/>
            </w:tcBorders>
            <w:vAlign w:val="top"/>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氨气</w:t>
            </w:r>
          </w:p>
        </w:tc>
        <w:tc>
          <w:tcPr>
            <w:tcW w:w="2706" w:type="dxa"/>
            <w:tcBorders>
              <w:tl2br w:val="nil"/>
              <w:tr2bl w:val="nil"/>
            </w:tcBorders>
            <w:vAlign w:val="top"/>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rPr>
            </w:pPr>
            <w:r>
              <w:rPr>
                <w:rFonts w:hint="eastAsia" w:ascii="Times New Roman" w:hAnsi="Times New Roman" w:cs="Times New Roman"/>
                <w:color w:val="auto"/>
                <w:kern w:val="0"/>
                <w:sz w:val="21"/>
                <w:szCs w:val="21"/>
                <w:highlight w:val="none"/>
                <w:u w:val="none" w:color="auto"/>
                <w:lang w:val="en-US" w:eastAsia="zh-CN"/>
              </w:rPr>
              <w:t>770</w:t>
            </w:r>
            <w:r>
              <w:rPr>
                <w:rFonts w:hint="default" w:ascii="Times New Roman" w:hAnsi="Times New Roman" w:eastAsia="宋体" w:cs="Times New Roman"/>
                <w:color w:val="auto"/>
                <w:kern w:val="0"/>
                <w:sz w:val="21"/>
                <w:szCs w:val="21"/>
                <w:highlight w:val="none"/>
                <w:u w:val="none" w:color="auto"/>
                <w:lang w:val="zh-CN"/>
              </w:rPr>
              <w:t>mg/m</w:t>
            </w:r>
            <w:r>
              <w:rPr>
                <w:rFonts w:hint="default" w:ascii="Times New Roman" w:hAnsi="Times New Roman" w:eastAsia="宋体" w:cs="Times New Roman"/>
                <w:color w:val="auto"/>
                <w:kern w:val="0"/>
                <w:sz w:val="21"/>
                <w:szCs w:val="21"/>
                <w:highlight w:val="none"/>
                <w:u w:val="none" w:color="auto"/>
                <w:vertAlign w:val="superscript"/>
                <w:lang w:val="zh-CN"/>
              </w:rPr>
              <w:t>3</w:t>
            </w:r>
          </w:p>
        </w:tc>
        <w:tc>
          <w:tcPr>
            <w:tcW w:w="2386" w:type="dxa"/>
            <w:tcBorders>
              <w:tl2br w:val="nil"/>
              <w:tr2bl w:val="nil"/>
            </w:tcBorders>
            <w:vAlign w:val="top"/>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rPr>
            </w:pPr>
            <w:r>
              <w:rPr>
                <w:rFonts w:hint="eastAsia" w:ascii="Times New Roman" w:hAnsi="Times New Roman" w:cs="Times New Roman"/>
                <w:color w:val="auto"/>
                <w:kern w:val="0"/>
                <w:sz w:val="21"/>
                <w:szCs w:val="21"/>
                <w:highlight w:val="none"/>
                <w:u w:val="none" w:color="auto"/>
                <w:lang w:val="en-US" w:eastAsia="zh-CN"/>
              </w:rPr>
              <w:t>110</w:t>
            </w:r>
            <w:r>
              <w:rPr>
                <w:rFonts w:hint="default" w:ascii="Times New Roman" w:hAnsi="Times New Roman" w:eastAsia="宋体" w:cs="Times New Roman"/>
                <w:color w:val="auto"/>
                <w:kern w:val="0"/>
                <w:sz w:val="21"/>
                <w:szCs w:val="21"/>
                <w:highlight w:val="none"/>
                <w:u w:val="none" w:color="auto"/>
                <w:lang w:val="zh-CN"/>
              </w:rPr>
              <w:t>mg/m</w:t>
            </w:r>
            <w:r>
              <w:rPr>
                <w:rFonts w:hint="default" w:ascii="Times New Roman" w:hAnsi="Times New Roman" w:eastAsia="宋体" w:cs="Times New Roman"/>
                <w:color w:val="auto"/>
                <w:kern w:val="0"/>
                <w:sz w:val="21"/>
                <w:szCs w:val="21"/>
                <w:highlight w:val="none"/>
                <w:u w:val="none" w:color="auto"/>
                <w:vertAlign w:val="superscript"/>
                <w:lang w:val="zh-CN"/>
              </w:rPr>
              <w:t>3</w:t>
            </w:r>
          </w:p>
        </w:tc>
      </w:tr>
    </w:tbl>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w:t>
      </w:r>
      <w:r>
        <w:rPr>
          <w:rFonts w:hint="eastAsia" w:ascii="Times New Roman" w:hAnsi="Times New Roman"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lang w:val="zh-CN"/>
        </w:rPr>
        <w:t>）预测结果及评价</w:t>
      </w:r>
    </w:p>
    <w:p>
      <w:pPr>
        <w:autoSpaceDE w:val="0"/>
        <w:autoSpaceDN w:val="0"/>
        <w:adjustRightInd/>
        <w:snapToGrid/>
        <w:spacing w:line="360" w:lineRule="auto"/>
        <w:ind w:firstLine="480"/>
        <w:jc w:val="left"/>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按照《建设项目环境风险评价技术导则》（HJ169-2018）的要求，预测浓度达到不同毒性终点浓度的最大影响范围。</w:t>
      </w:r>
    </w:p>
    <w:p>
      <w:pPr>
        <w:autoSpaceDE w:val="0"/>
        <w:autoSpaceDN w:val="0"/>
        <w:adjustRightInd/>
        <w:snapToGrid/>
        <w:spacing w:line="360" w:lineRule="auto"/>
        <w:jc w:val="left"/>
        <w:rPr>
          <w:rFonts w:hint="default" w:ascii="Times New Roman" w:hAnsi="Times New Roman" w:eastAsia="宋体" w:cs="Times New Roman"/>
          <w:color w:val="auto"/>
          <w:sz w:val="24"/>
          <w:szCs w:val="24"/>
          <w:highlight w:val="none"/>
          <w:u w:val="none" w:color="auto"/>
          <w:lang w:val="zh-CN"/>
        </w:rPr>
      </w:pPr>
      <w:r>
        <w:rPr>
          <w:rFonts w:ascii="Times New Roman" w:hAnsi="Times New Roman" w:cs="Times New Roman"/>
          <w:color w:val="auto"/>
        </w:rPr>
        <w:drawing>
          <wp:inline distT="0" distB="0" distL="114300" distR="114300">
            <wp:extent cx="5266690" cy="3402330"/>
            <wp:effectExtent l="0" t="0" r="1016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7"/>
                    <a:stretch>
                      <a:fillRect/>
                    </a:stretch>
                  </pic:blipFill>
                  <pic:spPr>
                    <a:xfrm>
                      <a:off x="0" y="0"/>
                      <a:ext cx="5266690" cy="3402330"/>
                    </a:xfrm>
                    <a:prstGeom prst="rect">
                      <a:avLst/>
                    </a:prstGeom>
                    <a:noFill/>
                    <a:ln>
                      <a:noFill/>
                    </a:ln>
                  </pic:spPr>
                </pic:pic>
              </a:graphicData>
            </a:graphic>
          </wp:inline>
        </w:drawing>
      </w:r>
    </w:p>
    <w:p>
      <w:pPr>
        <w:autoSpaceDE w:val="0"/>
        <w:autoSpaceDN w:val="0"/>
        <w:adjustRightInd/>
        <w:snapToGrid/>
        <w:spacing w:line="360" w:lineRule="auto"/>
        <w:jc w:val="center"/>
        <w:rPr>
          <w:rFonts w:hint="default" w:ascii="Times New Roman" w:hAnsi="Times New Roman" w:eastAsia="宋体" w:cs="Times New Roman"/>
          <w:color w:val="auto"/>
          <w:sz w:val="24"/>
          <w:szCs w:val="24"/>
          <w:highlight w:val="none"/>
          <w:u w:val="none" w:color="auto"/>
          <w:lang w:val="zh-CN"/>
        </w:rPr>
      </w:pPr>
      <w:r>
        <w:rPr>
          <w:rFonts w:hint="eastAsia" w:ascii="Times New Roman" w:hAnsi="Times New Roman" w:eastAsia="宋体" w:cs="Times New Roman"/>
          <w:b/>
          <w:bCs/>
          <w:color w:val="auto"/>
          <w:kern w:val="0"/>
          <w:sz w:val="24"/>
          <w:szCs w:val="24"/>
          <w:highlight w:val="none"/>
          <w:u w:val="none"/>
          <w:lang w:val="en-US" w:eastAsia="zh-CN" w:bidi="zh-CN"/>
        </w:rPr>
        <w:t>图5.1-1硫酸质量蒸发的大气扩散最大影响范围</w:t>
      </w:r>
    </w:p>
    <w:p>
      <w:pPr>
        <w:autoSpaceDE w:val="0"/>
        <w:autoSpaceDN w:val="0"/>
        <w:adjustRightInd/>
        <w:snapToGrid/>
        <w:spacing w:line="360" w:lineRule="auto"/>
        <w:ind w:firstLine="480" w:firstLineChars="200"/>
        <w:jc w:val="both"/>
        <w:rPr>
          <w:rFonts w:hint="eastAsia" w:ascii="Times New Roman" w:hAnsi="Times New Roman" w:eastAsia="宋体" w:cs="Times New Roman"/>
          <w:b/>
          <w:bCs/>
          <w:color w:val="auto"/>
          <w:kern w:val="0"/>
          <w:sz w:val="24"/>
          <w:szCs w:val="24"/>
          <w:highlight w:val="none"/>
          <w:u w:val="none"/>
          <w:lang w:val="en-US" w:eastAsia="zh-CN" w:bidi="zh-CN"/>
        </w:rPr>
      </w:pPr>
      <w:r>
        <w:rPr>
          <w:rFonts w:hint="default" w:ascii="Times New Roman" w:hAnsi="Times New Roman" w:eastAsia="宋体" w:cs="Times New Roman"/>
          <w:color w:val="auto"/>
          <w:sz w:val="24"/>
          <w:szCs w:val="24"/>
          <w:highlight w:val="none"/>
          <w:u w:val="none" w:color="auto"/>
          <w:lang w:val="zh-CN"/>
        </w:rPr>
        <w:t>预测最不利气象条件下，下风向不同距离处有毒有害物质的最大浓度</w:t>
      </w:r>
      <w:r>
        <w:rPr>
          <w:rFonts w:hint="eastAsia" w:ascii="Times New Roman" w:hAnsi="Times New Roman" w:eastAsia="宋体" w:cs="Times New Roman"/>
          <w:color w:val="auto"/>
          <w:sz w:val="24"/>
          <w:szCs w:val="24"/>
          <w:highlight w:val="none"/>
          <w:u w:val="none" w:color="auto"/>
          <w:lang w:val="zh-CN"/>
        </w:rPr>
        <w:t>。</w:t>
      </w:r>
    </w:p>
    <w:p>
      <w:pPr>
        <w:autoSpaceDE w:val="0"/>
        <w:autoSpaceDN w:val="0"/>
        <w:adjustRightInd/>
        <w:snapToGrid/>
        <w:spacing w:line="240" w:lineRule="auto"/>
        <w:ind w:firstLine="0" w:firstLineChars="0"/>
        <w:jc w:val="center"/>
        <w:rPr>
          <w:rFonts w:hint="eastAsia" w:ascii="Times New Roman" w:hAnsi="Times New Roman" w:eastAsia="宋体" w:cs="Times New Roman"/>
          <w:b/>
          <w:bCs/>
          <w:color w:val="auto"/>
          <w:kern w:val="0"/>
          <w:sz w:val="24"/>
          <w:szCs w:val="24"/>
          <w:highlight w:val="none"/>
          <w:u w:val="none"/>
          <w:lang w:val="zh-CN" w:eastAsia="zh-CN" w:bidi="zh-CN"/>
        </w:rPr>
      </w:pPr>
      <w:r>
        <w:rPr>
          <w:rFonts w:hint="eastAsia" w:ascii="Times New Roman" w:hAnsi="Times New Roman" w:eastAsia="宋体" w:cs="Times New Roman"/>
          <w:b/>
          <w:bCs/>
          <w:color w:val="auto"/>
          <w:kern w:val="0"/>
          <w:sz w:val="24"/>
          <w:szCs w:val="24"/>
          <w:highlight w:val="none"/>
          <w:u w:val="none"/>
          <w:lang w:val="en-US" w:eastAsia="zh-CN" w:bidi="zh-CN"/>
        </w:rPr>
        <w:t>表5.1-3硫酸</w:t>
      </w:r>
      <w:r>
        <w:rPr>
          <w:rFonts w:hint="default" w:ascii="Times New Roman" w:hAnsi="Times New Roman" w:eastAsia="宋体" w:cs="Times New Roman"/>
          <w:b/>
          <w:bCs/>
          <w:color w:val="auto"/>
          <w:kern w:val="0"/>
          <w:sz w:val="24"/>
          <w:szCs w:val="24"/>
          <w:highlight w:val="none"/>
          <w:u w:val="none"/>
          <w:lang w:val="zh-CN" w:eastAsia="zh-CN" w:bidi="zh-CN"/>
        </w:rPr>
        <w:t>下风向不同距离处有毒有害物质的最大浓度</w:t>
      </w:r>
    </w:p>
    <w:tbl>
      <w:tblPr>
        <w:tblStyle w:val="29"/>
        <w:tblW w:w="5000" w:type="pct"/>
        <w:jc w:val="center"/>
        <w:tblLayout w:type="fixed"/>
        <w:tblCellMar>
          <w:top w:w="0" w:type="dxa"/>
          <w:left w:w="0" w:type="dxa"/>
          <w:bottom w:w="0" w:type="dxa"/>
          <w:right w:w="0" w:type="dxa"/>
        </w:tblCellMar>
      </w:tblPr>
      <w:tblGrid>
        <w:gridCol w:w="2699"/>
        <w:gridCol w:w="3403"/>
        <w:gridCol w:w="2898"/>
      </w:tblGrid>
      <w:tr>
        <w:tblPrEx>
          <w:tblCellMar>
            <w:top w:w="0" w:type="dxa"/>
            <w:left w:w="0" w:type="dxa"/>
            <w:bottom w:w="0" w:type="dxa"/>
            <w:right w:w="0" w:type="dxa"/>
          </w:tblCellMar>
        </w:tblPrEx>
        <w:trPr>
          <w:trHeight w:val="0" w:hRule="atLeast"/>
          <w:tblHeader/>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eastAsia" w:ascii="Times New Roman" w:hAnsi="Times New Roman" w:eastAsia="宋体" w:cs="Times New Roman"/>
                <w:b/>
                <w:bCs/>
                <w:color w:val="auto"/>
                <w:kern w:val="0"/>
                <w:sz w:val="21"/>
                <w:szCs w:val="21"/>
                <w:highlight w:val="none"/>
                <w:u w:val="none"/>
                <w:lang w:eastAsia="zh-CN" w:bidi="ar"/>
              </w:rPr>
            </w:pPr>
            <w:r>
              <w:rPr>
                <w:rFonts w:hint="eastAsia" w:ascii="Times New Roman" w:hAnsi="Times New Roman" w:eastAsia="宋体" w:cs="Times New Roman"/>
                <w:b/>
                <w:bCs/>
                <w:color w:val="auto"/>
                <w:kern w:val="0"/>
                <w:sz w:val="21"/>
                <w:szCs w:val="21"/>
                <w:highlight w:val="none"/>
                <w:u w:val="none"/>
                <w:lang w:eastAsia="zh-CN" w:bidi="ar"/>
              </w:rPr>
              <w:t>出现距离（</w:t>
            </w:r>
            <w:r>
              <w:rPr>
                <w:rFonts w:hint="eastAsia" w:ascii="Times New Roman" w:hAnsi="Times New Roman" w:eastAsia="宋体" w:cs="Times New Roman"/>
                <w:b/>
                <w:bCs/>
                <w:color w:val="auto"/>
                <w:kern w:val="0"/>
                <w:sz w:val="21"/>
                <w:szCs w:val="21"/>
                <w:highlight w:val="none"/>
                <w:u w:val="none"/>
                <w:lang w:val="en-US" w:eastAsia="zh-CN" w:bidi="ar"/>
              </w:rPr>
              <w:t>m</w:t>
            </w:r>
            <w:r>
              <w:rPr>
                <w:rFonts w:hint="eastAsia" w:ascii="Times New Roman" w:hAnsi="Times New Roman" w:eastAsia="宋体" w:cs="Times New Roman"/>
                <w:b/>
                <w:bCs/>
                <w:color w:val="auto"/>
                <w:kern w:val="0"/>
                <w:sz w:val="21"/>
                <w:szCs w:val="21"/>
                <w:highlight w:val="none"/>
                <w:u w:val="none"/>
                <w:lang w:eastAsia="zh-CN" w:bidi="ar"/>
              </w:rPr>
              <w:t>）</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u w:val="none"/>
                <w:lang w:bidi="ar"/>
              </w:rPr>
            </w:pPr>
            <w:r>
              <w:rPr>
                <w:rFonts w:hint="eastAsia" w:ascii="Times New Roman" w:hAnsi="Times New Roman" w:eastAsia="宋体" w:cs="Times New Roman"/>
                <w:b/>
                <w:bCs/>
                <w:color w:val="auto"/>
                <w:kern w:val="0"/>
                <w:sz w:val="21"/>
                <w:szCs w:val="21"/>
                <w:highlight w:val="none"/>
                <w:u w:val="none"/>
                <w:lang w:eastAsia="zh-CN" w:bidi="ar"/>
              </w:rPr>
              <w:t>预测时刻</w:t>
            </w:r>
            <w:r>
              <w:rPr>
                <w:rFonts w:hint="eastAsia" w:ascii="Times New Roman" w:hAnsi="Times New Roman" w:eastAsia="宋体" w:cs="Times New Roman"/>
                <w:b/>
                <w:bCs/>
                <w:color w:val="auto"/>
                <w:kern w:val="0"/>
                <w:sz w:val="21"/>
                <w:szCs w:val="21"/>
                <w:highlight w:val="none"/>
                <w:u w:val="none"/>
                <w:lang w:bidi="ar"/>
              </w:rPr>
              <w:t>(min)</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eastAsia" w:ascii="Times New Roman" w:hAnsi="Times New Roman" w:eastAsia="宋体" w:cs="Times New Roman"/>
                <w:b/>
                <w:bCs/>
                <w:color w:val="auto"/>
                <w:kern w:val="0"/>
                <w:sz w:val="21"/>
                <w:szCs w:val="21"/>
                <w:highlight w:val="none"/>
                <w:u w:val="none"/>
                <w:lang w:eastAsia="zh-CN" w:bidi="ar"/>
              </w:rPr>
            </w:pPr>
            <w:r>
              <w:rPr>
                <w:rFonts w:hint="eastAsia" w:ascii="Times New Roman" w:hAnsi="Times New Roman" w:eastAsia="宋体" w:cs="Times New Roman"/>
                <w:b/>
                <w:bCs/>
                <w:color w:val="auto"/>
                <w:kern w:val="0"/>
                <w:sz w:val="21"/>
                <w:szCs w:val="21"/>
                <w:highlight w:val="none"/>
                <w:u w:val="none"/>
                <w:lang w:eastAsia="zh-CN" w:bidi="ar"/>
              </w:rPr>
              <w:t>最大落地浓度（</w:t>
            </w:r>
            <w:r>
              <w:rPr>
                <w:rFonts w:hint="eastAsia" w:ascii="Times New Roman" w:hAnsi="Times New Roman" w:eastAsia="宋体" w:cs="Times New Roman"/>
                <w:b/>
                <w:bCs/>
                <w:color w:val="auto"/>
                <w:kern w:val="0"/>
                <w:sz w:val="24"/>
                <w:szCs w:val="24"/>
                <w:highlight w:val="none"/>
                <w:u w:val="none"/>
                <w:lang w:val="en-US" w:eastAsia="zh-CN" w:bidi="zh-CN"/>
              </w:rPr>
              <w:t>mg/m</w:t>
            </w:r>
            <w:r>
              <w:rPr>
                <w:rFonts w:hint="eastAsia" w:ascii="Times New Roman" w:hAnsi="Times New Roman" w:eastAsia="宋体" w:cs="Times New Roman"/>
                <w:b/>
                <w:bCs/>
                <w:color w:val="auto"/>
                <w:kern w:val="0"/>
                <w:sz w:val="24"/>
                <w:szCs w:val="24"/>
                <w:highlight w:val="none"/>
                <w:u w:val="none"/>
                <w:vertAlign w:val="superscript"/>
                <w:lang w:val="en-US" w:eastAsia="zh-CN" w:bidi="zh-CN"/>
              </w:rPr>
              <w:t>3</w:t>
            </w:r>
            <w:r>
              <w:rPr>
                <w:rFonts w:hint="eastAsia" w:ascii="Times New Roman" w:hAnsi="Times New Roman" w:eastAsia="宋体" w:cs="Times New Roman"/>
                <w:b/>
                <w:bCs/>
                <w:color w:val="auto"/>
                <w:kern w:val="0"/>
                <w:sz w:val="21"/>
                <w:szCs w:val="21"/>
                <w:highlight w:val="none"/>
                <w:u w:val="none"/>
                <w:lang w:eastAsia="zh-CN" w:bidi="ar"/>
              </w:rPr>
              <w:t>）</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0.083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946.62</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0.167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1764.5</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14</w:t>
            </w:r>
            <w:r>
              <w:rPr>
                <w:rFonts w:hint="eastAsia" w:ascii="Times New Roman" w:hAnsi="Times New Roman" w:cs="Times New Roman"/>
                <w:color w:val="auto"/>
                <w:kern w:val="0"/>
                <w:sz w:val="21"/>
                <w:szCs w:val="21"/>
                <w:highlight w:val="none"/>
                <w:u w:val="none"/>
                <w:lang w:val="en-US" w:eastAsia="zh-CN" w:bidi="ar"/>
              </w:rPr>
              <w:t>27.3</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0.33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r>
              <w:rPr>
                <w:rFonts w:hint="eastAsia" w:ascii="Times New Roman" w:hAnsi="Times New Roman" w:cs="Times New Roman"/>
                <w:color w:val="auto"/>
                <w:kern w:val="0"/>
                <w:sz w:val="21"/>
                <w:szCs w:val="21"/>
                <w:highlight w:val="none"/>
                <w:u w:val="none"/>
                <w:lang w:val="en-US" w:eastAsia="zh-CN" w:bidi="ar"/>
              </w:rPr>
              <w:t>080.8</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0.416</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831.19</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0.833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315.5</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106.6</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55.22</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4.167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23.8</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800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6.667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10.90</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1200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6.217</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3.827</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1800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3.038</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16.67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u w:val="none"/>
                <w:lang w:val="en-US" w:eastAsia="zh-CN" w:bidi="ar"/>
              </w:rPr>
              <w:t>2.641</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20.8</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2.</w:t>
            </w:r>
            <w:r>
              <w:rPr>
                <w:rFonts w:hint="eastAsia" w:ascii="Times New Roman" w:hAnsi="Times New Roman" w:cs="Times New Roman"/>
                <w:color w:val="auto"/>
                <w:kern w:val="0"/>
                <w:sz w:val="21"/>
                <w:szCs w:val="21"/>
                <w:highlight w:val="none"/>
                <w:u w:val="none"/>
                <w:lang w:val="en-US" w:eastAsia="zh-CN" w:bidi="ar"/>
              </w:rPr>
              <w:t>257</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2800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23.3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1.</w:t>
            </w:r>
            <w:r>
              <w:rPr>
                <w:rFonts w:hint="eastAsia" w:ascii="Times New Roman" w:hAnsi="Times New Roman" w:cs="Times New Roman"/>
                <w:color w:val="auto"/>
                <w:kern w:val="0"/>
                <w:sz w:val="21"/>
                <w:szCs w:val="21"/>
                <w:highlight w:val="none"/>
                <w:u w:val="none"/>
                <w:lang w:val="en-US" w:eastAsia="zh-CN" w:bidi="ar"/>
              </w:rPr>
              <w:t>686</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r>
              <w:rPr>
                <w:rFonts w:hint="eastAsia" w:ascii="Times New Roman" w:hAnsi="Times New Roman" w:cs="Times New Roman"/>
                <w:color w:val="auto"/>
                <w:kern w:val="0"/>
                <w:sz w:val="21"/>
                <w:szCs w:val="21"/>
                <w:highlight w:val="none"/>
                <w:u w:val="none"/>
                <w:lang w:val="en-US" w:eastAsia="zh-CN" w:bidi="ar"/>
              </w:rPr>
              <w:t>538</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37.16</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r>
              <w:rPr>
                <w:rFonts w:hint="eastAsia" w:ascii="Times New Roman" w:hAnsi="Times New Roman" w:cs="Times New Roman"/>
                <w:color w:val="auto"/>
                <w:kern w:val="0"/>
                <w:sz w:val="21"/>
                <w:szCs w:val="21"/>
                <w:highlight w:val="none"/>
                <w:u w:val="none"/>
                <w:lang w:val="en-US" w:eastAsia="zh-CN" w:bidi="ar"/>
              </w:rPr>
              <w:t>252</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42.3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r>
              <w:rPr>
                <w:rFonts w:hint="eastAsia" w:ascii="Times New Roman" w:hAnsi="Times New Roman" w:cs="Times New Roman"/>
                <w:color w:val="auto"/>
                <w:kern w:val="0"/>
                <w:sz w:val="21"/>
                <w:szCs w:val="21"/>
                <w:highlight w:val="none"/>
                <w:u w:val="none"/>
                <w:lang w:val="en-US" w:eastAsia="zh-CN" w:bidi="ar"/>
              </w:rPr>
              <w:t>048</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52.6</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w:t>
            </w:r>
            <w:r>
              <w:rPr>
                <w:rFonts w:hint="eastAsia" w:ascii="Times New Roman" w:hAnsi="Times New Roman" w:cs="Times New Roman"/>
                <w:color w:val="auto"/>
                <w:kern w:val="0"/>
                <w:sz w:val="21"/>
                <w:szCs w:val="21"/>
                <w:highlight w:val="none"/>
                <w:u w:val="none"/>
                <w:lang w:val="en-US" w:eastAsia="zh-CN" w:bidi="ar"/>
              </w:rPr>
              <w:t>778</w:t>
            </w:r>
          </w:p>
        </w:tc>
      </w:tr>
    </w:tbl>
    <w:p>
      <w:pPr>
        <w:autoSpaceDE w:val="0"/>
        <w:autoSpaceDN w:val="0"/>
        <w:spacing w:line="360" w:lineRule="auto"/>
        <w:ind w:firstLine="480"/>
        <w:rPr>
          <w:rFonts w:hint="default" w:ascii="Times New Roman" w:hAnsi="Times New Roman" w:eastAsia="宋体" w:cs="Times New Roman"/>
          <w:b/>
          <w:bCs w:val="0"/>
          <w:color w:val="auto"/>
          <w:kern w:val="0"/>
          <w:sz w:val="24"/>
          <w:szCs w:val="24"/>
          <w:highlight w:val="none"/>
          <w:u w:val="none" w:color="auto"/>
          <w:lang w:bidi="ar"/>
        </w:rPr>
      </w:pPr>
      <w:r>
        <w:rPr>
          <w:rFonts w:hint="default" w:ascii="Times New Roman" w:hAnsi="Times New Roman" w:eastAsia="宋体" w:cs="Times New Roman"/>
          <w:bCs/>
          <w:color w:val="auto"/>
          <w:kern w:val="0"/>
          <w:sz w:val="24"/>
          <w:szCs w:val="24"/>
          <w:highlight w:val="none"/>
          <w:u w:val="none" w:color="auto"/>
          <w:lang w:bidi="ar"/>
        </w:rPr>
        <w:t>由预测结果可知，在最不利气象条件</w:t>
      </w:r>
      <w:r>
        <w:rPr>
          <w:rFonts w:hint="default" w:ascii="Times New Roman" w:hAnsi="Times New Roman" w:eastAsia="宋体" w:cs="Times New Roman"/>
          <w:bCs/>
          <w:color w:val="auto"/>
          <w:kern w:val="0"/>
          <w:sz w:val="24"/>
          <w:szCs w:val="24"/>
          <w:highlight w:val="none"/>
          <w:u w:val="none" w:color="auto"/>
          <w:lang w:eastAsia="zh-CN" w:bidi="ar"/>
        </w:rPr>
        <w:t>，储罐</w:t>
      </w:r>
      <w:r>
        <w:rPr>
          <w:rFonts w:hint="default" w:ascii="Times New Roman" w:hAnsi="Times New Roman" w:eastAsia="宋体" w:cs="Times New Roman"/>
          <w:bCs/>
          <w:color w:val="auto"/>
          <w:kern w:val="0"/>
          <w:sz w:val="24"/>
          <w:szCs w:val="24"/>
          <w:highlight w:val="none"/>
          <w:u w:val="none" w:color="auto"/>
          <w:lang w:bidi="ar"/>
        </w:rPr>
        <w:t>破裂导致</w:t>
      </w:r>
      <w:r>
        <w:rPr>
          <w:rFonts w:hint="default" w:ascii="Times New Roman" w:hAnsi="Times New Roman" w:eastAsia="宋体" w:cs="Times New Roman"/>
          <w:bCs/>
          <w:color w:val="auto"/>
          <w:kern w:val="0"/>
          <w:sz w:val="24"/>
          <w:szCs w:val="24"/>
          <w:highlight w:val="none"/>
          <w:u w:val="none" w:color="auto"/>
          <w:lang w:eastAsia="zh-CN" w:bidi="ar"/>
        </w:rPr>
        <w:t>硫酸</w:t>
      </w:r>
      <w:r>
        <w:rPr>
          <w:rFonts w:hint="default" w:ascii="Times New Roman" w:hAnsi="Times New Roman" w:eastAsia="宋体" w:cs="Times New Roman"/>
          <w:bCs/>
          <w:color w:val="auto"/>
          <w:kern w:val="0"/>
          <w:sz w:val="24"/>
          <w:szCs w:val="24"/>
          <w:highlight w:val="none"/>
          <w:u w:val="none" w:color="auto"/>
          <w:lang w:bidi="ar"/>
        </w:rPr>
        <w:t>泄漏，事故发生后，毒性终点浓度-1级最大影响范围为</w:t>
      </w:r>
      <w:r>
        <w:rPr>
          <w:rFonts w:hint="eastAsia" w:ascii="Times New Roman" w:hAnsi="Times New Roman" w:eastAsia="宋体" w:cs="Times New Roman"/>
          <w:bCs/>
          <w:color w:val="auto"/>
          <w:kern w:val="0"/>
          <w:sz w:val="24"/>
          <w:szCs w:val="24"/>
          <w:highlight w:val="none"/>
          <w:u w:val="none" w:color="auto"/>
          <w:lang w:val="en-US" w:eastAsia="zh-CN" w:bidi="ar"/>
        </w:rPr>
        <w:t>1</w:t>
      </w:r>
      <w:r>
        <w:rPr>
          <w:rFonts w:hint="eastAsia" w:ascii="Times New Roman" w:hAnsi="Times New Roman" w:cs="Times New Roman"/>
          <w:bCs/>
          <w:color w:val="auto"/>
          <w:kern w:val="0"/>
          <w:sz w:val="24"/>
          <w:szCs w:val="24"/>
          <w:highlight w:val="none"/>
          <w:u w:val="none" w:color="auto"/>
          <w:lang w:val="en-US" w:eastAsia="zh-CN" w:bidi="ar"/>
        </w:rPr>
        <w:t>5</w:t>
      </w:r>
      <w:r>
        <w:rPr>
          <w:rFonts w:hint="eastAsia" w:ascii="Times New Roman" w:hAnsi="Times New Roman" w:eastAsia="宋体" w:cs="Times New Roman"/>
          <w:bCs/>
          <w:color w:val="auto"/>
          <w:kern w:val="0"/>
          <w:sz w:val="24"/>
          <w:szCs w:val="24"/>
          <w:highlight w:val="none"/>
          <w:u w:val="none" w:color="auto"/>
          <w:lang w:val="en-US" w:eastAsia="zh-CN" w:bidi="ar"/>
        </w:rPr>
        <w:t>0m</w:t>
      </w:r>
      <w:r>
        <w:rPr>
          <w:rFonts w:hint="default" w:ascii="Times New Roman" w:hAnsi="Times New Roman" w:eastAsia="宋体" w:cs="Times New Roman"/>
          <w:bCs/>
          <w:color w:val="auto"/>
          <w:kern w:val="0"/>
          <w:sz w:val="24"/>
          <w:szCs w:val="24"/>
          <w:highlight w:val="none"/>
          <w:u w:val="none" w:color="auto"/>
          <w:lang w:bidi="ar"/>
        </w:rPr>
        <w:t>，毒性终点浓度-2级的下风向最大影响范围为</w:t>
      </w:r>
      <w:r>
        <w:rPr>
          <w:rFonts w:hint="eastAsia" w:ascii="Times New Roman" w:hAnsi="Times New Roman" w:cs="Times New Roman"/>
          <w:bCs/>
          <w:color w:val="auto"/>
          <w:kern w:val="0"/>
          <w:sz w:val="24"/>
          <w:szCs w:val="24"/>
          <w:highlight w:val="none"/>
          <w:u w:val="none" w:color="auto"/>
          <w:lang w:val="en-US" w:eastAsia="zh-CN" w:bidi="ar"/>
        </w:rPr>
        <w:t>910</w:t>
      </w:r>
      <w:r>
        <w:rPr>
          <w:rFonts w:hint="default" w:ascii="Times New Roman" w:hAnsi="Times New Roman" w:eastAsia="宋体" w:cs="Times New Roman"/>
          <w:bCs/>
          <w:color w:val="auto"/>
          <w:kern w:val="0"/>
          <w:sz w:val="24"/>
          <w:szCs w:val="24"/>
          <w:highlight w:val="none"/>
          <w:u w:val="none" w:color="auto"/>
          <w:lang w:bidi="ar"/>
        </w:rPr>
        <w:t>m。距厂区最近环境保护目标为</w:t>
      </w:r>
      <w:r>
        <w:rPr>
          <w:rFonts w:hint="eastAsia" w:ascii="Times New Roman" w:hAnsi="Times New Roman" w:cs="Times New Roman"/>
          <w:bCs/>
          <w:color w:val="auto"/>
          <w:kern w:val="0"/>
          <w:sz w:val="24"/>
          <w:szCs w:val="24"/>
          <w:highlight w:val="none"/>
          <w:u w:val="none" w:color="auto"/>
          <w:lang w:eastAsia="zh-CN" w:bidi="ar"/>
        </w:rPr>
        <w:t>东南</w:t>
      </w:r>
      <w:r>
        <w:rPr>
          <w:rFonts w:hint="eastAsia" w:ascii="Times New Roman" w:hAnsi="Times New Roman" w:cs="Times New Roman"/>
          <w:bCs/>
          <w:color w:val="auto"/>
          <w:kern w:val="0"/>
          <w:sz w:val="24"/>
          <w:szCs w:val="24"/>
          <w:highlight w:val="none"/>
          <w:u w:val="none" w:color="auto"/>
          <w:lang w:val="en-US" w:eastAsia="zh-CN" w:bidi="ar"/>
        </w:rPr>
        <w:t>40m</w:t>
      </w:r>
      <w:r>
        <w:rPr>
          <w:rFonts w:hint="default" w:ascii="Times New Roman" w:hAnsi="Times New Roman" w:eastAsia="宋体" w:cs="Times New Roman"/>
          <w:bCs/>
          <w:color w:val="auto"/>
          <w:kern w:val="0"/>
          <w:sz w:val="24"/>
          <w:szCs w:val="24"/>
          <w:highlight w:val="none"/>
          <w:u w:val="none" w:color="auto"/>
          <w:lang w:bidi="ar"/>
        </w:rPr>
        <w:t>处的</w:t>
      </w:r>
      <w:r>
        <w:rPr>
          <w:rFonts w:hint="default" w:ascii="Times New Roman" w:hAnsi="Times New Roman" w:eastAsia="宋体" w:cs="Times New Roman"/>
          <w:bCs/>
          <w:color w:val="auto"/>
          <w:kern w:val="0"/>
          <w:sz w:val="24"/>
          <w:szCs w:val="24"/>
          <w:highlight w:val="none"/>
          <w:u w:val="none" w:color="auto"/>
          <w:lang w:val="en-US" w:eastAsia="zh-CN" w:bidi="ar"/>
        </w:rPr>
        <w:t>创新创业服务中心</w:t>
      </w:r>
      <w:r>
        <w:rPr>
          <w:rFonts w:hint="eastAsia" w:cs="Times New Roman"/>
          <w:bCs/>
          <w:color w:val="auto"/>
          <w:kern w:val="0"/>
          <w:sz w:val="24"/>
          <w:szCs w:val="24"/>
          <w:highlight w:val="none"/>
          <w:u w:val="none" w:color="auto"/>
          <w:lang w:eastAsia="zh-CN" w:bidi="ar"/>
        </w:rPr>
        <w:t>，</w:t>
      </w:r>
      <w:r>
        <w:rPr>
          <w:rFonts w:hint="default" w:ascii="Times New Roman" w:hAnsi="Times New Roman" w:eastAsia="宋体" w:cs="Times New Roman"/>
          <w:bCs/>
          <w:color w:val="auto"/>
          <w:kern w:val="0"/>
          <w:sz w:val="24"/>
          <w:szCs w:val="24"/>
          <w:highlight w:val="none"/>
          <w:u w:val="none" w:color="auto"/>
          <w:lang w:bidi="ar"/>
        </w:rPr>
        <w:t>一旦发生泄漏，企业需采取有效的事故应急措施和启动应急预案，控制污染物排放量及延续排放时间，防止事故发生后造成大面积的人员伤亡。建议企业通过加强</w:t>
      </w:r>
      <w:r>
        <w:rPr>
          <w:rFonts w:hint="default" w:ascii="Times New Roman" w:hAnsi="Times New Roman" w:eastAsia="宋体" w:cs="Times New Roman"/>
          <w:bCs/>
          <w:color w:val="auto"/>
          <w:kern w:val="0"/>
          <w:sz w:val="24"/>
          <w:szCs w:val="24"/>
          <w:highlight w:val="none"/>
          <w:u w:val="none" w:color="auto"/>
          <w:lang w:eastAsia="zh-CN" w:bidi="ar"/>
        </w:rPr>
        <w:t>硫酸</w:t>
      </w:r>
      <w:r>
        <w:rPr>
          <w:rFonts w:hint="default" w:ascii="Times New Roman" w:hAnsi="Times New Roman" w:eastAsia="宋体" w:cs="Times New Roman"/>
          <w:bCs/>
          <w:color w:val="auto"/>
          <w:kern w:val="0"/>
          <w:sz w:val="24"/>
          <w:szCs w:val="24"/>
          <w:highlight w:val="none"/>
          <w:u w:val="none" w:color="auto"/>
          <w:lang w:bidi="ar"/>
        </w:rPr>
        <w:t>储存区的管理，确保生产的稳定运行，在其他安全措施实施到位基础上，将事故概率降至最低；如发生事故应严格按照应急预案的要求及时疏散影响区域内的民众。</w:t>
      </w:r>
    </w:p>
    <w:p>
      <w:pPr>
        <w:autoSpaceDE w:val="0"/>
        <w:autoSpaceDN w:val="0"/>
        <w:adjustRightInd/>
        <w:snapToGrid/>
        <w:spacing w:line="360" w:lineRule="auto"/>
        <w:ind w:firstLine="480" w:firstLineChars="200"/>
        <w:jc w:val="both"/>
        <w:rPr>
          <w:rFonts w:hint="eastAsia" w:ascii="Times New Roman" w:hAnsi="Times New Roman" w:eastAsia="宋体" w:cs="Times New Roman"/>
          <w:b/>
          <w:bCs/>
          <w:color w:val="auto"/>
          <w:kern w:val="0"/>
          <w:sz w:val="24"/>
          <w:szCs w:val="24"/>
          <w:highlight w:val="none"/>
          <w:u w:val="none"/>
          <w:lang w:val="en-US" w:eastAsia="zh-CN" w:bidi="zh-CN"/>
        </w:rPr>
      </w:pPr>
      <w:r>
        <w:rPr>
          <w:rFonts w:hint="default" w:ascii="Times New Roman" w:hAnsi="Times New Roman" w:eastAsia="宋体" w:cs="Times New Roman"/>
          <w:color w:val="auto"/>
          <w:sz w:val="24"/>
          <w:szCs w:val="24"/>
          <w:highlight w:val="none"/>
          <w:u w:val="none" w:color="auto"/>
          <w:lang w:val="zh-CN"/>
        </w:rPr>
        <w:t>预测最不利气象条件下，</w:t>
      </w:r>
      <w:r>
        <w:rPr>
          <w:rFonts w:hint="eastAsia" w:ascii="Times New Roman" w:hAnsi="Times New Roman" w:eastAsia="宋体" w:cs="Times New Roman"/>
          <w:color w:val="auto"/>
          <w:sz w:val="24"/>
          <w:szCs w:val="24"/>
          <w:highlight w:val="none"/>
          <w:u w:val="none" w:color="auto"/>
          <w:lang w:val="zh-CN"/>
        </w:rPr>
        <w:t>氨气</w:t>
      </w:r>
      <w:r>
        <w:rPr>
          <w:rFonts w:hint="default" w:ascii="Times New Roman" w:hAnsi="Times New Roman" w:eastAsia="宋体" w:cs="Times New Roman"/>
          <w:color w:val="auto"/>
          <w:sz w:val="24"/>
          <w:szCs w:val="24"/>
          <w:highlight w:val="none"/>
          <w:u w:val="none" w:color="auto"/>
          <w:lang w:val="zh-CN"/>
        </w:rPr>
        <w:t>下风向不同距离处有毒有害物质的最大浓度</w:t>
      </w:r>
      <w:r>
        <w:rPr>
          <w:rFonts w:hint="eastAsia" w:ascii="Times New Roman" w:hAnsi="Times New Roman" w:eastAsia="宋体" w:cs="Times New Roman"/>
          <w:color w:val="auto"/>
          <w:sz w:val="24"/>
          <w:szCs w:val="24"/>
          <w:highlight w:val="none"/>
          <w:u w:val="none" w:color="auto"/>
          <w:lang w:val="zh-CN"/>
        </w:rPr>
        <w:t>。</w:t>
      </w:r>
    </w:p>
    <w:p>
      <w:pPr>
        <w:autoSpaceDE w:val="0"/>
        <w:autoSpaceDN w:val="0"/>
        <w:adjustRightInd/>
        <w:snapToGrid/>
        <w:spacing w:line="240" w:lineRule="auto"/>
        <w:ind w:firstLine="0" w:firstLineChars="0"/>
        <w:jc w:val="center"/>
        <w:rPr>
          <w:rFonts w:hint="eastAsia" w:ascii="Times New Roman" w:hAnsi="Times New Roman" w:eastAsia="宋体" w:cs="Times New Roman"/>
          <w:b/>
          <w:bCs/>
          <w:color w:val="auto"/>
          <w:kern w:val="0"/>
          <w:sz w:val="24"/>
          <w:szCs w:val="24"/>
          <w:highlight w:val="none"/>
          <w:u w:val="none"/>
          <w:lang w:val="zh-CN" w:eastAsia="zh-CN" w:bidi="zh-CN"/>
        </w:rPr>
      </w:pPr>
      <w:r>
        <w:rPr>
          <w:rFonts w:hint="eastAsia" w:ascii="Times New Roman" w:hAnsi="Times New Roman" w:eastAsia="宋体" w:cs="Times New Roman"/>
          <w:b/>
          <w:bCs/>
          <w:color w:val="auto"/>
          <w:kern w:val="0"/>
          <w:sz w:val="24"/>
          <w:szCs w:val="24"/>
          <w:highlight w:val="none"/>
          <w:u w:val="none"/>
          <w:lang w:val="en-US" w:eastAsia="zh-CN" w:bidi="zh-CN"/>
        </w:rPr>
        <w:t>表5.1-4氨气下风向不同距离处有毒有害物质的最大浓度</w:t>
      </w:r>
    </w:p>
    <w:tbl>
      <w:tblPr>
        <w:tblStyle w:val="29"/>
        <w:tblW w:w="5000" w:type="pct"/>
        <w:jc w:val="center"/>
        <w:tblLayout w:type="fixed"/>
        <w:tblCellMar>
          <w:top w:w="0" w:type="dxa"/>
          <w:left w:w="0" w:type="dxa"/>
          <w:bottom w:w="0" w:type="dxa"/>
          <w:right w:w="0" w:type="dxa"/>
        </w:tblCellMar>
      </w:tblPr>
      <w:tblGrid>
        <w:gridCol w:w="2699"/>
        <w:gridCol w:w="3403"/>
        <w:gridCol w:w="2898"/>
      </w:tblGrid>
      <w:tr>
        <w:tblPrEx>
          <w:tblCellMar>
            <w:top w:w="0" w:type="dxa"/>
            <w:left w:w="0" w:type="dxa"/>
            <w:bottom w:w="0" w:type="dxa"/>
            <w:right w:w="0" w:type="dxa"/>
          </w:tblCellMar>
        </w:tblPrEx>
        <w:trPr>
          <w:trHeight w:val="0" w:hRule="atLeast"/>
          <w:tblHeader/>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eastAsia" w:ascii="Times New Roman" w:hAnsi="Times New Roman" w:eastAsia="宋体" w:cs="Times New Roman"/>
                <w:b/>
                <w:bCs/>
                <w:color w:val="auto"/>
                <w:kern w:val="0"/>
                <w:sz w:val="21"/>
                <w:szCs w:val="21"/>
                <w:highlight w:val="none"/>
                <w:u w:val="none"/>
                <w:lang w:eastAsia="zh-CN" w:bidi="ar"/>
              </w:rPr>
            </w:pPr>
            <w:r>
              <w:rPr>
                <w:rFonts w:hint="eastAsia" w:ascii="Times New Roman" w:hAnsi="Times New Roman" w:eastAsia="宋体" w:cs="Times New Roman"/>
                <w:b/>
                <w:bCs/>
                <w:color w:val="auto"/>
                <w:kern w:val="0"/>
                <w:sz w:val="21"/>
                <w:szCs w:val="21"/>
                <w:highlight w:val="none"/>
                <w:u w:val="none"/>
                <w:lang w:eastAsia="zh-CN" w:bidi="ar"/>
              </w:rPr>
              <w:t>出现距离（</w:t>
            </w:r>
            <w:r>
              <w:rPr>
                <w:rFonts w:hint="eastAsia" w:ascii="Times New Roman" w:hAnsi="Times New Roman" w:eastAsia="宋体" w:cs="Times New Roman"/>
                <w:b/>
                <w:bCs/>
                <w:color w:val="auto"/>
                <w:kern w:val="0"/>
                <w:sz w:val="21"/>
                <w:szCs w:val="21"/>
                <w:highlight w:val="none"/>
                <w:u w:val="none"/>
                <w:lang w:val="en-US" w:eastAsia="zh-CN" w:bidi="ar"/>
              </w:rPr>
              <w:t>m</w:t>
            </w:r>
            <w:r>
              <w:rPr>
                <w:rFonts w:hint="eastAsia" w:ascii="Times New Roman" w:hAnsi="Times New Roman" w:eastAsia="宋体" w:cs="Times New Roman"/>
                <w:b/>
                <w:bCs/>
                <w:color w:val="auto"/>
                <w:kern w:val="0"/>
                <w:sz w:val="21"/>
                <w:szCs w:val="21"/>
                <w:highlight w:val="none"/>
                <w:u w:val="none"/>
                <w:lang w:eastAsia="zh-CN" w:bidi="ar"/>
              </w:rPr>
              <w:t>）</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ascii="Times New Roman" w:hAnsi="Times New Roman" w:eastAsia="宋体" w:cs="Times New Roman"/>
                <w:b/>
                <w:bCs/>
                <w:color w:val="auto"/>
                <w:kern w:val="0"/>
                <w:sz w:val="21"/>
                <w:szCs w:val="21"/>
                <w:highlight w:val="none"/>
                <w:u w:val="none"/>
                <w:lang w:bidi="ar"/>
              </w:rPr>
            </w:pPr>
            <w:r>
              <w:rPr>
                <w:rFonts w:hint="eastAsia" w:ascii="Times New Roman" w:hAnsi="Times New Roman" w:eastAsia="宋体" w:cs="Times New Roman"/>
                <w:b/>
                <w:bCs/>
                <w:color w:val="auto"/>
                <w:kern w:val="0"/>
                <w:sz w:val="21"/>
                <w:szCs w:val="21"/>
                <w:highlight w:val="none"/>
                <w:u w:val="none"/>
                <w:lang w:eastAsia="zh-CN" w:bidi="ar"/>
              </w:rPr>
              <w:t>预测时刻</w:t>
            </w:r>
            <w:r>
              <w:rPr>
                <w:rFonts w:hint="eastAsia" w:ascii="Times New Roman" w:hAnsi="Times New Roman" w:eastAsia="宋体" w:cs="Times New Roman"/>
                <w:b/>
                <w:bCs/>
                <w:color w:val="auto"/>
                <w:kern w:val="0"/>
                <w:sz w:val="21"/>
                <w:szCs w:val="21"/>
                <w:highlight w:val="none"/>
                <w:u w:val="none"/>
                <w:lang w:bidi="ar"/>
              </w:rPr>
              <w:t>(min)</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eastAsia" w:ascii="Times New Roman" w:hAnsi="Times New Roman" w:eastAsia="宋体" w:cs="Times New Roman"/>
                <w:b/>
                <w:bCs/>
                <w:color w:val="auto"/>
                <w:kern w:val="0"/>
                <w:sz w:val="21"/>
                <w:szCs w:val="21"/>
                <w:highlight w:val="none"/>
                <w:u w:val="none"/>
                <w:lang w:eastAsia="zh-CN" w:bidi="ar"/>
              </w:rPr>
            </w:pPr>
            <w:r>
              <w:rPr>
                <w:rFonts w:hint="eastAsia" w:ascii="Times New Roman" w:hAnsi="Times New Roman" w:eastAsia="宋体" w:cs="Times New Roman"/>
                <w:b/>
                <w:bCs/>
                <w:color w:val="auto"/>
                <w:kern w:val="0"/>
                <w:sz w:val="21"/>
                <w:szCs w:val="21"/>
                <w:highlight w:val="none"/>
                <w:u w:val="none"/>
                <w:lang w:eastAsia="zh-CN" w:bidi="ar"/>
              </w:rPr>
              <w:t>最大落地浓度（</w:t>
            </w:r>
            <w:r>
              <w:rPr>
                <w:rFonts w:hint="eastAsia" w:ascii="Times New Roman" w:hAnsi="Times New Roman" w:eastAsia="宋体" w:cs="Times New Roman"/>
                <w:b/>
                <w:bCs/>
                <w:color w:val="auto"/>
                <w:kern w:val="0"/>
                <w:sz w:val="24"/>
                <w:szCs w:val="24"/>
                <w:highlight w:val="none"/>
                <w:u w:val="none"/>
                <w:lang w:val="en-US" w:eastAsia="zh-CN" w:bidi="zh-CN"/>
              </w:rPr>
              <w:t>mg/m</w:t>
            </w:r>
            <w:r>
              <w:rPr>
                <w:rFonts w:hint="eastAsia" w:ascii="Times New Roman" w:hAnsi="Times New Roman" w:eastAsia="宋体" w:cs="Times New Roman"/>
                <w:b/>
                <w:bCs/>
                <w:color w:val="auto"/>
                <w:kern w:val="0"/>
                <w:sz w:val="24"/>
                <w:szCs w:val="24"/>
                <w:highlight w:val="none"/>
                <w:u w:val="none"/>
                <w:vertAlign w:val="superscript"/>
                <w:lang w:val="en-US" w:eastAsia="zh-CN" w:bidi="zh-CN"/>
              </w:rPr>
              <w:t>3</w:t>
            </w:r>
            <w:r>
              <w:rPr>
                <w:rFonts w:hint="eastAsia" w:ascii="Times New Roman" w:hAnsi="Times New Roman" w:eastAsia="宋体" w:cs="Times New Roman"/>
                <w:b/>
                <w:bCs/>
                <w:color w:val="auto"/>
                <w:kern w:val="0"/>
                <w:sz w:val="21"/>
                <w:szCs w:val="21"/>
                <w:highlight w:val="none"/>
                <w:u w:val="none"/>
                <w:lang w:eastAsia="zh-CN" w:bidi="ar"/>
              </w:rPr>
              <w:t>）</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0.083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2323.3</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0.167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813.61</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480.76</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0.33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339.94</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0.416</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257.88</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0.833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98.840</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33.625</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17.404</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4.167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7.487</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800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6.667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3.422</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1200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1.736</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1.213</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1800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0.951</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16.67</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0.826</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20.8</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0.612</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2800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23.3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0.524</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0.475</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3500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37.16</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0.381</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42.3</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0.311</w:t>
            </w:r>
          </w:p>
        </w:tc>
      </w:tr>
      <w:tr>
        <w:tblPrEx>
          <w:tblCellMar>
            <w:top w:w="0" w:type="dxa"/>
            <w:left w:w="0" w:type="dxa"/>
            <w:bottom w:w="0" w:type="dxa"/>
            <w:right w:w="0" w:type="dxa"/>
          </w:tblCellMar>
        </w:tblPrEx>
        <w:trPr>
          <w:trHeight w:val="0" w:hRule="atLeast"/>
          <w:jc w:val="center"/>
        </w:trPr>
        <w:tc>
          <w:tcPr>
            <w:tcW w:w="25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5000</w:t>
            </w:r>
          </w:p>
        </w:tc>
        <w:tc>
          <w:tcPr>
            <w:tcW w:w="31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52.6</w:t>
            </w:r>
          </w:p>
        </w:tc>
        <w:tc>
          <w:tcPr>
            <w:tcW w:w="26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utoSpaceDE w:val="0"/>
              <w:autoSpaceDN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0.216</w:t>
            </w:r>
          </w:p>
        </w:tc>
      </w:tr>
    </w:tbl>
    <w:p>
      <w:pPr>
        <w:bidi w:val="0"/>
        <w:spacing w:line="360" w:lineRule="auto"/>
        <w:ind w:firstLine="480" w:firstLineChars="200"/>
        <w:rPr>
          <w:rFonts w:hint="default" w:ascii="Times New Roman" w:hAnsi="Times New Roman" w:eastAsia="宋体" w:cs="Times New Roman"/>
          <w:bCs/>
          <w:color w:val="auto"/>
          <w:kern w:val="0"/>
          <w:sz w:val="24"/>
          <w:szCs w:val="24"/>
          <w:highlight w:val="yellow"/>
          <w:u w:val="none" w:color="auto"/>
          <w:lang w:val="en-US" w:eastAsia="zh-CN" w:bidi="ar"/>
        </w:rPr>
      </w:pPr>
      <w:r>
        <w:rPr>
          <w:rFonts w:hint="default" w:ascii="Times New Roman" w:hAnsi="Times New Roman" w:eastAsia="宋体" w:cs="Times New Roman"/>
          <w:bCs/>
          <w:color w:val="auto"/>
          <w:kern w:val="0"/>
          <w:sz w:val="24"/>
          <w:szCs w:val="24"/>
          <w:highlight w:val="none"/>
          <w:u w:val="none" w:color="auto"/>
          <w:lang w:val="en-US" w:eastAsia="zh-CN" w:bidi="ar"/>
        </w:rPr>
        <w:t>经预测可知，</w:t>
      </w:r>
      <w:r>
        <w:rPr>
          <w:rFonts w:hint="default" w:ascii="Times New Roman" w:hAnsi="Times New Roman" w:eastAsia="宋体" w:cs="Times New Roman"/>
          <w:bCs/>
          <w:color w:val="auto"/>
          <w:kern w:val="0"/>
          <w:sz w:val="24"/>
          <w:szCs w:val="24"/>
          <w:highlight w:val="none"/>
          <w:u w:val="none" w:color="auto"/>
          <w:lang w:bidi="ar"/>
        </w:rPr>
        <w:t>由预测结果可知，在最不利气象条件</w:t>
      </w:r>
      <w:r>
        <w:rPr>
          <w:rFonts w:hint="default" w:ascii="Times New Roman" w:hAnsi="Times New Roman" w:eastAsia="宋体" w:cs="Times New Roman"/>
          <w:bCs/>
          <w:color w:val="auto"/>
          <w:kern w:val="0"/>
          <w:sz w:val="24"/>
          <w:szCs w:val="24"/>
          <w:highlight w:val="none"/>
          <w:u w:val="none" w:color="auto"/>
          <w:lang w:eastAsia="zh-CN" w:bidi="ar"/>
        </w:rPr>
        <w:t>，储罐</w:t>
      </w:r>
      <w:r>
        <w:rPr>
          <w:rFonts w:hint="default" w:ascii="Times New Roman" w:hAnsi="Times New Roman" w:eastAsia="宋体" w:cs="Times New Roman"/>
          <w:bCs/>
          <w:color w:val="auto"/>
          <w:kern w:val="0"/>
          <w:sz w:val="24"/>
          <w:szCs w:val="24"/>
          <w:highlight w:val="none"/>
          <w:u w:val="none" w:color="auto"/>
          <w:lang w:bidi="ar"/>
        </w:rPr>
        <w:t>破裂导致</w:t>
      </w:r>
      <w:r>
        <w:rPr>
          <w:rFonts w:hint="eastAsia" w:ascii="Times New Roman" w:hAnsi="Times New Roman" w:eastAsia="宋体" w:cs="Times New Roman"/>
          <w:bCs/>
          <w:color w:val="auto"/>
          <w:kern w:val="0"/>
          <w:sz w:val="24"/>
          <w:szCs w:val="24"/>
          <w:highlight w:val="none"/>
          <w:u w:val="none" w:color="auto"/>
          <w:lang w:eastAsia="zh-CN" w:bidi="ar"/>
        </w:rPr>
        <w:t>氨气</w:t>
      </w:r>
      <w:r>
        <w:rPr>
          <w:rFonts w:hint="default" w:ascii="Times New Roman" w:hAnsi="Times New Roman" w:eastAsia="宋体" w:cs="Times New Roman"/>
          <w:bCs/>
          <w:color w:val="auto"/>
          <w:kern w:val="0"/>
          <w:sz w:val="24"/>
          <w:szCs w:val="24"/>
          <w:highlight w:val="none"/>
          <w:u w:val="none" w:color="auto"/>
          <w:lang w:bidi="ar"/>
        </w:rPr>
        <w:t>泄漏，事故发生后，毒性终点浓度-1级最大影响范围为</w:t>
      </w:r>
      <w:r>
        <w:rPr>
          <w:rFonts w:hint="eastAsia" w:ascii="Times New Roman" w:hAnsi="Times New Roman" w:eastAsia="宋体" w:cs="Times New Roman"/>
          <w:bCs/>
          <w:color w:val="auto"/>
          <w:kern w:val="0"/>
          <w:sz w:val="24"/>
          <w:szCs w:val="24"/>
          <w:highlight w:val="none"/>
          <w:u w:val="none" w:color="auto"/>
          <w:lang w:val="en-US" w:eastAsia="zh-CN" w:bidi="ar"/>
        </w:rPr>
        <w:t>20m</w:t>
      </w:r>
      <w:r>
        <w:rPr>
          <w:rFonts w:hint="default" w:ascii="Times New Roman" w:hAnsi="Times New Roman" w:eastAsia="宋体" w:cs="Times New Roman"/>
          <w:bCs/>
          <w:color w:val="auto"/>
          <w:kern w:val="0"/>
          <w:sz w:val="24"/>
          <w:szCs w:val="24"/>
          <w:highlight w:val="none"/>
          <w:u w:val="none" w:color="auto"/>
          <w:lang w:bidi="ar"/>
        </w:rPr>
        <w:t>，毒性终点浓度-2级的下风向最大影响范围为</w:t>
      </w:r>
      <w:r>
        <w:rPr>
          <w:rFonts w:hint="eastAsia" w:ascii="Times New Roman" w:hAnsi="Times New Roman" w:cs="Times New Roman"/>
          <w:bCs/>
          <w:color w:val="auto"/>
          <w:kern w:val="0"/>
          <w:sz w:val="24"/>
          <w:szCs w:val="24"/>
          <w:highlight w:val="none"/>
          <w:u w:val="none" w:color="auto"/>
          <w:lang w:val="en-US" w:eastAsia="zh-CN" w:bidi="ar"/>
        </w:rPr>
        <w:t>90</w:t>
      </w:r>
      <w:r>
        <w:rPr>
          <w:rFonts w:hint="default" w:ascii="Times New Roman" w:hAnsi="Times New Roman" w:eastAsia="宋体" w:cs="Times New Roman"/>
          <w:bCs/>
          <w:color w:val="auto"/>
          <w:kern w:val="0"/>
          <w:sz w:val="24"/>
          <w:szCs w:val="24"/>
          <w:highlight w:val="none"/>
          <w:u w:val="none" w:color="auto"/>
          <w:lang w:bidi="ar"/>
        </w:rPr>
        <w:t>m。距厂区最近环境保护目标为</w:t>
      </w:r>
      <w:r>
        <w:rPr>
          <w:rFonts w:hint="eastAsia" w:ascii="Times New Roman" w:hAnsi="Times New Roman" w:cs="Times New Roman"/>
          <w:bCs/>
          <w:color w:val="auto"/>
          <w:kern w:val="0"/>
          <w:sz w:val="24"/>
          <w:szCs w:val="24"/>
          <w:highlight w:val="none"/>
          <w:u w:val="none" w:color="auto"/>
          <w:lang w:eastAsia="zh-CN" w:bidi="ar"/>
        </w:rPr>
        <w:t>东南</w:t>
      </w:r>
      <w:r>
        <w:rPr>
          <w:rFonts w:hint="eastAsia" w:ascii="Times New Roman" w:hAnsi="Times New Roman" w:cs="Times New Roman"/>
          <w:bCs/>
          <w:color w:val="auto"/>
          <w:kern w:val="0"/>
          <w:sz w:val="24"/>
          <w:szCs w:val="24"/>
          <w:highlight w:val="none"/>
          <w:u w:val="none" w:color="auto"/>
          <w:lang w:val="en-US" w:eastAsia="zh-CN" w:bidi="ar"/>
        </w:rPr>
        <w:t>40m</w:t>
      </w:r>
      <w:r>
        <w:rPr>
          <w:rFonts w:hint="default" w:ascii="Times New Roman" w:hAnsi="Times New Roman" w:eastAsia="宋体" w:cs="Times New Roman"/>
          <w:bCs/>
          <w:color w:val="auto"/>
          <w:kern w:val="0"/>
          <w:sz w:val="24"/>
          <w:szCs w:val="24"/>
          <w:highlight w:val="none"/>
          <w:u w:val="none" w:color="auto"/>
          <w:lang w:bidi="ar"/>
        </w:rPr>
        <w:t>处的</w:t>
      </w:r>
      <w:r>
        <w:rPr>
          <w:rFonts w:hint="default" w:ascii="Times New Roman" w:hAnsi="Times New Roman" w:eastAsia="宋体" w:cs="Times New Roman"/>
          <w:bCs/>
          <w:color w:val="auto"/>
          <w:kern w:val="0"/>
          <w:sz w:val="24"/>
          <w:szCs w:val="24"/>
          <w:highlight w:val="none"/>
          <w:u w:val="none" w:color="auto"/>
          <w:lang w:val="en-US" w:eastAsia="zh-CN" w:bidi="ar"/>
        </w:rPr>
        <w:t>创新创业服务中心</w:t>
      </w:r>
      <w:r>
        <w:rPr>
          <w:rFonts w:hint="default" w:ascii="Times New Roman" w:hAnsi="Times New Roman" w:eastAsia="宋体" w:cs="Times New Roman"/>
          <w:bCs/>
          <w:color w:val="auto"/>
          <w:kern w:val="0"/>
          <w:sz w:val="24"/>
          <w:szCs w:val="24"/>
          <w:highlight w:val="none"/>
          <w:u w:val="none" w:color="auto"/>
          <w:lang w:bidi="ar"/>
        </w:rPr>
        <w:t>。一旦发生泄漏，企业需采取有效的事故应急措施和启动应急预案，控制污染物排放量及延续排放时间，防止事故发生后造成大面积的人员伤亡。</w:t>
      </w:r>
    </w:p>
    <w:p>
      <w:pPr>
        <w:widowControl w:val="0"/>
        <w:bidi w:val="0"/>
        <w:spacing w:line="360" w:lineRule="auto"/>
        <w:ind w:left="0" w:firstLine="0"/>
        <w:jc w:val="both"/>
        <w:outlineLvl w:val="1"/>
        <w:rPr>
          <w:rFonts w:hint="default" w:ascii="Times New Roman" w:hAnsi="Times New Roman" w:eastAsia="宋体" w:cs="Times New Roman"/>
          <w:b/>
          <w:color w:val="auto"/>
          <w:kern w:val="2"/>
          <w:sz w:val="24"/>
          <w:szCs w:val="24"/>
          <w:highlight w:val="none"/>
          <w:u w:val="none" w:color="auto"/>
          <w:lang w:val="zh-CN" w:eastAsia="zh-CN" w:bidi="ar-SA"/>
        </w:rPr>
      </w:pPr>
      <w:r>
        <w:rPr>
          <w:rFonts w:hint="default" w:ascii="Times New Roman" w:hAnsi="Times New Roman" w:eastAsia="宋体" w:cs="Times New Roman"/>
          <w:b/>
          <w:color w:val="auto"/>
          <w:kern w:val="2"/>
          <w:sz w:val="24"/>
          <w:szCs w:val="24"/>
          <w:highlight w:val="none"/>
          <w:u w:val="none" w:color="auto"/>
          <w:lang w:val="en-US" w:eastAsia="zh-CN" w:bidi="ar-SA"/>
        </w:rPr>
        <w:t>5.</w:t>
      </w:r>
      <w:r>
        <w:rPr>
          <w:rFonts w:hint="eastAsia" w:ascii="Times New Roman" w:hAnsi="Times New Roman" w:eastAsia="宋体" w:cs="Times New Roman"/>
          <w:b/>
          <w:color w:val="auto"/>
          <w:kern w:val="2"/>
          <w:sz w:val="24"/>
          <w:szCs w:val="24"/>
          <w:highlight w:val="none"/>
          <w:u w:val="none" w:color="auto"/>
          <w:lang w:val="en-US" w:eastAsia="zh-CN" w:bidi="ar-SA"/>
        </w:rPr>
        <w:t>2</w:t>
      </w:r>
      <w:r>
        <w:rPr>
          <w:rFonts w:hint="default" w:ascii="Times New Roman" w:hAnsi="Times New Roman" w:eastAsia="宋体" w:cs="Times New Roman"/>
          <w:b/>
          <w:color w:val="auto"/>
          <w:kern w:val="28"/>
          <w:sz w:val="24"/>
          <w:szCs w:val="24"/>
          <w:highlight w:val="none"/>
          <w:u w:val="none" w:color="auto"/>
          <w:lang w:val="en-US" w:eastAsia="zh-CN" w:bidi="ar-SA"/>
        </w:rPr>
        <w:t>废气处理系统故障</w:t>
      </w:r>
      <w:r>
        <w:rPr>
          <w:rFonts w:hint="default" w:ascii="Times New Roman" w:hAnsi="Times New Roman" w:eastAsia="宋体" w:cs="Times New Roman"/>
          <w:b/>
          <w:color w:val="auto"/>
          <w:kern w:val="2"/>
          <w:sz w:val="24"/>
          <w:szCs w:val="28"/>
          <w:u w:val="none" w:color="auto"/>
          <w:lang w:val="zh-CN" w:eastAsia="zh-CN" w:bidi="ar-SA"/>
        </w:rPr>
        <w:t>事故预测与评价</w:t>
      </w:r>
    </w:p>
    <w:p>
      <w:pPr>
        <w:widowControl w:val="0"/>
        <w:bidi w:val="0"/>
        <w:spacing w:line="360" w:lineRule="auto"/>
        <w:jc w:val="left"/>
        <w:outlineLvl w:val="2"/>
        <w:rPr>
          <w:rFonts w:hint="default" w:ascii="Times New Roman" w:hAnsi="Times New Roman" w:eastAsia="宋体" w:cs="Times New Roman"/>
          <w:b/>
          <w:color w:val="auto"/>
          <w:kern w:val="0"/>
          <w:sz w:val="24"/>
          <w:szCs w:val="32"/>
          <w:u w:val="none" w:color="auto"/>
          <w:lang w:val="en-US" w:eastAsia="zh-CN" w:bidi="ar-SA"/>
        </w:rPr>
      </w:pPr>
      <w:r>
        <w:rPr>
          <w:rFonts w:hint="default" w:ascii="Times New Roman" w:hAnsi="Times New Roman" w:eastAsia="宋体" w:cs="Times New Roman"/>
          <w:b/>
          <w:color w:val="auto"/>
          <w:kern w:val="0"/>
          <w:sz w:val="24"/>
          <w:szCs w:val="32"/>
          <w:u w:val="none" w:color="auto"/>
          <w:lang w:val="en-US" w:eastAsia="zh-CN" w:bidi="ar-SA"/>
        </w:rPr>
        <w:t>5.</w:t>
      </w:r>
      <w:r>
        <w:rPr>
          <w:rFonts w:hint="eastAsia" w:ascii="Times New Roman" w:hAnsi="Times New Roman" w:eastAsia="宋体" w:cs="Times New Roman"/>
          <w:b/>
          <w:color w:val="auto"/>
          <w:kern w:val="0"/>
          <w:sz w:val="24"/>
          <w:szCs w:val="32"/>
          <w:u w:val="none" w:color="auto"/>
          <w:lang w:val="en-US" w:eastAsia="zh-CN" w:bidi="ar-SA"/>
        </w:rPr>
        <w:t>2</w:t>
      </w:r>
      <w:r>
        <w:rPr>
          <w:rFonts w:hint="default" w:ascii="Times New Roman" w:hAnsi="Times New Roman" w:eastAsia="宋体" w:cs="Times New Roman"/>
          <w:b/>
          <w:color w:val="auto"/>
          <w:kern w:val="0"/>
          <w:sz w:val="24"/>
          <w:szCs w:val="32"/>
          <w:u w:val="none" w:color="auto"/>
          <w:lang w:val="en-US" w:eastAsia="zh-CN" w:bidi="ar-SA"/>
        </w:rPr>
        <w:t>.1预测模式及预测参数</w:t>
      </w:r>
    </w:p>
    <w:p>
      <w:pPr>
        <w:adjustRightInd/>
        <w:snapToGrid/>
        <w:spacing w:line="360" w:lineRule="auto"/>
        <w:ind w:firstLine="464"/>
        <w:rPr>
          <w:rFonts w:hint="default" w:ascii="Times New Roman" w:hAnsi="Times New Roman" w:eastAsia="宋体" w:cs="Times New Roman"/>
          <w:color w:val="auto"/>
          <w:sz w:val="24"/>
          <w:szCs w:val="24"/>
          <w:u w:val="none" w:color="auto"/>
          <w:lang w:val="en-US" w:eastAsia="en-US"/>
        </w:rPr>
      </w:pPr>
      <w:r>
        <w:rPr>
          <w:rFonts w:hint="default" w:ascii="Times New Roman" w:hAnsi="Times New Roman" w:eastAsia="宋体" w:cs="Times New Roman"/>
          <w:color w:val="auto"/>
          <w:sz w:val="24"/>
          <w:szCs w:val="24"/>
          <w:u w:val="none" w:color="auto"/>
          <w:lang w:val="en-US" w:eastAsia="en-US"/>
        </w:rPr>
        <w:t>本次预测根据《环境影响评价技术导则大气环境》（HJ2.2-2018）AERSCREEN估算模型进行预测。预测参数如下</w:t>
      </w:r>
      <w:r>
        <w:rPr>
          <w:rFonts w:hint="eastAsia" w:ascii="Times New Roman" w:hAnsi="Times New Roman" w:eastAsia="宋体" w:cs="Times New Roman"/>
          <w:color w:val="auto"/>
          <w:sz w:val="24"/>
          <w:szCs w:val="24"/>
          <w:u w:val="none" w:color="auto"/>
          <w:lang w:val="en-US" w:eastAsia="zh-CN"/>
        </w:rPr>
        <w:t>见表5.3-1</w:t>
      </w:r>
      <w:r>
        <w:rPr>
          <w:rFonts w:hint="default" w:ascii="Times New Roman" w:hAnsi="Times New Roman" w:eastAsia="宋体" w:cs="Times New Roman"/>
          <w:color w:val="auto"/>
          <w:sz w:val="24"/>
          <w:szCs w:val="24"/>
          <w:u w:val="none" w:color="auto"/>
          <w:lang w:val="en-US" w:eastAsia="en-US"/>
        </w:rPr>
        <w:t>。</w:t>
      </w:r>
    </w:p>
    <w:p>
      <w:pPr>
        <w:pStyle w:val="8"/>
        <w:keepNext/>
        <w:spacing w:line="240" w:lineRule="auto"/>
        <w:ind w:firstLine="482"/>
        <w:rPr>
          <w:rFonts w:hint="default" w:ascii="Times New Roman" w:hAnsi="Times New Roman" w:cs="Times New Roman"/>
          <w:b/>
          <w:bCs/>
          <w:color w:val="auto"/>
          <w:sz w:val="24"/>
          <w:szCs w:val="32"/>
        </w:rPr>
      </w:pPr>
      <w:bookmarkStart w:id="153" w:name="_Ref2067458"/>
      <w:bookmarkEnd w:id="153"/>
      <w:bookmarkStart w:id="154" w:name="_Ref42799367"/>
      <w:r>
        <w:rPr>
          <w:rFonts w:hint="default" w:ascii="Times New Roman" w:hAnsi="Times New Roman" w:eastAsia="宋体" w:cs="Times New Roman"/>
          <w:b/>
          <w:bCs/>
          <w:color w:val="auto"/>
          <w:sz w:val="24"/>
          <w:szCs w:val="32"/>
        </w:rPr>
        <w:t>表</w:t>
      </w:r>
      <w:bookmarkEnd w:id="154"/>
      <w:r>
        <w:rPr>
          <w:rFonts w:hint="eastAsia" w:ascii="Times New Roman" w:hAnsi="Times New Roman" w:cs="Times New Roman"/>
          <w:b/>
          <w:bCs/>
          <w:color w:val="auto"/>
          <w:sz w:val="24"/>
          <w:szCs w:val="32"/>
          <w:lang w:val="en-US" w:eastAsia="zh-CN"/>
        </w:rPr>
        <w:t>5.3-1</w:t>
      </w:r>
      <w:r>
        <w:rPr>
          <w:rFonts w:hint="default" w:ascii="Times New Roman" w:hAnsi="Times New Roman" w:cs="Times New Roman"/>
          <w:b/>
          <w:bCs/>
          <w:color w:val="auto"/>
          <w:sz w:val="24"/>
          <w:szCs w:val="32"/>
        </w:rPr>
        <w:t>估算模型参数表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526"/>
        <w:gridCol w:w="4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3" w:type="pct"/>
            <w:gridSpan w:val="2"/>
            <w:noWrap w:val="0"/>
            <w:vAlign w:val="center"/>
          </w:tcPr>
          <w:p>
            <w:pPr>
              <w:overflowPunct w:val="0"/>
              <w:spacing w:line="240" w:lineRule="auto"/>
              <w:ind w:firstLine="422"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参数</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restar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城市农村</w:t>
            </w:r>
            <w:r>
              <w:rPr>
                <w:rFonts w:hint="default" w:ascii="Times New Roman" w:hAnsi="Times New Roman" w:cs="Times New Roman"/>
                <w:color w:val="auto"/>
                <w:kern w:val="0"/>
                <w:sz w:val="21"/>
                <w:szCs w:val="21"/>
              </w:rPr>
              <w:t>/选项</w:t>
            </w: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城市</w:t>
            </w:r>
            <w:r>
              <w:rPr>
                <w:rFonts w:hint="default" w:ascii="Times New Roman" w:hAnsi="Times New Roman" w:cs="Times New Roman"/>
                <w:color w:val="auto"/>
                <w:kern w:val="0"/>
                <w:sz w:val="21"/>
                <w:szCs w:val="21"/>
              </w:rPr>
              <w:t>/农村</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continue"/>
            <w:noWrap w:val="0"/>
            <w:vAlign w:val="center"/>
          </w:tcPr>
          <w:p>
            <w:pPr>
              <w:widowControl/>
              <w:spacing w:line="240" w:lineRule="auto"/>
              <w:ind w:firstLine="0" w:firstLineChars="0"/>
              <w:jc w:val="left"/>
              <w:rPr>
                <w:rFonts w:hint="default" w:ascii="Times New Roman" w:hAnsi="Times New Roman" w:cs="Times New Roman"/>
                <w:color w:val="auto"/>
                <w:kern w:val="0"/>
                <w:sz w:val="21"/>
                <w:szCs w:val="21"/>
              </w:rPr>
            </w:pP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人口数</w:t>
            </w:r>
            <w:r>
              <w:rPr>
                <w:rFonts w:hint="default" w:ascii="Times New Roman" w:hAnsi="Times New Roman" w:cs="Times New Roman"/>
                <w:color w:val="auto"/>
                <w:kern w:val="0"/>
                <w:sz w:val="21"/>
                <w:szCs w:val="21"/>
              </w:rPr>
              <w:t>(城市人口数)</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45.94万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3" w:type="pct"/>
            <w:gridSpan w:val="2"/>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最高环境温度</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41.8°C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3" w:type="pct"/>
            <w:gridSpan w:val="2"/>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最低环境温度</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3" w:type="pct"/>
            <w:gridSpan w:val="2"/>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土地利用类型</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3" w:type="pct"/>
            <w:gridSpan w:val="2"/>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区域湿度条件</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restar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是否考虑地形</w:t>
            </w: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考虑地形</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continue"/>
            <w:noWrap w:val="0"/>
            <w:vAlign w:val="center"/>
          </w:tcPr>
          <w:p>
            <w:pPr>
              <w:widowControl/>
              <w:spacing w:line="240" w:lineRule="auto"/>
              <w:ind w:firstLine="0" w:firstLineChars="0"/>
              <w:jc w:val="left"/>
              <w:rPr>
                <w:rFonts w:hint="default" w:ascii="Times New Roman" w:hAnsi="Times New Roman" w:cs="Times New Roman"/>
                <w:color w:val="auto"/>
                <w:kern w:val="0"/>
                <w:sz w:val="21"/>
                <w:szCs w:val="21"/>
              </w:rPr>
            </w:pP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地形数据分辨率</w:t>
            </w:r>
            <w:r>
              <w:rPr>
                <w:rFonts w:hint="default" w:ascii="Times New Roman" w:hAnsi="Times New Roman" w:cs="Times New Roman"/>
                <w:color w:val="auto"/>
                <w:kern w:val="0"/>
                <w:sz w:val="21"/>
                <w:szCs w:val="21"/>
              </w:rPr>
              <w:t>(m)</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restar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是否考虑岸线熏烟</w:t>
            </w: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考虑岸线熏烟</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continue"/>
            <w:noWrap w:val="0"/>
            <w:vAlign w:val="center"/>
          </w:tcPr>
          <w:p>
            <w:pPr>
              <w:widowControl/>
              <w:spacing w:line="240" w:lineRule="auto"/>
              <w:ind w:firstLine="0" w:firstLineChars="0"/>
              <w:jc w:val="left"/>
              <w:rPr>
                <w:rFonts w:hint="default" w:ascii="Times New Roman" w:hAnsi="Times New Roman" w:cs="Times New Roman"/>
                <w:color w:val="auto"/>
                <w:kern w:val="0"/>
                <w:sz w:val="21"/>
                <w:szCs w:val="21"/>
              </w:rPr>
            </w:pP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岸线距离</w:t>
            </w:r>
            <w:r>
              <w:rPr>
                <w:rFonts w:hint="default" w:ascii="Times New Roman" w:hAnsi="Times New Roman" w:cs="Times New Roman"/>
                <w:color w:val="auto"/>
                <w:kern w:val="0"/>
                <w:sz w:val="21"/>
                <w:szCs w:val="21"/>
              </w:rPr>
              <w:t>/m</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pct"/>
            <w:vMerge w:val="continue"/>
            <w:noWrap w:val="0"/>
            <w:vAlign w:val="center"/>
          </w:tcPr>
          <w:p>
            <w:pPr>
              <w:widowControl/>
              <w:spacing w:line="240" w:lineRule="auto"/>
              <w:ind w:firstLine="0" w:firstLineChars="0"/>
              <w:jc w:val="left"/>
              <w:rPr>
                <w:rFonts w:hint="default" w:ascii="Times New Roman" w:hAnsi="Times New Roman" w:cs="Times New Roman"/>
                <w:color w:val="auto"/>
                <w:kern w:val="0"/>
                <w:sz w:val="21"/>
                <w:szCs w:val="21"/>
              </w:rPr>
            </w:pPr>
          </w:p>
        </w:tc>
        <w:tc>
          <w:tcPr>
            <w:tcW w:w="1375"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岸线方向</w:t>
            </w:r>
            <w:r>
              <w:rPr>
                <w:rFonts w:hint="default" w:ascii="Times New Roman" w:hAnsi="Times New Roman" w:cs="Times New Roman"/>
                <w:color w:val="auto"/>
                <w:kern w:val="0"/>
                <w:sz w:val="21"/>
                <w:szCs w:val="21"/>
              </w:rPr>
              <w:t>/o</w:t>
            </w:r>
          </w:p>
        </w:tc>
        <w:tc>
          <w:tcPr>
            <w:tcW w:w="2457" w:type="pct"/>
            <w:noWrap w:val="0"/>
            <w:vAlign w:val="center"/>
          </w:tcPr>
          <w:p>
            <w:pPr>
              <w:overflowPunct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pPr>
        <w:widowControl w:val="0"/>
        <w:bidi w:val="0"/>
        <w:spacing w:line="360" w:lineRule="auto"/>
        <w:jc w:val="left"/>
        <w:outlineLvl w:val="2"/>
        <w:rPr>
          <w:rFonts w:hint="default" w:ascii="Times New Roman" w:hAnsi="Times New Roman" w:eastAsia="宋体" w:cs="Times New Roman"/>
          <w:b/>
          <w:color w:val="auto"/>
          <w:kern w:val="0"/>
          <w:sz w:val="24"/>
          <w:szCs w:val="32"/>
          <w:u w:val="none" w:color="auto"/>
          <w:lang w:val="en-US" w:eastAsia="en-US" w:bidi="ar-SA"/>
        </w:rPr>
      </w:pPr>
      <w:r>
        <w:rPr>
          <w:rFonts w:hint="default" w:ascii="Times New Roman" w:hAnsi="Times New Roman" w:eastAsia="宋体" w:cs="Times New Roman"/>
          <w:b/>
          <w:color w:val="auto"/>
          <w:kern w:val="0"/>
          <w:sz w:val="24"/>
          <w:szCs w:val="32"/>
          <w:u w:val="none" w:color="auto"/>
          <w:lang w:val="en-US" w:eastAsia="zh-CN" w:bidi="ar-SA"/>
        </w:rPr>
        <w:t>5.3.2预测结果</w:t>
      </w:r>
    </w:p>
    <w:p>
      <w:pPr>
        <w:adjustRightInd/>
        <w:snapToGrid/>
        <w:spacing w:line="360" w:lineRule="auto"/>
        <w:ind w:firstLine="464"/>
        <w:rPr>
          <w:rFonts w:hint="default" w:ascii="Times New Roman" w:hAnsi="Times New Roman" w:eastAsia="宋体" w:cs="Times New Roman"/>
          <w:color w:val="auto"/>
          <w:sz w:val="24"/>
          <w:szCs w:val="24"/>
          <w:u w:val="none" w:color="auto"/>
          <w:lang w:val="en-US" w:eastAsia="en-US"/>
        </w:rPr>
      </w:pPr>
      <w:r>
        <w:rPr>
          <w:rFonts w:hint="default" w:ascii="Times New Roman" w:hAnsi="Times New Roman" w:eastAsia="宋体" w:cs="Times New Roman"/>
          <w:color w:val="auto"/>
          <w:sz w:val="24"/>
          <w:szCs w:val="24"/>
          <w:u w:val="none" w:color="auto"/>
          <w:lang w:val="en-US" w:eastAsia="en-US"/>
        </w:rPr>
        <w:t>预测结果详见下表。</w:t>
      </w:r>
    </w:p>
    <w:p>
      <w:pPr>
        <w:pStyle w:val="8"/>
        <w:keepNext/>
        <w:spacing w:line="240" w:lineRule="auto"/>
        <w:ind w:firstLine="482"/>
        <w:rPr>
          <w:rFonts w:hint="default" w:ascii="Times New Roman" w:hAnsi="Times New Roman" w:eastAsia="宋体" w:cs="Times New Roman"/>
          <w:b/>
          <w:bCs/>
          <w:color w:val="auto"/>
          <w:sz w:val="24"/>
          <w:szCs w:val="32"/>
        </w:rPr>
      </w:pPr>
      <w:bookmarkStart w:id="155" w:name="_Ref20242778"/>
      <w:bookmarkEnd w:id="155"/>
      <w:r>
        <w:rPr>
          <w:rFonts w:hint="default" w:ascii="Times New Roman" w:hAnsi="Times New Roman" w:eastAsia="宋体" w:cs="Times New Roman"/>
          <w:b/>
          <w:bCs/>
          <w:color w:val="auto"/>
          <w:sz w:val="24"/>
          <w:szCs w:val="32"/>
        </w:rPr>
        <w:t>表</w:t>
      </w:r>
      <w:r>
        <w:rPr>
          <w:rFonts w:hint="eastAsia" w:ascii="Times New Roman" w:hAnsi="Times New Roman" w:eastAsia="宋体" w:cs="Times New Roman"/>
          <w:b/>
          <w:bCs/>
          <w:color w:val="auto"/>
          <w:sz w:val="24"/>
          <w:szCs w:val="32"/>
          <w:lang w:val="en-US" w:eastAsia="zh-CN"/>
        </w:rPr>
        <w:t>5.3-2</w:t>
      </w:r>
      <w:r>
        <w:rPr>
          <w:rFonts w:hint="default" w:ascii="Times New Roman" w:hAnsi="Times New Roman" w:eastAsia="宋体" w:cs="Times New Roman"/>
          <w:b/>
          <w:bCs/>
          <w:color w:val="auto"/>
          <w:sz w:val="24"/>
          <w:szCs w:val="32"/>
          <w:lang w:eastAsia="zh-CN"/>
        </w:rPr>
        <w:t>废气事故排放</w:t>
      </w:r>
      <w:r>
        <w:rPr>
          <w:rFonts w:hint="default" w:ascii="Times New Roman" w:hAnsi="Times New Roman" w:eastAsia="宋体" w:cs="Times New Roman"/>
          <w:b/>
          <w:bCs/>
          <w:color w:val="auto"/>
          <w:sz w:val="24"/>
          <w:szCs w:val="32"/>
        </w:rPr>
        <w:t>估算模型计算结果表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5"/>
        <w:gridCol w:w="945"/>
        <w:gridCol w:w="2054"/>
        <w:gridCol w:w="2179"/>
        <w:gridCol w:w="1999"/>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预测因子</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最大预测浓度（mg/m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最大预测浓度占标率（%）</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最大预测浓度距离（m）</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D10%</w:t>
            </w:r>
            <w:r>
              <w:rPr>
                <w:rFonts w:hint="default" w:ascii="Times New Roman" w:hAnsi="Times New Roman" w:eastAsia="宋体" w:cs="Times New Roman"/>
                <w:color w:val="auto"/>
                <w:kern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酸雾废气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lang w:val="en-US" w:eastAsia="zh-CN" w:bidi="ar-SA"/>
              </w:rPr>
              <w:t>硫酸雾</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0.0</w:t>
            </w:r>
            <w:r>
              <w:rPr>
                <w:rFonts w:hint="eastAsia" w:cs="Times New Roman"/>
                <w:color w:val="auto"/>
                <w:kern w:val="0"/>
                <w:sz w:val="21"/>
                <w:szCs w:val="21"/>
                <w:lang w:val="en-US" w:eastAsia="zh-CN"/>
              </w:rPr>
              <w:t>3</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10.09</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配粉粉尘</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lang w:val="en-US" w:eastAsia="zh-CN" w:bidi="ar-SA"/>
              </w:rPr>
              <w:t>颗粒物</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r>
              <w:rPr>
                <w:rFonts w:hint="eastAsia" w:cs="Times New Roman"/>
                <w:color w:val="auto"/>
                <w:kern w:val="0"/>
                <w:sz w:val="21"/>
                <w:szCs w:val="21"/>
                <w:lang w:val="en-US" w:eastAsia="zh-CN"/>
              </w:rPr>
              <w:t>2</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22.42</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vMerge w:val="restart"/>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注塑废气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2"/>
                <w:sz w:val="21"/>
                <w:szCs w:val="21"/>
                <w:u w:val="none"/>
                <w:lang w:val="en-US" w:eastAsia="zh-CN" w:bidi="ar-SA"/>
              </w:rPr>
              <w:t>非甲烷总烃</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0.0279</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2.32</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97</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vMerge w:val="continue"/>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0" w:type="auto"/>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Cs w:val="21"/>
                <w:highlight w:val="none"/>
                <w:u w:val="none"/>
                <w:lang w:val="en-US" w:eastAsia="zh-CN"/>
              </w:rPr>
              <w:t>苯</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0.00576</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5.23</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97</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vMerge w:val="continue"/>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0" w:type="auto"/>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Cs w:val="21"/>
                <w:highlight w:val="none"/>
                <w:u w:val="none"/>
                <w:lang w:val="en-US" w:eastAsia="zh-CN"/>
              </w:rPr>
              <w:t>甲苯</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0.00294</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1.47</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97</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vMerge w:val="continue"/>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0" w:type="auto"/>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Cs w:val="21"/>
                <w:highlight w:val="none"/>
                <w:u w:val="none"/>
                <w:lang w:val="en-US" w:eastAsia="zh-CN"/>
              </w:rPr>
              <w:t>二甲苯</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0.0171</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8.55</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97</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vMerge w:val="continue"/>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0" w:type="auto"/>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Cs w:val="21"/>
                <w:highlight w:val="none"/>
                <w:u w:val="none"/>
                <w:lang w:val="en-US" w:eastAsia="zh-CN"/>
              </w:rPr>
              <w:t>乙苯</w:t>
            </w:r>
          </w:p>
        </w:tc>
        <w:tc>
          <w:tcPr>
            <w:tcW w:w="0" w:type="auto"/>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0" w:type="auto"/>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0" w:type="auto"/>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0" w:type="auto"/>
            <w:noWrap w:val="0"/>
            <w:vAlign w:val="center"/>
          </w:tcPr>
          <w:p>
            <w:pPr>
              <w:overflowPunct w:val="0"/>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0" w:type="auto"/>
            <w:vMerge w:val="continue"/>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p>
        </w:tc>
        <w:tc>
          <w:tcPr>
            <w:tcW w:w="0" w:type="auto"/>
            <w:noWrap w:val="0"/>
            <w:vAlign w:val="center"/>
          </w:tcPr>
          <w:p>
            <w:pPr>
              <w:adjustRightInd w:val="0"/>
              <w:snapToGrid w:val="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szCs w:val="21"/>
                <w:highlight w:val="none"/>
                <w:u w:val="none"/>
                <w:lang w:val="en-US" w:eastAsia="zh-CN"/>
              </w:rPr>
              <w:t>苯乙烯</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0.00098</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9.8</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97</w:t>
            </w:r>
          </w:p>
        </w:tc>
        <w:tc>
          <w:tcPr>
            <w:tcW w:w="0" w:type="auto"/>
            <w:noWrap w:val="0"/>
            <w:vAlign w:val="center"/>
          </w:tcPr>
          <w:p>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0</w:t>
            </w:r>
          </w:p>
        </w:tc>
      </w:tr>
    </w:tbl>
    <w:p>
      <w:pPr>
        <w:adjustRightInd/>
        <w:snapToGrid/>
        <w:spacing w:line="360" w:lineRule="auto"/>
        <w:ind w:firstLine="464"/>
        <w:rPr>
          <w:rFonts w:hint="default" w:ascii="Times New Roman" w:hAnsi="Times New Roman" w:eastAsia="宋体" w:cs="Times New Roman"/>
          <w:color w:val="auto"/>
          <w:sz w:val="24"/>
          <w:szCs w:val="24"/>
          <w:highlight w:val="none"/>
          <w:u w:val="none" w:color="auto"/>
          <w:lang w:val="en-US" w:eastAsia="en-US"/>
        </w:rPr>
      </w:pPr>
      <w:r>
        <w:rPr>
          <w:rFonts w:hint="default" w:ascii="Times New Roman" w:hAnsi="Times New Roman" w:eastAsia="宋体" w:cs="Times New Roman"/>
          <w:color w:val="auto"/>
          <w:sz w:val="24"/>
          <w:szCs w:val="24"/>
          <w:highlight w:val="none"/>
          <w:u w:val="none" w:color="auto"/>
          <w:lang w:val="en-US" w:eastAsia="en-US"/>
        </w:rPr>
        <w:t>经预测可知，下风向</w:t>
      </w:r>
      <w:r>
        <w:rPr>
          <w:rFonts w:hint="eastAsia" w:ascii="Times New Roman" w:hAnsi="Times New Roman" w:cs="Times New Roman"/>
          <w:color w:val="auto"/>
          <w:sz w:val="24"/>
          <w:szCs w:val="24"/>
          <w:highlight w:val="none"/>
          <w:u w:val="none" w:color="auto"/>
          <w:lang w:val="en-US" w:eastAsia="zh-CN"/>
        </w:rPr>
        <w:t>硫酸雾、</w:t>
      </w:r>
      <w:r>
        <w:rPr>
          <w:rFonts w:hint="eastAsia" w:ascii="Times New Roman" w:hAnsi="Times New Roman" w:cs="Times New Roman"/>
          <w:color w:val="auto"/>
          <w:sz w:val="24"/>
          <w:szCs w:val="24"/>
          <w:highlight w:val="none"/>
          <w:lang w:val="en-US" w:eastAsia="zh-CN"/>
        </w:rPr>
        <w:t>苯乙烯、</w:t>
      </w:r>
      <w:r>
        <w:rPr>
          <w:rFonts w:hint="eastAsia" w:ascii="Times New Roman" w:hAnsi="Times New Roman" w:cs="Times New Roman"/>
          <w:color w:val="auto"/>
          <w:kern w:val="0"/>
          <w:sz w:val="24"/>
          <w:szCs w:val="24"/>
          <w:highlight w:val="none"/>
          <w:u w:val="none"/>
          <w:lang w:val="zh-CN"/>
        </w:rPr>
        <w:t>氨、</w:t>
      </w:r>
      <w:r>
        <w:rPr>
          <w:rFonts w:hint="eastAsia" w:ascii="Times New Roman" w:hAnsi="Times New Roman" w:cs="Times New Roman"/>
          <w:color w:val="auto"/>
          <w:kern w:val="0"/>
          <w:sz w:val="24"/>
          <w:szCs w:val="24"/>
          <w:highlight w:val="none"/>
          <w:u w:val="none"/>
          <w:lang w:val="en-US" w:eastAsia="zh-CN"/>
        </w:rPr>
        <w:t>TVOC、</w:t>
      </w:r>
      <w:r>
        <w:rPr>
          <w:rFonts w:hint="eastAsia" w:ascii="Times New Roman" w:hAnsi="Times New Roman" w:cs="Times New Roman"/>
          <w:color w:val="auto"/>
          <w:kern w:val="2"/>
          <w:sz w:val="24"/>
          <w:szCs w:val="24"/>
          <w:highlight w:val="none"/>
          <w:u w:val="none" w:color="auto"/>
          <w:lang w:val="en-US" w:eastAsia="zh-CN" w:bidi="ar-SA"/>
        </w:rPr>
        <w:t>苯、甲苯、二甲苯</w:t>
      </w:r>
      <w:r>
        <w:rPr>
          <w:rFonts w:hint="default" w:ascii="Times New Roman" w:hAnsi="Times New Roman" w:eastAsia="宋体" w:cs="Times New Roman"/>
          <w:color w:val="auto"/>
          <w:sz w:val="24"/>
          <w:szCs w:val="24"/>
          <w:highlight w:val="none"/>
          <w:u w:val="none" w:color="auto"/>
          <w:lang w:val="en-US" w:eastAsia="en-US"/>
        </w:rPr>
        <w:t>预测浓度仍可达《环境影响评价技术导则大气环境》（HJ2.2-2018）附录D限值要求；下风向</w:t>
      </w:r>
      <w:r>
        <w:rPr>
          <w:rFonts w:hint="eastAsia" w:ascii="Times New Roman" w:hAnsi="Times New Roman" w:cs="Times New Roman"/>
          <w:color w:val="auto"/>
          <w:sz w:val="24"/>
          <w:szCs w:val="24"/>
          <w:highlight w:val="none"/>
          <w:u w:val="none" w:color="auto"/>
          <w:lang w:val="en-US" w:eastAsia="zh-CN"/>
        </w:rPr>
        <w:t>颗粒物</w:t>
      </w:r>
      <w:r>
        <w:rPr>
          <w:rFonts w:hint="default" w:ascii="Times New Roman" w:hAnsi="Times New Roman" w:eastAsia="宋体" w:cs="Times New Roman"/>
          <w:color w:val="auto"/>
          <w:sz w:val="24"/>
          <w:szCs w:val="24"/>
          <w:highlight w:val="none"/>
          <w:u w:val="none" w:color="auto"/>
          <w:lang w:val="en-US" w:eastAsia="en-US"/>
        </w:rPr>
        <w:t>预测浓度超过《环境空气质量标准》（GB3095-2012）二级标准，最远达标距离为250m。说明说明</w:t>
      </w:r>
      <w:r>
        <w:rPr>
          <w:rFonts w:hint="eastAsia" w:ascii="Times New Roman" w:hAnsi="Times New Roman" w:cs="Times New Roman"/>
          <w:color w:val="auto"/>
          <w:sz w:val="24"/>
          <w:szCs w:val="24"/>
          <w:highlight w:val="none"/>
          <w:u w:val="none" w:color="auto"/>
          <w:lang w:val="en-US" w:eastAsia="zh-CN"/>
        </w:rPr>
        <w:t>酸雾废气</w:t>
      </w:r>
      <w:r>
        <w:rPr>
          <w:rFonts w:hint="default" w:ascii="Times New Roman" w:hAnsi="Times New Roman" w:eastAsia="宋体" w:cs="Times New Roman"/>
          <w:color w:val="auto"/>
          <w:sz w:val="24"/>
          <w:szCs w:val="24"/>
          <w:highlight w:val="none"/>
          <w:u w:val="none" w:color="auto"/>
          <w:lang w:val="en-US" w:eastAsia="en-US"/>
        </w:rPr>
        <w:t>、</w:t>
      </w:r>
      <w:r>
        <w:rPr>
          <w:rFonts w:hint="eastAsia" w:ascii="Times New Roman" w:hAnsi="Times New Roman" w:cs="Times New Roman"/>
          <w:color w:val="auto"/>
          <w:sz w:val="24"/>
          <w:szCs w:val="24"/>
          <w:highlight w:val="none"/>
          <w:u w:val="none" w:color="auto"/>
          <w:lang w:val="en-US" w:eastAsia="zh-CN"/>
        </w:rPr>
        <w:t>粉尘</w:t>
      </w:r>
      <w:r>
        <w:rPr>
          <w:rFonts w:hint="default" w:ascii="Times New Roman" w:hAnsi="Times New Roman" w:eastAsia="宋体" w:cs="Times New Roman"/>
          <w:color w:val="auto"/>
          <w:sz w:val="24"/>
          <w:szCs w:val="24"/>
          <w:highlight w:val="none"/>
          <w:u w:val="none" w:color="auto"/>
          <w:lang w:val="en-US" w:eastAsia="en-US"/>
        </w:rPr>
        <w:t>事故排放对环境影响较小，废气事故排放对环境造成一定影响，将使区域PM</w:t>
      </w:r>
      <w:r>
        <w:rPr>
          <w:rFonts w:hint="default" w:ascii="Times New Roman" w:hAnsi="Times New Roman" w:eastAsia="宋体" w:cs="Times New Roman"/>
          <w:color w:val="auto"/>
          <w:sz w:val="24"/>
          <w:szCs w:val="24"/>
          <w:highlight w:val="none"/>
          <w:u w:val="none" w:color="auto"/>
          <w:vertAlign w:val="subscript"/>
          <w:lang w:val="en-US" w:eastAsia="en-US"/>
        </w:rPr>
        <w:t>10</w:t>
      </w:r>
      <w:r>
        <w:rPr>
          <w:rFonts w:hint="default" w:ascii="Times New Roman" w:hAnsi="Times New Roman" w:eastAsia="宋体" w:cs="Times New Roman"/>
          <w:color w:val="auto"/>
          <w:sz w:val="24"/>
          <w:szCs w:val="24"/>
          <w:highlight w:val="none"/>
          <w:u w:val="none" w:color="auto"/>
          <w:lang w:val="en-US" w:eastAsia="en-US"/>
        </w:rPr>
        <w:t>浓度超标。</w:t>
      </w:r>
    </w:p>
    <w:p>
      <w:pPr>
        <w:adjustRightInd/>
        <w:snapToGrid/>
        <w:spacing w:line="360" w:lineRule="auto"/>
        <w:ind w:firstLine="464"/>
        <w:rPr>
          <w:rFonts w:hint="default" w:ascii="Times New Roman" w:hAnsi="Times New Roman" w:eastAsia="宋体" w:cs="Times New Roman"/>
          <w:b/>
          <w:color w:val="auto"/>
          <w:kern w:val="2"/>
          <w:sz w:val="24"/>
          <w:szCs w:val="24"/>
          <w:highlight w:val="none"/>
          <w:u w:val="none" w:color="auto"/>
          <w:lang w:val="en-US" w:eastAsia="zh-CN" w:bidi="ar-SA"/>
        </w:rPr>
      </w:pPr>
      <w:r>
        <w:rPr>
          <w:rFonts w:hint="eastAsia" w:ascii="Times New Roman" w:hAnsi="Times New Roman" w:eastAsia="宋体" w:cs="Times New Roman"/>
          <w:b/>
          <w:color w:val="auto"/>
          <w:kern w:val="2"/>
          <w:sz w:val="24"/>
          <w:szCs w:val="24"/>
          <w:highlight w:val="none"/>
          <w:u w:val="none" w:color="auto"/>
          <w:lang w:val="en-US" w:eastAsia="zh-CN" w:bidi="ar-SA"/>
        </w:rPr>
        <w:t>5.</w:t>
      </w:r>
      <w:r>
        <w:rPr>
          <w:rFonts w:hint="eastAsia" w:ascii="Times New Roman" w:hAnsi="Times New Roman" w:cs="Times New Roman"/>
          <w:b/>
          <w:color w:val="auto"/>
          <w:kern w:val="2"/>
          <w:sz w:val="24"/>
          <w:szCs w:val="24"/>
          <w:highlight w:val="none"/>
          <w:u w:val="none" w:color="auto"/>
          <w:lang w:val="en-US" w:eastAsia="zh-CN" w:bidi="ar-SA"/>
        </w:rPr>
        <w:t>3</w:t>
      </w:r>
      <w:r>
        <w:rPr>
          <w:rFonts w:hint="eastAsia" w:ascii="Times New Roman" w:hAnsi="Times New Roman" w:eastAsia="宋体" w:cs="Times New Roman"/>
          <w:b/>
          <w:color w:val="auto"/>
          <w:kern w:val="2"/>
          <w:sz w:val="24"/>
          <w:szCs w:val="24"/>
          <w:highlight w:val="none"/>
          <w:u w:val="none" w:color="auto"/>
          <w:lang w:val="en-US" w:eastAsia="zh-CN" w:bidi="ar-SA"/>
        </w:rPr>
        <w:t>火灾爆炸引发的次生污染事故预测与评价</w:t>
      </w:r>
    </w:p>
    <w:p>
      <w:pPr>
        <w:adjustRightInd/>
        <w:snapToGrid/>
        <w:spacing w:line="360" w:lineRule="auto"/>
        <w:ind w:firstLine="464"/>
        <w:rPr>
          <w:rFonts w:hint="default" w:ascii="Times New Roman" w:hAnsi="Times New Roman" w:eastAsia="宋体" w:cs="Times New Roman"/>
          <w:color w:val="auto"/>
          <w:sz w:val="24"/>
          <w:szCs w:val="24"/>
          <w:u w:val="none" w:color="auto"/>
          <w:lang w:val="en-US" w:eastAsia="en-US"/>
        </w:rPr>
      </w:pPr>
      <w:r>
        <w:rPr>
          <w:rFonts w:hint="default" w:ascii="Times New Roman" w:hAnsi="Times New Roman" w:eastAsia="宋体" w:cs="Times New Roman"/>
          <w:color w:val="auto"/>
          <w:sz w:val="24"/>
          <w:szCs w:val="24"/>
          <w:u w:val="none" w:color="auto"/>
          <w:lang w:val="en-US" w:eastAsia="en-US"/>
        </w:rPr>
        <w:t>本次预测根据《环境影响评价技术导则大气环境》（HJ2.2-2018）AFTOX模型进行预测。气象参数选取最不利气象条件：F类稳定度，1.5m/s风速，温度25℃，相对湿度50%。</w:t>
      </w:r>
    </w:p>
    <w:p>
      <w:pPr>
        <w:adjustRightInd/>
        <w:snapToGrid/>
        <w:spacing w:line="360" w:lineRule="auto"/>
        <w:ind w:firstLine="464"/>
        <w:rPr>
          <w:rFonts w:hint="default" w:ascii="Times New Roman" w:hAnsi="Times New Roman" w:eastAsia="宋体" w:cs="Times New Roman"/>
          <w:color w:val="auto"/>
          <w:sz w:val="24"/>
          <w:szCs w:val="24"/>
          <w:u w:val="none" w:color="auto"/>
          <w:lang w:val="en-US" w:eastAsia="en-US"/>
        </w:rPr>
      </w:pPr>
      <w:r>
        <w:rPr>
          <w:rFonts w:hint="default" w:ascii="Times New Roman" w:hAnsi="Times New Roman" w:eastAsia="宋体" w:cs="Times New Roman"/>
          <w:color w:val="auto"/>
          <w:sz w:val="24"/>
          <w:szCs w:val="24"/>
          <w:u w:val="none" w:color="auto"/>
          <w:lang w:val="en-US" w:eastAsia="en-US"/>
        </w:rPr>
        <w:t>预测浓度到达毒性终点浓度最远影响距离预测结果详见</w:t>
      </w:r>
      <w:r>
        <w:rPr>
          <w:rFonts w:hint="eastAsia" w:ascii="Times New Roman" w:hAnsi="Times New Roman" w:eastAsia="宋体" w:cs="Times New Roman"/>
          <w:color w:val="auto"/>
          <w:sz w:val="24"/>
          <w:szCs w:val="24"/>
          <w:u w:val="none" w:color="auto"/>
          <w:lang w:val="en-US" w:eastAsia="zh-CN"/>
        </w:rPr>
        <w:t>表5.</w:t>
      </w:r>
      <w:r>
        <w:rPr>
          <w:rFonts w:hint="eastAsia"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val="en-US" w:eastAsia="zh-CN"/>
        </w:rPr>
        <w:t>-1。</w:t>
      </w:r>
    </w:p>
    <w:p>
      <w:pPr>
        <w:pStyle w:val="8"/>
        <w:keepNext/>
        <w:spacing w:line="240" w:lineRule="auto"/>
        <w:ind w:firstLine="482"/>
        <w:rPr>
          <w:rFonts w:hint="default" w:ascii="Times New Roman" w:hAnsi="Times New Roman" w:eastAsia="宋体" w:cs="Times New Roman"/>
          <w:b/>
          <w:bCs/>
          <w:color w:val="auto"/>
          <w:sz w:val="24"/>
          <w:szCs w:val="32"/>
          <w:highlight w:val="none"/>
        </w:rPr>
      </w:pPr>
      <w:bookmarkStart w:id="156" w:name="_Ref16266499"/>
      <w:r>
        <w:rPr>
          <w:rFonts w:hint="default" w:ascii="Times New Roman" w:hAnsi="Times New Roman" w:eastAsia="宋体" w:cs="Times New Roman"/>
          <w:b/>
          <w:bCs/>
          <w:color w:val="auto"/>
          <w:sz w:val="24"/>
          <w:szCs w:val="32"/>
          <w:highlight w:val="none"/>
        </w:rPr>
        <w:t>表</w:t>
      </w:r>
      <w:bookmarkEnd w:id="156"/>
      <w:r>
        <w:rPr>
          <w:rFonts w:hint="eastAsia" w:ascii="Times New Roman" w:hAnsi="Times New Roman" w:eastAsia="宋体" w:cs="Times New Roman"/>
          <w:b/>
          <w:bCs/>
          <w:color w:val="auto"/>
          <w:sz w:val="24"/>
          <w:szCs w:val="32"/>
          <w:highlight w:val="none"/>
          <w:lang w:val="en-US" w:eastAsia="zh-CN"/>
        </w:rPr>
        <w:t>5.</w:t>
      </w:r>
      <w:r>
        <w:rPr>
          <w:rFonts w:hint="eastAsia" w:ascii="Times New Roman" w:hAnsi="Times New Roman" w:cs="Times New Roman"/>
          <w:b/>
          <w:bCs/>
          <w:color w:val="auto"/>
          <w:sz w:val="24"/>
          <w:szCs w:val="32"/>
          <w:highlight w:val="none"/>
          <w:lang w:val="en-US" w:eastAsia="zh-CN"/>
        </w:rPr>
        <w:t>3</w:t>
      </w:r>
      <w:r>
        <w:rPr>
          <w:rFonts w:hint="eastAsia" w:ascii="Times New Roman" w:hAnsi="Times New Roman" w:eastAsia="宋体" w:cs="Times New Roman"/>
          <w:b/>
          <w:bCs/>
          <w:color w:val="auto"/>
          <w:sz w:val="24"/>
          <w:szCs w:val="32"/>
          <w:highlight w:val="none"/>
          <w:lang w:val="en-US" w:eastAsia="zh-CN"/>
        </w:rPr>
        <w:t>-1</w:t>
      </w:r>
      <w:r>
        <w:rPr>
          <w:rFonts w:hint="default" w:ascii="Times New Roman" w:hAnsi="Times New Roman" w:eastAsia="宋体" w:cs="Times New Roman"/>
          <w:b/>
          <w:bCs/>
          <w:color w:val="auto"/>
          <w:sz w:val="24"/>
          <w:szCs w:val="32"/>
          <w:highlight w:val="none"/>
        </w:rPr>
        <w:t>火灾爆炸CO影响预测结果表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731"/>
        <w:gridCol w:w="1966"/>
        <w:gridCol w:w="2084"/>
        <w:gridCol w:w="23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b/>
                <w:color w:val="auto"/>
                <w:sz w:val="21"/>
                <w:szCs w:val="21"/>
                <w:highlight w:val="none"/>
                <w:u w:val="none"/>
              </w:rPr>
              <w:t>情形</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b/>
                <w:color w:val="auto"/>
                <w:sz w:val="21"/>
                <w:szCs w:val="21"/>
                <w:highlight w:val="none"/>
                <w:u w:val="none"/>
              </w:rPr>
              <w:t>指标</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b/>
                <w:color w:val="auto"/>
                <w:sz w:val="21"/>
                <w:szCs w:val="21"/>
                <w:highlight w:val="none"/>
                <w:u w:val="none"/>
              </w:rPr>
              <w:t>浓度值（mg/m</w:t>
            </w:r>
            <w:r>
              <w:rPr>
                <w:rFonts w:hint="default" w:ascii="Times New Roman" w:hAnsi="Times New Roman" w:eastAsia="宋体" w:cs="Times New Roman"/>
                <w:b/>
                <w:color w:val="auto"/>
                <w:sz w:val="21"/>
                <w:szCs w:val="21"/>
                <w:highlight w:val="none"/>
                <w:u w:val="none"/>
                <w:vertAlign w:val="superscript"/>
              </w:rPr>
              <w:t>3</w:t>
            </w:r>
            <w:r>
              <w:rPr>
                <w:rFonts w:hint="default" w:ascii="Times New Roman" w:hAnsi="Times New Roman" w:eastAsia="宋体" w:cs="Times New Roman"/>
                <w:b/>
                <w:color w:val="auto"/>
                <w:sz w:val="21"/>
                <w:szCs w:val="21"/>
                <w:highlight w:val="none"/>
                <w:u w:val="none"/>
              </w:rPr>
              <w:t>）</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b/>
                <w:color w:val="auto"/>
                <w:sz w:val="21"/>
                <w:szCs w:val="21"/>
                <w:highlight w:val="none"/>
                <w:u w:val="single"/>
              </w:rPr>
            </w:pPr>
            <w:r>
              <w:rPr>
                <w:rFonts w:hint="default" w:ascii="Times New Roman" w:hAnsi="Times New Roman" w:eastAsia="宋体" w:cs="Times New Roman"/>
                <w:b/>
                <w:color w:val="auto"/>
                <w:sz w:val="21"/>
                <w:szCs w:val="21"/>
                <w:highlight w:val="none"/>
                <w:u w:val="single"/>
              </w:rPr>
              <w:t>最远影响距离（m）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火灾爆炸次生CO污染</w:t>
            </w: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毒性终点浓度-1</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380</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p>
        </w:tc>
        <w:tc>
          <w:tcPr>
            <w:tcW w:w="0" w:type="auto"/>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毒性终点浓度-2</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95</w:t>
            </w:r>
          </w:p>
        </w:tc>
        <w:tc>
          <w:tcPr>
            <w:tcW w:w="0" w:type="auto"/>
            <w:noWrap w:val="0"/>
            <w:tcMar>
              <w:top w:w="0" w:type="dxa"/>
              <w:left w:w="57" w:type="dxa"/>
              <w:bottom w:w="0" w:type="dxa"/>
              <w:right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170</w:t>
            </w:r>
          </w:p>
        </w:tc>
      </w:tr>
    </w:tbl>
    <w:p>
      <w:pPr>
        <w:pStyle w:val="12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color w:val="auto"/>
          <w:kern w:val="2"/>
          <w:sz w:val="24"/>
          <w:szCs w:val="24"/>
          <w:u w:val="single" w:color="auto"/>
          <w:lang w:val="en-US" w:eastAsia="en-US" w:bidi="ar-SA"/>
        </w:rPr>
      </w:pPr>
      <w:r>
        <w:rPr>
          <w:rFonts w:hint="default" w:ascii="Times New Roman" w:hAnsi="Times New Roman" w:eastAsia="宋体" w:cs="Times New Roman"/>
          <w:color w:val="auto"/>
          <w:kern w:val="2"/>
          <w:sz w:val="24"/>
          <w:szCs w:val="24"/>
          <w:u w:val="single" w:color="auto"/>
          <w:lang w:val="zh-CN" w:eastAsia="en-US" w:bidi="ar-SA"/>
        </w:rPr>
        <w:t>由预测结果可知，火灾爆炸时</w:t>
      </w:r>
      <w:r>
        <w:rPr>
          <w:rFonts w:hint="default" w:ascii="Times New Roman" w:hAnsi="Times New Roman" w:eastAsia="宋体" w:cs="Times New Roman"/>
          <w:color w:val="auto"/>
          <w:kern w:val="2"/>
          <w:sz w:val="24"/>
          <w:szCs w:val="24"/>
          <w:u w:val="single" w:color="auto"/>
          <w:lang w:val="en-US" w:eastAsia="en-US" w:bidi="ar-SA"/>
        </w:rPr>
        <w:t>不利</w:t>
      </w:r>
      <w:r>
        <w:rPr>
          <w:rFonts w:hint="default" w:ascii="Times New Roman" w:hAnsi="Times New Roman" w:eastAsia="宋体" w:cs="Times New Roman"/>
          <w:color w:val="auto"/>
          <w:kern w:val="2"/>
          <w:sz w:val="24"/>
          <w:szCs w:val="24"/>
          <w:u w:val="single" w:color="auto"/>
          <w:lang w:val="zh-CN" w:eastAsia="en-US" w:bidi="ar-SA"/>
        </w:rPr>
        <w:t>气象条件下（</w:t>
      </w:r>
      <w:r>
        <w:rPr>
          <w:rFonts w:hint="default" w:ascii="Times New Roman" w:hAnsi="Times New Roman" w:eastAsia="宋体" w:cs="Times New Roman"/>
          <w:color w:val="auto"/>
          <w:kern w:val="2"/>
          <w:sz w:val="24"/>
          <w:szCs w:val="24"/>
          <w:u w:val="single" w:color="auto"/>
          <w:lang w:val="en-US" w:eastAsia="en-US" w:bidi="ar-SA"/>
        </w:rPr>
        <w:t>F</w:t>
      </w:r>
      <w:r>
        <w:rPr>
          <w:rFonts w:hint="default" w:ascii="Times New Roman" w:hAnsi="Times New Roman" w:eastAsia="宋体" w:cs="Times New Roman"/>
          <w:color w:val="auto"/>
          <w:kern w:val="2"/>
          <w:sz w:val="24"/>
          <w:szCs w:val="24"/>
          <w:u w:val="single" w:color="auto"/>
          <w:lang w:val="zh-CN" w:eastAsia="en-US" w:bidi="ar-SA"/>
        </w:rPr>
        <w:t>，</w:t>
      </w:r>
      <w:r>
        <w:rPr>
          <w:rFonts w:hint="default" w:ascii="Times New Roman" w:hAnsi="Times New Roman" w:eastAsia="宋体" w:cs="Times New Roman"/>
          <w:color w:val="auto"/>
          <w:kern w:val="2"/>
          <w:sz w:val="24"/>
          <w:szCs w:val="24"/>
          <w:u w:val="single" w:color="auto"/>
          <w:lang w:val="en-US" w:eastAsia="en-US" w:bidi="ar-SA"/>
        </w:rPr>
        <w:t>1.5</w:t>
      </w:r>
      <w:r>
        <w:rPr>
          <w:rFonts w:hint="default" w:ascii="Times New Roman" w:hAnsi="Times New Roman" w:eastAsia="宋体" w:cs="Times New Roman"/>
          <w:color w:val="auto"/>
          <w:kern w:val="2"/>
          <w:sz w:val="24"/>
          <w:szCs w:val="24"/>
          <w:u w:val="single" w:color="auto"/>
          <w:lang w:val="zh-CN" w:eastAsia="en-US" w:bidi="ar-SA"/>
        </w:rPr>
        <w:t>m/s），</w:t>
      </w:r>
      <w:r>
        <w:rPr>
          <w:rFonts w:hint="default" w:ascii="Times New Roman" w:hAnsi="Times New Roman" w:eastAsia="宋体" w:cs="Times New Roman"/>
          <w:bCs/>
          <w:color w:val="auto"/>
          <w:kern w:val="0"/>
          <w:sz w:val="24"/>
          <w:szCs w:val="24"/>
          <w:highlight w:val="none"/>
          <w:u w:val="single" w:color="auto"/>
          <w:lang w:bidi="ar"/>
        </w:rPr>
        <w:t>毒性终点浓度-1级最大影响范围为</w:t>
      </w:r>
      <w:r>
        <w:rPr>
          <w:rFonts w:hint="eastAsia" w:cs="Times New Roman"/>
          <w:bCs/>
          <w:color w:val="auto"/>
          <w:kern w:val="0"/>
          <w:sz w:val="24"/>
          <w:szCs w:val="24"/>
          <w:highlight w:val="none"/>
          <w:u w:val="single" w:color="auto"/>
          <w:lang w:val="en-US" w:eastAsia="zh-CN" w:bidi="ar"/>
        </w:rPr>
        <w:t>60</w:t>
      </w:r>
      <w:r>
        <w:rPr>
          <w:rFonts w:hint="eastAsia" w:ascii="Times New Roman" w:hAnsi="Times New Roman" w:eastAsia="宋体" w:cs="Times New Roman"/>
          <w:bCs/>
          <w:color w:val="auto"/>
          <w:kern w:val="0"/>
          <w:sz w:val="24"/>
          <w:szCs w:val="24"/>
          <w:highlight w:val="none"/>
          <w:u w:val="single" w:color="auto"/>
          <w:lang w:val="en-US" w:eastAsia="zh-CN" w:bidi="ar"/>
        </w:rPr>
        <w:t>m</w:t>
      </w:r>
      <w:r>
        <w:rPr>
          <w:rFonts w:hint="default" w:ascii="Times New Roman" w:hAnsi="Times New Roman" w:eastAsia="宋体" w:cs="Times New Roman"/>
          <w:bCs/>
          <w:color w:val="auto"/>
          <w:kern w:val="0"/>
          <w:sz w:val="24"/>
          <w:szCs w:val="24"/>
          <w:highlight w:val="none"/>
          <w:u w:val="single" w:color="auto"/>
          <w:lang w:bidi="ar"/>
        </w:rPr>
        <w:t>，毒性终点浓度-2级的下风向最大影响范围为</w:t>
      </w:r>
      <w:r>
        <w:rPr>
          <w:rFonts w:hint="eastAsia" w:cs="Times New Roman"/>
          <w:bCs/>
          <w:color w:val="auto"/>
          <w:kern w:val="0"/>
          <w:sz w:val="24"/>
          <w:szCs w:val="24"/>
          <w:highlight w:val="none"/>
          <w:u w:val="single" w:color="auto"/>
          <w:lang w:val="en-US" w:eastAsia="zh-CN" w:bidi="ar"/>
        </w:rPr>
        <w:t>170</w:t>
      </w:r>
      <w:r>
        <w:rPr>
          <w:rFonts w:hint="default" w:ascii="Times New Roman" w:hAnsi="Times New Roman" w:eastAsia="宋体" w:cs="Times New Roman"/>
          <w:bCs/>
          <w:color w:val="auto"/>
          <w:kern w:val="0"/>
          <w:sz w:val="24"/>
          <w:szCs w:val="24"/>
          <w:highlight w:val="none"/>
          <w:u w:val="single" w:color="auto"/>
          <w:lang w:bidi="ar"/>
        </w:rPr>
        <w:t>m</w:t>
      </w:r>
      <w:r>
        <w:rPr>
          <w:rFonts w:hint="default" w:ascii="Times New Roman" w:hAnsi="Times New Roman" w:eastAsia="宋体" w:cs="Times New Roman"/>
          <w:color w:val="auto"/>
          <w:kern w:val="2"/>
          <w:sz w:val="24"/>
          <w:szCs w:val="24"/>
          <w:u w:val="single" w:color="auto"/>
          <w:lang w:val="zh-CN" w:eastAsia="en-US" w:bidi="ar-SA"/>
        </w:rPr>
        <w:t>，可能会对周边居民和厂区员工造成不可逆的伤害，相关人员应采取防护措施</w:t>
      </w:r>
      <w:r>
        <w:rPr>
          <w:rFonts w:hint="eastAsia" w:cs="Times New Roman"/>
          <w:color w:val="auto"/>
          <w:kern w:val="2"/>
          <w:sz w:val="24"/>
          <w:szCs w:val="24"/>
          <w:u w:val="single" w:color="auto"/>
          <w:lang w:val="zh-CN" w:eastAsia="en-US" w:bidi="ar-SA"/>
        </w:rPr>
        <w:t>，及时</w:t>
      </w:r>
      <w:r>
        <w:rPr>
          <w:rFonts w:hint="default" w:ascii="Times New Roman" w:hAnsi="Times New Roman" w:eastAsia="宋体" w:cs="Times New Roman"/>
          <w:color w:val="auto"/>
          <w:kern w:val="2"/>
          <w:sz w:val="24"/>
          <w:szCs w:val="24"/>
          <w:u w:val="single" w:color="auto"/>
          <w:lang w:val="zh-CN" w:eastAsia="en-US" w:bidi="ar-SA"/>
        </w:rPr>
        <w:t>进行疏散撤离。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u w:val="none" w:color="auto"/>
          <w:lang w:val="en-US" w:eastAsia="en-US" w:bidi="ar-SA"/>
        </w:rPr>
      </w:pPr>
      <w:r>
        <w:rPr>
          <w:rFonts w:hint="default" w:ascii="Times New Roman" w:hAnsi="Times New Roman" w:eastAsia="宋体" w:cs="Times New Roman"/>
          <w:color w:val="auto"/>
          <w:kern w:val="2"/>
          <w:sz w:val="24"/>
          <w:szCs w:val="24"/>
          <w:u w:val="none" w:color="auto"/>
          <w:lang w:val="en-US" w:eastAsia="en-US" w:bidi="ar-SA"/>
        </w:rPr>
        <w:t>（2）消防废水影响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rPr>
        <w:t>火灾爆炸事故除产生大气污染外，还会伴生危险废物泄漏及消防废水。</w:t>
      </w:r>
      <w:r>
        <w:rPr>
          <w:rFonts w:ascii="Times New Roman" w:hAnsi="Times New Roman" w:eastAsia="宋体" w:cs="Times New Roman"/>
          <w:color w:val="auto"/>
          <w:sz w:val="24"/>
          <w:szCs w:val="24"/>
          <w:u w:val="none" w:color="auto"/>
        </w:rPr>
        <w:t>消防废水主要污染因子为SS</w:t>
      </w:r>
      <w:r>
        <w:rPr>
          <w:rFonts w:hint="eastAsia" w:ascii="Times New Roman" w:hAnsi="Times New Roman" w:eastAsia="宋体" w:cs="Times New Roman"/>
          <w:color w:val="auto"/>
          <w:sz w:val="24"/>
          <w:szCs w:val="24"/>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本项目在发生泄露、火灾事故时，会产生泄露废液和消防废水，项目在</w:t>
      </w:r>
      <w:r>
        <w:rPr>
          <w:rFonts w:hint="eastAsia" w:ascii="Times New Roman" w:hAnsi="Times New Roman" w:cs="Times New Roman"/>
          <w:color w:val="auto"/>
          <w:sz w:val="24"/>
          <w:szCs w:val="24"/>
          <w:u w:val="none" w:color="auto"/>
          <w:lang w:eastAsia="zh-CN"/>
        </w:rPr>
        <w:t>污水处理设施旁</w:t>
      </w:r>
      <w:r>
        <w:rPr>
          <w:rFonts w:ascii="Times New Roman" w:hAnsi="Times New Roman" w:cs="Times New Roman"/>
          <w:color w:val="auto"/>
          <w:sz w:val="24"/>
          <w:szCs w:val="24"/>
          <w:u w:val="none" w:color="auto"/>
        </w:rPr>
        <w:t>设置一个</w:t>
      </w:r>
      <w:r>
        <w:rPr>
          <w:rFonts w:hint="eastAsia" w:ascii="Times New Roman" w:hAnsi="Times New Roman" w:cs="Times New Roman"/>
          <w:color w:val="auto"/>
          <w:sz w:val="24"/>
          <w:szCs w:val="24"/>
          <w:u w:val="none" w:color="auto"/>
        </w:rPr>
        <w:t>事故应急池</w:t>
      </w:r>
      <w:r>
        <w:rPr>
          <w:rFonts w:ascii="Times New Roman" w:hAnsi="Times New Roman" w:cs="Times New Roman"/>
          <w:color w:val="auto"/>
          <w:sz w:val="24"/>
          <w:szCs w:val="24"/>
          <w:u w:val="none" w:color="auto"/>
        </w:rPr>
        <w:t>，单个</w:t>
      </w:r>
      <w:r>
        <w:rPr>
          <w:rFonts w:hint="eastAsia" w:ascii="Times New Roman" w:hAnsi="Times New Roman" w:cs="Times New Roman"/>
          <w:color w:val="auto"/>
          <w:sz w:val="24"/>
          <w:szCs w:val="24"/>
          <w:u w:val="none" w:color="auto"/>
        </w:rPr>
        <w:t>事故应急池</w:t>
      </w:r>
      <w:r>
        <w:rPr>
          <w:rFonts w:ascii="Times New Roman" w:hAnsi="Times New Roman" w:cs="Times New Roman"/>
          <w:color w:val="auto"/>
          <w:sz w:val="24"/>
          <w:szCs w:val="24"/>
          <w:u w:val="none" w:color="auto"/>
        </w:rPr>
        <w:t>容积计算如下：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4"/>
          <w:szCs w:val="24"/>
          <w:u w:val="none" w:color="auto"/>
        </w:rPr>
      </w:pPr>
      <w:r>
        <w:rPr>
          <w:rFonts w:hint="default" w:ascii="Times New Roman" w:hAnsi="Times New Roman" w:eastAsia="宋体" w:cs="Times New Roman"/>
          <w:bCs/>
          <w:color w:val="auto"/>
          <w:kern w:val="0"/>
          <w:sz w:val="24"/>
          <w:highlight w:val="none"/>
          <w:u w:val="single"/>
          <w:lang w:val="en-US" w:eastAsia="zh-CN" w:bidi="ar"/>
        </w:rPr>
        <w:object>
          <v:shape id="_x0000_i1033" o:spt="75" type="#_x0000_t75" style="height:18pt;width:144pt;" o:ole="t" filled="f" o:preferrelative="t" stroked="f" coordsize="21600,21600">
            <v:path/>
            <v:fill on="f" focussize="0,0"/>
            <v:stroke on="f"/>
            <v:imagedata r:id="rId49" o:title=""/>
            <o:lock v:ext="edit" aspectratio="t"/>
            <w10:wrap type="none"/>
            <w10:anchorlock/>
          </v:shape>
          <o:OLEObject Type="Embed" ProgID="Equation.KSEE3" ShapeID="_x0000_i1033" DrawAspect="Content" ObjectID="_1468075733" r:id="rId4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式中：V1——收集系统范围内发生事故的罐组或装置的物料量</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；取</w:t>
      </w:r>
      <w:r>
        <w:rPr>
          <w:rFonts w:hint="eastAsia" w:ascii="Times New Roman" w:hAnsi="Times New Roman" w:cs="Times New Roman"/>
          <w:color w:val="auto"/>
          <w:sz w:val="24"/>
          <w:szCs w:val="24"/>
          <w:lang w:val="en-US" w:eastAsia="zh-CN"/>
        </w:rPr>
        <w:t>硫酸罐</w:t>
      </w:r>
      <w:r>
        <w:rPr>
          <w:rFonts w:hint="default" w:ascii="Times New Roman" w:hAnsi="Times New Roman" w:cs="Times New Roman"/>
          <w:color w:val="auto"/>
          <w:sz w:val="24"/>
          <w:szCs w:val="24"/>
          <w:lang w:val="en-US" w:eastAsia="zh-CN"/>
        </w:rPr>
        <w:t>物料量，为</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V2——发生事故的储罐或装置的消防水量，m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；消防废水产生量按一次最大量计。消火栓用水量按</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0L/s，火灾持续时间按最长</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h计，则一次灭火最大消防水量为</w:t>
      </w:r>
      <w:r>
        <w:rPr>
          <w:rFonts w:hint="eastAsia" w:ascii="Times New Roman" w:hAnsi="Times New Roman" w:cs="Times New Roman"/>
          <w:color w:val="auto"/>
          <w:sz w:val="24"/>
          <w:szCs w:val="24"/>
          <w:lang w:val="en-US" w:eastAsia="zh-CN"/>
        </w:rPr>
        <w:t>144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，废水产生系数按0.9计，则消防废水量为129.6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V2=</w:t>
      </w:r>
      <w:r>
        <w:rPr>
          <w:rFonts w:hint="eastAsia" w:ascii="Times New Roman" w:hAnsi="Times New Roman" w:cs="Times New Roman"/>
          <w:color w:val="auto"/>
          <w:sz w:val="24"/>
          <w:szCs w:val="24"/>
          <w:lang w:val="en-US" w:eastAsia="zh-CN"/>
        </w:rPr>
        <w:t>130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V3——发生事故时可以转输到其他储存或处理设施的物料量，m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；取</w:t>
      </w:r>
      <w:r>
        <w:rPr>
          <w:rFonts w:hint="eastAsia" w:ascii="Times New Roman" w:hAnsi="Times New Roman" w:cs="Times New Roman"/>
          <w:color w:val="auto"/>
          <w:sz w:val="24"/>
          <w:szCs w:val="24"/>
          <w:lang w:val="en-US" w:eastAsia="zh-CN"/>
        </w:rPr>
        <w:t>硫酸围堰25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V4——发生事故时仍必须进入该收集系统的生产废水量，m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；取</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sz w:val="24"/>
          <w:szCs w:val="24"/>
          <w:u w:val="none" w:color="auto"/>
          <w:lang w:val="en-US" w:eastAsia="zh-CN" w:bidi="ar-SA"/>
        </w:rPr>
      </w:pPr>
      <w:r>
        <w:rPr>
          <w:rFonts w:hint="default" w:ascii="Times New Roman" w:hAnsi="Times New Roman" w:cs="Times New Roman"/>
          <w:color w:val="auto"/>
          <w:sz w:val="24"/>
          <w:szCs w:val="24"/>
          <w:lang w:val="en-US" w:eastAsia="zh-CN"/>
        </w:rPr>
        <w:t>V5——发生事故时可能进入该收集系统的降雨量，m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；参照《石油化工企</w:t>
      </w:r>
      <w:r>
        <w:rPr>
          <w:rFonts w:hint="default" w:ascii="Times New Roman" w:hAnsi="Times New Roman" w:eastAsia="宋体" w:cs="Times New Roman"/>
          <w:color w:val="auto"/>
          <w:sz w:val="24"/>
          <w:szCs w:val="24"/>
          <w:u w:val="none" w:color="auto"/>
          <w:lang w:val="en-US" w:eastAsia="zh-CN" w:bidi="ar-SA"/>
        </w:rPr>
        <w:t>业给水排水系统设计规范》（SH3015-2003）5.3.4条规定：“一次降雨污染雨水总量宜按污染区面积与其15~30mm降水深度的乘积计算”，降水深度按15mm取值，本项目厂区汇水面积取</w:t>
      </w:r>
      <w:r>
        <w:rPr>
          <w:rFonts w:hint="eastAsia" w:ascii="Times New Roman" w:hAnsi="Times New Roman" w:cs="Times New Roman"/>
          <w:color w:val="auto"/>
          <w:sz w:val="24"/>
          <w:szCs w:val="24"/>
          <w:u w:val="none" w:color="auto"/>
          <w:lang w:val="en-US" w:eastAsia="zh-CN" w:bidi="ar-SA"/>
        </w:rPr>
        <w:t>1#生产厂房面积</w:t>
      </w:r>
      <w:r>
        <w:rPr>
          <w:rFonts w:hint="default" w:ascii="Times New Roman" w:hAnsi="Times New Roman" w:eastAsia="宋体" w:cs="Times New Roman"/>
          <w:color w:val="auto"/>
          <w:sz w:val="24"/>
          <w:szCs w:val="24"/>
          <w:u w:val="none" w:color="auto"/>
          <w:lang w:val="en-US" w:eastAsia="zh-CN" w:bidi="ar-SA"/>
        </w:rPr>
        <w:t>，约</w:t>
      </w:r>
      <w:r>
        <w:rPr>
          <w:rFonts w:hint="eastAsia" w:ascii="Times New Roman" w:hAnsi="Times New Roman" w:cs="Times New Roman"/>
          <w:color w:val="auto"/>
          <w:sz w:val="24"/>
          <w:szCs w:val="24"/>
          <w:u w:val="none" w:color="auto"/>
          <w:lang w:val="en-US" w:eastAsia="zh-CN" w:bidi="ar-SA"/>
        </w:rPr>
        <w:t>7507</w:t>
      </w:r>
      <w:r>
        <w:rPr>
          <w:rFonts w:hint="default" w:ascii="Times New Roman" w:hAnsi="Times New Roman" w:eastAsia="宋体" w:cs="Times New Roman"/>
          <w:color w:val="auto"/>
          <w:sz w:val="24"/>
          <w:szCs w:val="24"/>
          <w:u w:val="none" w:color="auto"/>
          <w:lang w:val="en-US" w:eastAsia="zh-CN" w:bidi="ar-SA"/>
        </w:rPr>
        <w:t>m</w:t>
      </w:r>
      <w:r>
        <w:rPr>
          <w:rFonts w:hint="default" w:ascii="Times New Roman" w:hAnsi="Times New Roman" w:eastAsia="宋体" w:cs="Times New Roman"/>
          <w:color w:val="auto"/>
          <w:sz w:val="24"/>
          <w:szCs w:val="24"/>
          <w:u w:val="none" w:color="auto"/>
          <w:vertAlign w:val="superscript"/>
          <w:lang w:val="en-US" w:eastAsia="zh-CN" w:bidi="ar-SA"/>
        </w:rPr>
        <w:t>2</w:t>
      </w:r>
      <w:r>
        <w:rPr>
          <w:rFonts w:hint="default" w:ascii="Times New Roman" w:hAnsi="Times New Roman" w:eastAsia="宋体" w:cs="Times New Roman"/>
          <w:color w:val="auto"/>
          <w:sz w:val="24"/>
          <w:szCs w:val="24"/>
          <w:u w:val="none" w:color="auto"/>
          <w:lang w:val="en-US" w:eastAsia="zh-CN" w:bidi="ar-SA"/>
        </w:rPr>
        <w:t>，</w:t>
      </w:r>
      <w:r>
        <w:rPr>
          <w:rFonts w:hint="eastAsia" w:ascii="Times New Roman" w:hAnsi="Times New Roman" w:cs="Times New Roman"/>
          <w:color w:val="auto"/>
          <w:sz w:val="24"/>
          <w:szCs w:val="24"/>
          <w:u w:val="none" w:color="auto"/>
          <w:lang w:val="en-US" w:eastAsia="zh-CN"/>
        </w:rPr>
        <w:t>则雨水量为V5=112</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color w:val="auto"/>
          <w:sz w:val="24"/>
          <w:szCs w:val="24"/>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bidi="ar-SA"/>
        </w:rPr>
        <w:t>V总=（V1+V2-V3）max+V4+V5=</w:t>
      </w:r>
      <w:r>
        <w:rPr>
          <w:rFonts w:hint="eastAsia" w:ascii="Times New Roman" w:hAnsi="Times New Roman" w:cs="Times New Roman"/>
          <w:color w:val="auto"/>
          <w:sz w:val="24"/>
          <w:szCs w:val="24"/>
          <w:u w:val="none" w:color="auto"/>
          <w:lang w:val="en-US" w:eastAsia="zh-CN" w:bidi="ar-SA"/>
        </w:rPr>
        <w:t>237</w:t>
      </w:r>
      <w:r>
        <w:rPr>
          <w:rFonts w:hint="default" w:ascii="Times New Roman" w:hAnsi="Times New Roman" w:eastAsia="宋体" w:cs="Times New Roman"/>
          <w:color w:val="auto"/>
          <w:sz w:val="24"/>
          <w:szCs w:val="24"/>
          <w:u w:val="none" w:color="auto"/>
          <w:lang w:val="en-US" w:eastAsia="zh-CN" w:bidi="ar-SA"/>
        </w:rPr>
        <w:t>m</w:t>
      </w:r>
      <w:r>
        <w:rPr>
          <w:rFonts w:hint="default" w:ascii="Times New Roman" w:hAnsi="Times New Roman" w:eastAsia="宋体" w:cs="Times New Roman"/>
          <w:color w:val="auto"/>
          <w:sz w:val="24"/>
          <w:szCs w:val="24"/>
          <w:u w:val="none" w:color="auto"/>
          <w:vertAlign w:val="superscript"/>
          <w:lang w:val="en-US" w:eastAsia="zh-CN" w:bidi="ar-SA"/>
        </w:rPr>
        <w:t>3</w:t>
      </w:r>
      <w:r>
        <w:rPr>
          <w:rFonts w:hint="default" w:ascii="Times New Roman" w:hAnsi="Times New Roman" w:eastAsia="宋体" w:cs="Times New Roman"/>
          <w:color w:val="auto"/>
          <w:sz w:val="24"/>
          <w:szCs w:val="24"/>
          <w:u w:val="none" w:color="auto"/>
          <w:lang w:val="en-US" w:eastAsia="zh-CN" w:bidi="ar-SA"/>
        </w:rPr>
        <w:t>，即项目事故发生时需设置有效容积为</w:t>
      </w:r>
      <w:r>
        <w:rPr>
          <w:rFonts w:hint="eastAsia" w:ascii="Times New Roman" w:hAnsi="Times New Roman" w:cs="Times New Roman"/>
          <w:color w:val="auto"/>
          <w:sz w:val="24"/>
          <w:szCs w:val="24"/>
          <w:u w:val="none" w:color="auto"/>
          <w:lang w:val="en-US" w:eastAsia="zh-CN" w:bidi="ar-SA"/>
        </w:rPr>
        <w:t>239</w:t>
      </w:r>
      <w:r>
        <w:rPr>
          <w:rFonts w:hint="default" w:ascii="Times New Roman" w:hAnsi="Times New Roman" w:eastAsia="宋体" w:cs="Times New Roman"/>
          <w:color w:val="auto"/>
          <w:sz w:val="24"/>
          <w:szCs w:val="24"/>
          <w:u w:val="none" w:color="auto"/>
          <w:lang w:val="en-US" w:eastAsia="zh-CN" w:bidi="ar-SA"/>
        </w:rPr>
        <w:t>m</w:t>
      </w:r>
      <w:r>
        <w:rPr>
          <w:rFonts w:hint="default" w:ascii="Times New Roman" w:hAnsi="Times New Roman" w:eastAsia="宋体" w:cs="Times New Roman"/>
          <w:color w:val="auto"/>
          <w:sz w:val="24"/>
          <w:szCs w:val="24"/>
          <w:u w:val="none" w:color="auto"/>
          <w:vertAlign w:val="superscript"/>
          <w:lang w:val="en-US" w:eastAsia="zh-CN" w:bidi="ar-SA"/>
        </w:rPr>
        <w:t>3</w:t>
      </w:r>
      <w:r>
        <w:rPr>
          <w:rFonts w:hint="default" w:ascii="Times New Roman" w:hAnsi="Times New Roman" w:eastAsia="宋体" w:cs="Times New Roman"/>
          <w:color w:val="auto"/>
          <w:sz w:val="24"/>
          <w:szCs w:val="24"/>
          <w:u w:val="none" w:color="auto"/>
          <w:lang w:val="en-US" w:eastAsia="zh-CN" w:bidi="ar-SA"/>
        </w:rPr>
        <w:t>的事故应急池</w:t>
      </w:r>
      <w:r>
        <w:rPr>
          <w:rFonts w:hint="default" w:ascii="Times New Roman" w:hAnsi="Times New Roman" w:cs="Times New Roman"/>
          <w:color w:val="auto"/>
          <w:sz w:val="24"/>
          <w:szCs w:val="24"/>
          <w:u w:val="none" w:color="auto"/>
          <w:lang w:val="en-US" w:eastAsia="zh-CN" w:bidi="ar-SA"/>
        </w:rPr>
        <w:t>，</w:t>
      </w:r>
      <w:r>
        <w:rPr>
          <w:rFonts w:hint="eastAsia" w:ascii="Times New Roman" w:hAnsi="Times New Roman" w:cs="Times New Roman"/>
          <w:color w:val="auto"/>
          <w:kern w:val="0"/>
          <w:sz w:val="24"/>
          <w:szCs w:val="24"/>
          <w:u w:val="none" w:color="auto"/>
          <w:lang w:val="en-US" w:eastAsia="zh-CN" w:bidi="ar-SA"/>
        </w:rPr>
        <w:t>项目</w:t>
      </w:r>
      <w:r>
        <w:rPr>
          <w:rFonts w:hint="eastAsia" w:ascii="Times New Roman" w:hAnsi="Times New Roman" w:eastAsia="宋体" w:cs="Times New Roman"/>
          <w:color w:val="auto"/>
          <w:kern w:val="0"/>
          <w:sz w:val="24"/>
          <w:szCs w:val="24"/>
          <w:u w:val="none" w:color="auto"/>
          <w:lang w:val="en-US" w:eastAsia="zh-CN" w:bidi="ar-SA"/>
        </w:rPr>
        <w:t>应急池有效容积为</w:t>
      </w:r>
      <w:r>
        <w:rPr>
          <w:rFonts w:hint="eastAsia" w:ascii="Times New Roman" w:hAnsi="Times New Roman" w:cs="Times New Roman"/>
          <w:color w:val="auto"/>
          <w:kern w:val="0"/>
          <w:sz w:val="24"/>
          <w:szCs w:val="24"/>
          <w:u w:val="none" w:color="auto"/>
          <w:lang w:val="en-US" w:eastAsia="zh-CN" w:bidi="ar-SA"/>
        </w:rPr>
        <w:t>300</w:t>
      </w:r>
      <w:r>
        <w:rPr>
          <w:rFonts w:hint="eastAsia" w:ascii="Times New Roman" w:hAnsi="Times New Roman" w:eastAsia="宋体" w:cs="Times New Roman"/>
          <w:color w:val="auto"/>
          <w:kern w:val="0"/>
          <w:sz w:val="24"/>
          <w:szCs w:val="24"/>
          <w:u w:val="none" w:color="auto"/>
          <w:lang w:val="en-US" w:eastAsia="zh-CN" w:bidi="ar-SA"/>
        </w:rPr>
        <w:t>m</w:t>
      </w:r>
      <w:r>
        <w:rPr>
          <w:rFonts w:ascii="Times New Roman" w:hAnsi="Times New Roman" w:eastAsia="宋体" w:cs="Times New Roman"/>
          <w:color w:val="auto"/>
          <w:kern w:val="0"/>
          <w:sz w:val="24"/>
          <w:szCs w:val="24"/>
          <w:u w:val="none" w:color="auto"/>
          <w:vertAlign w:val="superscript"/>
          <w:lang w:val="en-US" w:eastAsia="zh-CN" w:bidi="ar-SA"/>
        </w:rPr>
        <w:t>3</w:t>
      </w:r>
      <w:r>
        <w:rPr>
          <w:rFonts w:hint="eastAsia" w:ascii="Times New Roman" w:hAnsi="Times New Roman" w:eastAsia="宋体" w:cs="Times New Roman"/>
          <w:color w:val="auto"/>
          <w:kern w:val="0"/>
          <w:sz w:val="24"/>
          <w:szCs w:val="24"/>
          <w:u w:val="none" w:color="auto"/>
          <w:lang w:val="en-US" w:eastAsia="zh-CN" w:bidi="ar-SA"/>
        </w:rPr>
        <w:t>，符合设计要求</w:t>
      </w:r>
      <w:r>
        <w:rPr>
          <w:rFonts w:ascii="Times New Roman" w:hAnsi="Times New Roman" w:eastAsia="宋体" w:cs="Times New Roman"/>
          <w:color w:val="auto"/>
          <w:sz w:val="24"/>
          <w:szCs w:val="24"/>
          <w:u w:val="none" w:color="auto"/>
        </w:rPr>
        <w:t>，可以满足</w:t>
      </w:r>
      <w:r>
        <w:rPr>
          <w:rFonts w:hint="eastAsia" w:ascii="Times New Roman" w:hAnsi="Times New Roman" w:eastAsia="宋体" w:cs="Times New Roman"/>
          <w:color w:val="auto"/>
          <w:sz w:val="24"/>
          <w:szCs w:val="24"/>
          <w:u w:val="none" w:color="auto"/>
        </w:rPr>
        <w:t>该区域</w:t>
      </w:r>
      <w:r>
        <w:rPr>
          <w:rFonts w:ascii="Times New Roman" w:hAnsi="Times New Roman" w:eastAsia="宋体" w:cs="Times New Roman"/>
          <w:color w:val="auto"/>
          <w:sz w:val="24"/>
          <w:szCs w:val="24"/>
          <w:u w:val="none" w:color="auto"/>
        </w:rPr>
        <w:t>事故存放废水的需要。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2"/>
          <w:sz w:val="24"/>
          <w:szCs w:val="24"/>
          <w:u w:val="none" w:color="auto"/>
          <w:lang w:val="en-US" w:eastAsia="zh-CN" w:bidi="ar-SA"/>
        </w:rPr>
      </w:pPr>
      <w:r>
        <w:rPr>
          <w:rFonts w:hint="eastAsia" w:ascii="Times New Roman" w:hAnsi="Times New Roman" w:cs="Times New Roman"/>
          <w:color w:val="auto"/>
          <w:kern w:val="2"/>
          <w:sz w:val="24"/>
          <w:szCs w:val="24"/>
          <w:highlight w:val="none"/>
          <w:u w:val="none" w:color="auto"/>
          <w:lang w:val="en-US" w:eastAsia="zh-CN" w:bidi="ar-SA"/>
        </w:rPr>
        <w:t>厂区废水处理设施东侧</w:t>
      </w:r>
      <w:r>
        <w:rPr>
          <w:rFonts w:hint="eastAsia" w:ascii="Times New Roman" w:hAnsi="Times New Roman" w:eastAsia="宋体" w:cs="Times New Roman"/>
          <w:color w:val="auto"/>
          <w:kern w:val="2"/>
          <w:sz w:val="24"/>
          <w:szCs w:val="24"/>
          <w:highlight w:val="none"/>
          <w:u w:val="none" w:color="auto"/>
          <w:lang w:val="en-US" w:eastAsia="zh-CN" w:bidi="ar-SA"/>
        </w:rPr>
        <w:t>建设有</w:t>
      </w:r>
      <w:r>
        <w:rPr>
          <w:rFonts w:hint="eastAsia" w:ascii="Times New Roman" w:hAnsi="Times New Roman" w:cs="Times New Roman"/>
          <w:color w:val="auto"/>
          <w:kern w:val="2"/>
          <w:sz w:val="24"/>
          <w:szCs w:val="24"/>
          <w:highlight w:val="none"/>
          <w:u w:val="none" w:color="auto"/>
          <w:lang w:val="en-US" w:eastAsia="zh-CN" w:bidi="ar-SA"/>
        </w:rPr>
        <w:t>300</w:t>
      </w:r>
      <w:r>
        <w:rPr>
          <w:rFonts w:hint="eastAsia" w:ascii="Times New Roman" w:hAnsi="Times New Roman" w:eastAsia="宋体" w:cs="Times New Roman"/>
          <w:color w:val="auto"/>
          <w:kern w:val="2"/>
          <w:sz w:val="24"/>
          <w:szCs w:val="24"/>
          <w:highlight w:val="none"/>
          <w:u w:val="none" w:color="auto"/>
          <w:lang w:val="en-US" w:eastAsia="zh-CN" w:bidi="ar-SA"/>
        </w:rPr>
        <w:t>m³的应急水池，事故废水</w:t>
      </w:r>
      <w:r>
        <w:rPr>
          <w:rFonts w:ascii="Times New Roman" w:hAnsi="Times New Roman" w:eastAsia="宋体" w:cs="Times New Roman"/>
          <w:color w:val="auto"/>
          <w:kern w:val="2"/>
          <w:sz w:val="24"/>
          <w:szCs w:val="24"/>
          <w:highlight w:val="none"/>
          <w:u w:val="none" w:color="auto"/>
          <w:lang w:val="en-US" w:eastAsia="zh-CN" w:bidi="ar-SA"/>
        </w:rPr>
        <w:t>能够全部进入</w:t>
      </w:r>
      <w:r>
        <w:rPr>
          <w:rFonts w:hint="eastAsia" w:ascii="Times New Roman" w:hAnsi="Times New Roman" w:eastAsia="宋体" w:cs="Times New Roman"/>
          <w:color w:val="auto"/>
          <w:kern w:val="2"/>
          <w:sz w:val="24"/>
          <w:szCs w:val="24"/>
          <w:highlight w:val="none"/>
          <w:u w:val="none" w:color="auto"/>
          <w:lang w:val="en-US" w:eastAsia="zh-CN" w:bidi="ar-SA"/>
        </w:rPr>
        <w:t>应急池</w:t>
      </w:r>
      <w:r>
        <w:rPr>
          <w:rFonts w:ascii="Times New Roman" w:hAnsi="Times New Roman" w:eastAsia="宋体" w:cs="Times New Roman"/>
          <w:color w:val="auto"/>
          <w:kern w:val="2"/>
          <w:sz w:val="24"/>
          <w:szCs w:val="24"/>
          <w:highlight w:val="none"/>
          <w:u w:val="none" w:color="auto"/>
          <w:lang w:val="en-US" w:eastAsia="zh-CN" w:bidi="ar-SA"/>
        </w:rPr>
        <w:t>，一般影响在厂区范围以内，不会排出厂外。消防</w:t>
      </w:r>
      <w:r>
        <w:rPr>
          <w:rFonts w:ascii="Times New Roman" w:hAnsi="Times New Roman" w:eastAsia="宋体" w:cs="Times New Roman"/>
          <w:color w:val="auto"/>
          <w:kern w:val="2"/>
          <w:sz w:val="24"/>
          <w:szCs w:val="24"/>
          <w:u w:val="none" w:color="auto"/>
          <w:lang w:val="en-US" w:eastAsia="zh-CN" w:bidi="ar-SA"/>
        </w:rPr>
        <w:t>废水经收集</w:t>
      </w:r>
      <w:r>
        <w:rPr>
          <w:rFonts w:hint="eastAsia" w:ascii="Times New Roman" w:hAnsi="Times New Roman" w:cs="Times New Roman"/>
          <w:color w:val="auto"/>
          <w:kern w:val="2"/>
          <w:sz w:val="24"/>
          <w:szCs w:val="24"/>
          <w:u w:val="none" w:color="auto"/>
          <w:lang w:val="en-US" w:eastAsia="zh-CN" w:bidi="ar-SA"/>
        </w:rPr>
        <w:t>进废水处理设施处理达标后排湘阴县第三污水处理厂</w:t>
      </w:r>
      <w:r>
        <w:rPr>
          <w:rFonts w:ascii="Times New Roman" w:hAnsi="Times New Roman" w:eastAsia="宋体" w:cs="Times New Roman"/>
          <w:color w:val="auto"/>
          <w:kern w:val="2"/>
          <w:sz w:val="24"/>
          <w:szCs w:val="24"/>
          <w:u w:val="none" w:color="auto"/>
          <w:lang w:val="en-US" w:eastAsia="zh-CN" w:bidi="ar-SA"/>
        </w:rPr>
        <w:t>。由于消防水不直接排入地表水，不会发生有害物质随大量的废水流出厂区进入地表水环境造成河流污染事故。</w:t>
      </w:r>
    </w:p>
    <w:p>
      <w:pP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br w:type="page"/>
      </w:r>
    </w:p>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u w:val="none" w:color="auto"/>
          <w:lang w:val="zh-CN" w:eastAsia="zh-CN" w:bidi="ar-SA"/>
        </w:rPr>
      </w:pPr>
      <w:bookmarkStart w:id="157" w:name="_Toc31668"/>
      <w:bookmarkStart w:id="158" w:name="_Toc28579"/>
      <w:bookmarkStart w:id="159" w:name="_Toc28534"/>
      <w:r>
        <w:rPr>
          <w:rFonts w:hint="default" w:ascii="Times New Roman" w:hAnsi="Times New Roman" w:eastAsia="宋体" w:cs="Times New Roman"/>
          <w:b/>
          <w:bCs/>
          <w:color w:val="auto"/>
          <w:kern w:val="44"/>
          <w:sz w:val="36"/>
          <w:szCs w:val="44"/>
          <w:u w:val="none" w:color="auto"/>
          <w:lang w:val="zh-CN" w:eastAsia="zh-CN" w:bidi="ar-SA"/>
        </w:rPr>
        <w:t>风险管理</w:t>
      </w:r>
      <w:bookmarkEnd w:id="157"/>
      <w:bookmarkEnd w:id="158"/>
      <w:bookmarkEnd w:id="159"/>
    </w:p>
    <w:p>
      <w:pPr>
        <w:widowControl w:val="0"/>
        <w:spacing w:line="360" w:lineRule="auto"/>
        <w:jc w:val="left"/>
        <w:outlineLvl w:val="2"/>
        <w:rPr>
          <w:rFonts w:hint="default" w:ascii="Times New Roman" w:hAnsi="Times New Roman" w:eastAsia="宋体" w:cs="Times New Roman"/>
          <w:b/>
          <w:color w:val="auto"/>
          <w:kern w:val="0"/>
          <w:sz w:val="24"/>
          <w:szCs w:val="24"/>
          <w:highlight w:val="none"/>
          <w:u w:val="none" w:color="auto"/>
          <w:lang w:val="zh-CN" w:eastAsia="zh-CN" w:bidi="ar-SA"/>
        </w:rPr>
      </w:pPr>
      <w:bookmarkStart w:id="160" w:name="6.8.1_大气环境风险防范措施"/>
      <w:bookmarkEnd w:id="160"/>
      <w:r>
        <w:rPr>
          <w:rFonts w:hint="default" w:ascii="Times New Roman" w:hAnsi="Times New Roman" w:eastAsia="宋体" w:cs="Times New Roman"/>
          <w:b/>
          <w:color w:val="auto"/>
          <w:kern w:val="0"/>
          <w:sz w:val="24"/>
          <w:szCs w:val="24"/>
          <w:highlight w:val="none"/>
          <w:u w:val="none" w:color="auto"/>
          <w:lang w:val="en-US" w:eastAsia="zh-CN" w:bidi="ar-SA"/>
        </w:rPr>
        <w:t>6.1</w:t>
      </w:r>
      <w:r>
        <w:rPr>
          <w:rFonts w:hint="default" w:ascii="Times New Roman" w:hAnsi="Times New Roman" w:eastAsia="宋体" w:cs="Times New Roman"/>
          <w:b/>
          <w:color w:val="auto"/>
          <w:kern w:val="0"/>
          <w:sz w:val="24"/>
          <w:szCs w:val="24"/>
          <w:highlight w:val="none"/>
          <w:u w:val="none" w:color="auto"/>
          <w:lang w:val="zh-CN" w:eastAsia="zh-CN" w:bidi="ar-SA"/>
        </w:rPr>
        <w:t>大气环境风险防范措施</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rPr>
      </w:pPr>
      <w:r>
        <w:rPr>
          <w:rFonts w:hint="default" w:ascii="Times New Roman" w:hAnsi="Times New Roman" w:eastAsia="宋体" w:cs="Times New Roman"/>
          <w:color w:val="auto"/>
          <w:kern w:val="0"/>
          <w:sz w:val="24"/>
          <w:szCs w:val="24"/>
          <w:highlight w:val="none"/>
          <w:u w:val="single" w:color="auto"/>
          <w:lang w:val="zh-CN"/>
        </w:rPr>
        <w:t>（</w:t>
      </w:r>
      <w:r>
        <w:rPr>
          <w:rFonts w:hint="default" w:ascii="Times New Roman" w:hAnsi="Times New Roman" w:eastAsia="宋体" w:cs="Times New Roman"/>
          <w:color w:val="auto"/>
          <w:kern w:val="0"/>
          <w:sz w:val="24"/>
          <w:szCs w:val="24"/>
          <w:highlight w:val="none"/>
          <w:u w:val="single" w:color="auto"/>
        </w:rPr>
        <w:t>1</w:t>
      </w:r>
      <w:r>
        <w:rPr>
          <w:rFonts w:hint="default" w:ascii="Times New Roman" w:hAnsi="Times New Roman" w:eastAsia="宋体" w:cs="Times New Roman"/>
          <w:color w:val="auto"/>
          <w:kern w:val="0"/>
          <w:sz w:val="24"/>
          <w:szCs w:val="24"/>
          <w:highlight w:val="none"/>
          <w:u w:val="single" w:color="auto"/>
          <w:lang w:val="zh-CN"/>
        </w:rPr>
        <w:t>）</w:t>
      </w:r>
      <w:r>
        <w:rPr>
          <w:rFonts w:hint="eastAsia" w:ascii="Times New Roman" w:hAnsi="Times New Roman" w:cs="Times New Roman"/>
          <w:color w:val="auto"/>
          <w:kern w:val="0"/>
          <w:sz w:val="24"/>
          <w:szCs w:val="24"/>
          <w:highlight w:val="none"/>
          <w:u w:val="single" w:color="auto"/>
          <w:lang w:val="zh-CN"/>
        </w:rPr>
        <w:t>车间内</w:t>
      </w:r>
      <w:r>
        <w:rPr>
          <w:rFonts w:hint="default" w:ascii="Times New Roman" w:hAnsi="Times New Roman" w:eastAsia="宋体" w:cs="Times New Roman"/>
          <w:color w:val="auto"/>
          <w:kern w:val="0"/>
          <w:sz w:val="24"/>
          <w:szCs w:val="24"/>
          <w:highlight w:val="none"/>
          <w:u w:val="single" w:color="auto"/>
          <w:lang w:val="zh-CN"/>
        </w:rPr>
        <w:t>设置消防砂、石灰粉等应急吸附物质，能对泄漏物进行有效覆盖与吸附，减缓泄漏物的挥发；</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rPr>
      </w:pPr>
      <w:r>
        <w:rPr>
          <w:rFonts w:hint="default" w:ascii="Times New Roman" w:hAnsi="Times New Roman" w:eastAsia="宋体" w:cs="Times New Roman"/>
          <w:color w:val="auto"/>
          <w:kern w:val="0"/>
          <w:sz w:val="24"/>
          <w:szCs w:val="24"/>
          <w:highlight w:val="none"/>
          <w:u w:val="single" w:color="auto"/>
          <w:lang w:val="zh-CN"/>
        </w:rPr>
        <w:t>（</w:t>
      </w:r>
      <w:r>
        <w:rPr>
          <w:rFonts w:hint="default" w:ascii="Times New Roman" w:hAnsi="Times New Roman" w:eastAsia="宋体" w:cs="Times New Roman"/>
          <w:color w:val="auto"/>
          <w:kern w:val="0"/>
          <w:sz w:val="24"/>
          <w:szCs w:val="24"/>
          <w:highlight w:val="none"/>
          <w:u w:val="single" w:color="auto"/>
        </w:rPr>
        <w:t>2</w:t>
      </w:r>
      <w:r>
        <w:rPr>
          <w:rFonts w:hint="default" w:ascii="Times New Roman" w:hAnsi="Times New Roman" w:eastAsia="宋体" w:cs="Times New Roman"/>
          <w:color w:val="auto"/>
          <w:kern w:val="0"/>
          <w:sz w:val="24"/>
          <w:szCs w:val="24"/>
          <w:highlight w:val="none"/>
          <w:u w:val="single" w:color="auto"/>
          <w:lang w:val="zh-CN"/>
        </w:rPr>
        <w:t>）</w:t>
      </w:r>
      <w:r>
        <w:rPr>
          <w:rFonts w:hint="eastAsia" w:ascii="Times New Roman" w:hAnsi="Times New Roman" w:cs="Times New Roman"/>
          <w:color w:val="auto"/>
          <w:kern w:val="0"/>
          <w:sz w:val="24"/>
          <w:szCs w:val="24"/>
          <w:highlight w:val="none"/>
          <w:u w:val="single" w:color="auto"/>
          <w:lang w:val="zh-CN"/>
        </w:rPr>
        <w:t>硫酸罐处</w:t>
      </w:r>
      <w:r>
        <w:rPr>
          <w:rFonts w:hint="default" w:ascii="Times New Roman" w:hAnsi="Times New Roman" w:eastAsia="宋体" w:cs="Times New Roman"/>
          <w:color w:val="auto"/>
          <w:kern w:val="0"/>
          <w:sz w:val="24"/>
          <w:szCs w:val="24"/>
          <w:highlight w:val="none"/>
          <w:u w:val="single" w:color="auto"/>
          <w:lang w:val="zh-CN"/>
        </w:rPr>
        <w:t>设置</w:t>
      </w:r>
      <w:r>
        <w:rPr>
          <w:rFonts w:hint="default" w:ascii="Times New Roman" w:hAnsi="Times New Roman" w:eastAsia="宋体" w:cs="Times New Roman"/>
          <w:bCs/>
          <w:color w:val="auto"/>
          <w:kern w:val="0"/>
          <w:sz w:val="24"/>
          <w:highlight w:val="none"/>
          <w:u w:val="single" w:color="auto"/>
          <w:lang w:val="en-US" w:eastAsia="zh-CN" w:bidi="ar"/>
        </w:rPr>
        <w:t>温度显示报警仪</w:t>
      </w:r>
      <w:r>
        <w:rPr>
          <w:rFonts w:hint="default" w:ascii="Times New Roman" w:hAnsi="Times New Roman" w:eastAsia="宋体" w:cs="Times New Roman"/>
          <w:color w:val="auto"/>
          <w:kern w:val="0"/>
          <w:sz w:val="24"/>
          <w:szCs w:val="24"/>
          <w:highlight w:val="none"/>
          <w:u w:val="single" w:color="auto"/>
          <w:lang w:val="zh-CN"/>
        </w:rPr>
        <w:t>等，可快速发现原辅材料泄漏事故；</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rPr>
      </w:pPr>
      <w:r>
        <w:rPr>
          <w:rFonts w:hint="default" w:ascii="Times New Roman" w:hAnsi="Times New Roman" w:eastAsia="宋体" w:cs="Times New Roman"/>
          <w:color w:val="auto"/>
          <w:kern w:val="0"/>
          <w:sz w:val="24"/>
          <w:szCs w:val="24"/>
          <w:highlight w:val="none"/>
          <w:u w:val="single" w:color="auto"/>
          <w:lang w:val="zh-CN"/>
        </w:rPr>
        <w:t>（</w:t>
      </w:r>
      <w:r>
        <w:rPr>
          <w:rFonts w:hint="default" w:ascii="Times New Roman" w:hAnsi="Times New Roman" w:eastAsia="宋体" w:cs="Times New Roman"/>
          <w:color w:val="auto"/>
          <w:kern w:val="0"/>
          <w:sz w:val="24"/>
          <w:szCs w:val="24"/>
          <w:highlight w:val="none"/>
          <w:u w:val="single" w:color="auto"/>
        </w:rPr>
        <w:t>3</w:t>
      </w:r>
      <w:r>
        <w:rPr>
          <w:rFonts w:hint="default" w:ascii="Times New Roman" w:hAnsi="Times New Roman" w:eastAsia="宋体" w:cs="Times New Roman"/>
          <w:color w:val="auto"/>
          <w:kern w:val="0"/>
          <w:sz w:val="24"/>
          <w:szCs w:val="24"/>
          <w:highlight w:val="none"/>
          <w:u w:val="single" w:color="auto"/>
          <w:lang w:val="zh-CN"/>
        </w:rPr>
        <w:t>）项目加强废气处理设备的维护和管理，确保污染物达标排放，严防废气事故排放的发生。</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eastAsia="zh-CN"/>
        </w:rPr>
      </w:pPr>
      <w:r>
        <w:rPr>
          <w:rFonts w:hint="default" w:ascii="Times New Roman" w:hAnsi="Times New Roman" w:cs="Times New Roman"/>
          <w:color w:val="auto"/>
          <w:kern w:val="0"/>
          <w:sz w:val="24"/>
          <w:szCs w:val="24"/>
          <w:highlight w:val="none"/>
          <w:u w:val="single" w:color="auto"/>
          <w:lang w:val="zh-CN"/>
        </w:rPr>
        <w:t>（</w:t>
      </w:r>
      <w:r>
        <w:rPr>
          <w:rFonts w:hint="default" w:ascii="Times New Roman" w:hAnsi="Times New Roman" w:cs="Times New Roman"/>
          <w:color w:val="auto"/>
          <w:kern w:val="0"/>
          <w:sz w:val="24"/>
          <w:szCs w:val="24"/>
          <w:highlight w:val="none"/>
          <w:u w:val="single" w:color="auto"/>
          <w:lang w:val="en-US" w:eastAsia="zh-CN"/>
        </w:rPr>
        <w:t>4</w:t>
      </w:r>
      <w:r>
        <w:rPr>
          <w:rFonts w:hint="default" w:ascii="Times New Roman" w:hAnsi="Times New Roman" w:cs="Times New Roman"/>
          <w:color w:val="auto"/>
          <w:kern w:val="0"/>
          <w:sz w:val="24"/>
          <w:szCs w:val="24"/>
          <w:highlight w:val="none"/>
          <w:u w:val="single" w:color="auto"/>
          <w:lang w:val="zh-CN"/>
        </w:rPr>
        <w:t>）</w:t>
      </w:r>
      <w:r>
        <w:rPr>
          <w:rFonts w:hint="eastAsia" w:ascii="Times New Roman" w:hAnsi="Times New Roman" w:cs="Times New Roman"/>
          <w:color w:val="auto"/>
          <w:kern w:val="0"/>
          <w:sz w:val="24"/>
          <w:szCs w:val="24"/>
          <w:highlight w:val="none"/>
          <w:u w:val="single" w:color="auto"/>
          <w:lang w:val="zh-CN" w:eastAsia="zh-CN"/>
        </w:rPr>
        <w:t>企业</w:t>
      </w:r>
      <w:r>
        <w:rPr>
          <w:rFonts w:hint="default" w:ascii="Times New Roman" w:hAnsi="Times New Roman" w:eastAsia="宋体" w:cs="Times New Roman"/>
          <w:color w:val="auto"/>
          <w:kern w:val="0"/>
          <w:sz w:val="24"/>
          <w:szCs w:val="24"/>
          <w:highlight w:val="none"/>
          <w:u w:val="single" w:color="auto"/>
          <w:lang w:val="zh-CN" w:eastAsia="zh-CN"/>
        </w:rPr>
        <w:t>工作人员定期对贮罐、接管、阀门、泵的监测、维修，特别要注意对半埋于地下的酸管的检查，防止因腐蚀穿孔而漏酸。</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eastAsia="zh-CN"/>
        </w:rPr>
      </w:pPr>
      <w:r>
        <w:rPr>
          <w:rFonts w:hint="default" w:ascii="Times New Roman" w:hAnsi="Times New Roman" w:cs="Times New Roman"/>
          <w:color w:val="auto"/>
          <w:kern w:val="0"/>
          <w:sz w:val="24"/>
          <w:szCs w:val="24"/>
          <w:highlight w:val="none"/>
          <w:u w:val="single" w:color="auto"/>
          <w:lang w:val="zh-CN" w:eastAsia="zh-CN"/>
        </w:rPr>
        <w:t>（</w:t>
      </w:r>
      <w:r>
        <w:rPr>
          <w:rFonts w:hint="default" w:ascii="Times New Roman" w:hAnsi="Times New Roman" w:cs="Times New Roman"/>
          <w:color w:val="auto"/>
          <w:kern w:val="0"/>
          <w:sz w:val="24"/>
          <w:szCs w:val="24"/>
          <w:highlight w:val="none"/>
          <w:u w:val="single" w:color="auto"/>
          <w:lang w:val="en-US" w:eastAsia="zh-CN"/>
        </w:rPr>
        <w:t>5</w:t>
      </w:r>
      <w:r>
        <w:rPr>
          <w:rFonts w:hint="default" w:ascii="Times New Roman" w:hAnsi="Times New Roman" w:cs="Times New Roman"/>
          <w:color w:val="auto"/>
          <w:kern w:val="0"/>
          <w:sz w:val="24"/>
          <w:szCs w:val="24"/>
          <w:highlight w:val="none"/>
          <w:u w:val="single" w:color="auto"/>
          <w:lang w:val="zh-CN" w:eastAsia="zh-CN"/>
        </w:rPr>
        <w:t>）</w:t>
      </w:r>
      <w:r>
        <w:rPr>
          <w:rFonts w:hint="default" w:ascii="Times New Roman" w:hAnsi="Times New Roman" w:eastAsia="宋体" w:cs="Times New Roman"/>
          <w:color w:val="auto"/>
          <w:kern w:val="0"/>
          <w:sz w:val="24"/>
          <w:szCs w:val="24"/>
          <w:highlight w:val="none"/>
          <w:u w:val="single" w:color="auto"/>
          <w:lang w:val="zh-CN" w:eastAsia="zh-CN"/>
        </w:rPr>
        <w:t>在进出硫酸贮罐及有压力的酸管、法兰等处安装防喷挡护，防止硫酸喷出灼伤人的危险；从事硫酸生产、接触硫酸作业的人员要穿戴好防护用器（防酸工作服、防毒口罩、防护眼镜、橡胶手套、橡胶鞋、防酸帽），以全面防护。</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color="auto"/>
          <w:lang w:val="en-US" w:eastAsia="zh-CN" w:bidi="ar"/>
        </w:rPr>
      </w:pPr>
      <w:r>
        <w:rPr>
          <w:rFonts w:hint="default" w:ascii="Times New Roman" w:hAnsi="Times New Roman" w:eastAsia="宋体" w:cs="Times New Roman"/>
          <w:bCs/>
          <w:color w:val="auto"/>
          <w:kern w:val="0"/>
          <w:sz w:val="24"/>
          <w:highlight w:val="none"/>
          <w:u w:val="none" w:color="auto"/>
          <w:lang w:val="en-US" w:eastAsia="zh-CN" w:bidi="ar"/>
        </w:rPr>
        <w:t>（</w:t>
      </w:r>
      <w:r>
        <w:rPr>
          <w:rFonts w:hint="eastAsia" w:ascii="Times New Roman" w:hAnsi="Times New Roman" w:eastAsia="宋体" w:cs="Times New Roman"/>
          <w:bCs/>
          <w:color w:val="auto"/>
          <w:kern w:val="0"/>
          <w:sz w:val="24"/>
          <w:highlight w:val="none"/>
          <w:u w:val="none" w:color="auto"/>
          <w:lang w:val="en-US" w:eastAsia="zh-CN" w:bidi="ar"/>
        </w:rPr>
        <w:t>6</w:t>
      </w:r>
      <w:r>
        <w:rPr>
          <w:rFonts w:hint="default" w:ascii="Times New Roman" w:hAnsi="Times New Roman" w:eastAsia="宋体" w:cs="Times New Roman"/>
          <w:bCs/>
          <w:color w:val="auto"/>
          <w:kern w:val="0"/>
          <w:sz w:val="24"/>
          <w:highlight w:val="none"/>
          <w:u w:val="none" w:color="auto"/>
          <w:lang w:val="en-US" w:eastAsia="zh-CN" w:bidi="ar"/>
        </w:rPr>
        <w:t>）废气非正常排放</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color="auto"/>
          <w:lang w:val="en-US" w:eastAsia="zh-CN" w:bidi="ar"/>
        </w:rPr>
      </w:pPr>
      <w:r>
        <w:rPr>
          <w:rFonts w:hint="default" w:ascii="Times New Roman" w:hAnsi="Times New Roman" w:eastAsia="宋体" w:cs="Times New Roman"/>
          <w:bCs/>
          <w:color w:val="auto"/>
          <w:kern w:val="0"/>
          <w:sz w:val="24"/>
          <w:highlight w:val="none"/>
          <w:u w:val="none" w:color="auto"/>
          <w:lang w:val="en-US" w:eastAsia="zh-CN" w:bidi="ar"/>
        </w:rPr>
        <w:t>A.定期检修设备，加强日常维护保养，避免或减少故障发生，确保设备处于正常的工作状态。</w:t>
      </w:r>
    </w:p>
    <w:p>
      <w:pPr>
        <w:adjustRightInd/>
        <w:snapToGrid/>
        <w:spacing w:line="360" w:lineRule="auto"/>
        <w:ind w:firstLine="480"/>
        <w:rPr>
          <w:rFonts w:hint="default" w:ascii="Times New Roman" w:hAnsi="Times New Roman" w:cs="Times New Roman"/>
          <w:color w:val="auto"/>
          <w:kern w:val="0"/>
          <w:sz w:val="24"/>
          <w:szCs w:val="24"/>
          <w:highlight w:val="none"/>
          <w:u w:val="none" w:color="auto"/>
          <w:lang w:val="zh-CN" w:eastAsia="zh-CN"/>
        </w:rPr>
      </w:pPr>
      <w:r>
        <w:rPr>
          <w:rFonts w:hint="default" w:ascii="Times New Roman" w:hAnsi="Times New Roman" w:eastAsia="宋体" w:cs="Times New Roman"/>
          <w:bCs/>
          <w:color w:val="auto"/>
          <w:kern w:val="0"/>
          <w:sz w:val="24"/>
          <w:highlight w:val="none"/>
          <w:u w:val="none" w:color="auto"/>
          <w:lang w:val="en-US" w:eastAsia="zh-CN" w:bidi="ar"/>
        </w:rPr>
        <w:t>B.加强对操作工人的培训，培养员工的安全和环境意识，提高操作工人的技术水平和责任感，降低操作失误而造成的事故。</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eastAsia="zh-CN"/>
        </w:rPr>
      </w:pPr>
      <w:r>
        <w:rPr>
          <w:rFonts w:hint="default" w:ascii="Times New Roman" w:hAnsi="Times New Roman" w:cs="Times New Roman"/>
          <w:color w:val="auto"/>
          <w:kern w:val="0"/>
          <w:sz w:val="24"/>
          <w:szCs w:val="24"/>
          <w:highlight w:val="none"/>
          <w:u w:val="single" w:color="auto"/>
          <w:lang w:val="zh-CN" w:eastAsia="zh-CN"/>
        </w:rPr>
        <w:t>（</w:t>
      </w:r>
      <w:r>
        <w:rPr>
          <w:rFonts w:hint="eastAsia" w:ascii="Times New Roman" w:hAnsi="Times New Roman" w:cs="Times New Roman"/>
          <w:color w:val="auto"/>
          <w:kern w:val="0"/>
          <w:sz w:val="24"/>
          <w:szCs w:val="24"/>
          <w:highlight w:val="none"/>
          <w:u w:val="single" w:color="auto"/>
          <w:lang w:val="en-US" w:eastAsia="zh-CN"/>
        </w:rPr>
        <w:t>7</w:t>
      </w:r>
      <w:r>
        <w:rPr>
          <w:rFonts w:hint="default" w:ascii="Times New Roman" w:hAnsi="Times New Roman" w:cs="Times New Roman"/>
          <w:color w:val="auto"/>
          <w:kern w:val="0"/>
          <w:sz w:val="24"/>
          <w:szCs w:val="24"/>
          <w:highlight w:val="none"/>
          <w:u w:val="single" w:color="auto"/>
          <w:lang w:val="zh-CN" w:eastAsia="zh-CN"/>
        </w:rPr>
        <w:t>）</w:t>
      </w:r>
      <w:r>
        <w:rPr>
          <w:rFonts w:hint="default" w:ascii="Times New Roman" w:hAnsi="Times New Roman" w:eastAsia="宋体" w:cs="Times New Roman"/>
          <w:color w:val="auto"/>
          <w:kern w:val="0"/>
          <w:sz w:val="24"/>
          <w:szCs w:val="24"/>
          <w:highlight w:val="none"/>
          <w:u w:val="single" w:color="auto"/>
          <w:lang w:val="zh-CN" w:eastAsia="zh-CN"/>
        </w:rPr>
        <w:t>建立和完善危险化学品事故应急救援体系；制定和完善危险化学品事故应急救援预案，进行各个岗位的培训，定期组织进行事故应急救援演习；同时应完善硫酸储罐</w:t>
      </w:r>
      <w:r>
        <w:rPr>
          <w:rFonts w:hint="eastAsia" w:ascii="Times New Roman" w:hAnsi="Times New Roman" w:cs="Times New Roman"/>
          <w:color w:val="auto"/>
          <w:kern w:val="0"/>
          <w:sz w:val="24"/>
          <w:szCs w:val="24"/>
          <w:highlight w:val="none"/>
          <w:u w:val="single" w:color="auto"/>
          <w:lang w:val="zh-CN" w:eastAsia="zh-CN"/>
        </w:rPr>
        <w:t>、液氨储罐</w:t>
      </w:r>
      <w:r>
        <w:rPr>
          <w:rFonts w:hint="default" w:ascii="Times New Roman" w:hAnsi="Times New Roman" w:eastAsia="宋体" w:cs="Times New Roman"/>
          <w:color w:val="auto"/>
          <w:kern w:val="0"/>
          <w:sz w:val="24"/>
          <w:szCs w:val="24"/>
          <w:highlight w:val="none"/>
          <w:u w:val="single" w:color="auto"/>
          <w:lang w:val="zh-CN" w:eastAsia="zh-CN"/>
        </w:rPr>
        <w:t>的安全管理措施。</w:t>
      </w:r>
    </w:p>
    <w:p>
      <w:pPr>
        <w:widowControl w:val="0"/>
        <w:spacing w:line="360" w:lineRule="auto"/>
        <w:jc w:val="left"/>
        <w:outlineLvl w:val="2"/>
        <w:rPr>
          <w:rFonts w:hint="default" w:ascii="Times New Roman" w:hAnsi="Times New Roman" w:eastAsia="宋体" w:cs="Times New Roman"/>
          <w:b/>
          <w:color w:val="auto"/>
          <w:kern w:val="0"/>
          <w:sz w:val="24"/>
          <w:szCs w:val="24"/>
          <w:highlight w:val="none"/>
          <w:u w:val="none" w:color="auto"/>
          <w:lang w:val="zh-CN" w:eastAsia="zh-CN" w:bidi="ar-SA"/>
        </w:rPr>
      </w:pPr>
      <w:bookmarkStart w:id="161" w:name="6.8.2_地表水环境风险防范措施"/>
      <w:bookmarkEnd w:id="161"/>
      <w:r>
        <w:rPr>
          <w:rFonts w:hint="default" w:ascii="Times New Roman" w:hAnsi="Times New Roman" w:eastAsia="宋体" w:cs="Times New Roman"/>
          <w:b/>
          <w:color w:val="auto"/>
          <w:kern w:val="0"/>
          <w:sz w:val="24"/>
          <w:szCs w:val="24"/>
          <w:highlight w:val="none"/>
          <w:u w:val="none" w:color="auto"/>
          <w:lang w:val="en-US" w:eastAsia="zh-CN" w:bidi="ar-SA"/>
        </w:rPr>
        <w:t>6.2</w:t>
      </w:r>
      <w:r>
        <w:rPr>
          <w:rFonts w:hint="default" w:ascii="Times New Roman" w:hAnsi="Times New Roman" w:eastAsia="宋体" w:cs="Times New Roman"/>
          <w:b/>
          <w:color w:val="auto"/>
          <w:kern w:val="0"/>
          <w:sz w:val="24"/>
          <w:szCs w:val="24"/>
          <w:highlight w:val="none"/>
          <w:u w:val="none" w:color="auto"/>
          <w:lang w:val="zh-CN" w:eastAsia="zh-CN" w:bidi="ar-SA"/>
        </w:rPr>
        <w:t>地表水环境风险防范措施</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zh-CN"/>
        </w:rPr>
      </w:pPr>
      <w:r>
        <w:rPr>
          <w:rFonts w:hint="default" w:ascii="Times New Roman" w:hAnsi="Times New Roman" w:eastAsia="宋体" w:cs="Times New Roman"/>
          <w:color w:val="auto"/>
          <w:kern w:val="0"/>
          <w:sz w:val="24"/>
          <w:szCs w:val="24"/>
          <w:highlight w:val="none"/>
          <w:u w:val="none" w:color="auto"/>
          <w:lang w:val="zh-CN"/>
        </w:rPr>
        <w:t>项目在厂内的各功能单位（如生产车间、仓库）内及厂区内设置完善的风险防范及应急措施，由于项目位于</w:t>
      </w:r>
      <w:r>
        <w:rPr>
          <w:rFonts w:hint="eastAsia" w:ascii="Times New Roman" w:hAnsi="Times New Roman" w:cs="Times New Roman"/>
          <w:color w:val="auto"/>
          <w:sz w:val="24"/>
          <w:szCs w:val="24"/>
          <w:highlight w:val="none"/>
          <w:u w:val="none"/>
          <w:lang w:eastAsia="zh-CN"/>
        </w:rPr>
        <w:t>湘阴高新技术产业开发区金龙片区</w:t>
      </w:r>
      <w:r>
        <w:rPr>
          <w:rFonts w:hint="default" w:ascii="Times New Roman" w:hAnsi="Times New Roman" w:eastAsia="宋体" w:cs="Times New Roman"/>
          <w:color w:val="auto"/>
          <w:kern w:val="0"/>
          <w:sz w:val="24"/>
          <w:szCs w:val="24"/>
          <w:highlight w:val="none"/>
          <w:u w:val="none" w:color="auto"/>
          <w:lang w:val="zh-CN"/>
        </w:rPr>
        <w:t>内，本项目发生环境风险事故时可与</w:t>
      </w:r>
      <w:r>
        <w:rPr>
          <w:rFonts w:hint="eastAsia" w:ascii="Times New Roman" w:hAnsi="Times New Roman" w:cs="Times New Roman"/>
          <w:color w:val="auto"/>
          <w:sz w:val="24"/>
          <w:szCs w:val="24"/>
          <w:highlight w:val="none"/>
          <w:u w:val="none"/>
          <w:lang w:eastAsia="zh-CN"/>
        </w:rPr>
        <w:t>湘阴高新技术产业开发区金龙片区</w:t>
      </w:r>
      <w:r>
        <w:rPr>
          <w:rFonts w:hint="default" w:ascii="Times New Roman" w:hAnsi="Times New Roman" w:eastAsia="宋体" w:cs="Times New Roman"/>
          <w:color w:val="auto"/>
          <w:kern w:val="0"/>
          <w:sz w:val="24"/>
          <w:szCs w:val="24"/>
          <w:highlight w:val="none"/>
          <w:u w:val="none" w:color="auto"/>
          <w:lang w:val="zh-CN"/>
        </w:rPr>
        <w:t>应急预案实施联动，当需要外部救援时，可向</w:t>
      </w:r>
      <w:r>
        <w:rPr>
          <w:rFonts w:hint="eastAsia" w:ascii="Times New Roman" w:hAnsi="Times New Roman" w:cs="Times New Roman"/>
          <w:color w:val="auto"/>
          <w:kern w:val="0"/>
          <w:sz w:val="24"/>
          <w:szCs w:val="24"/>
          <w:highlight w:val="none"/>
          <w:u w:val="none" w:color="auto"/>
          <w:lang w:val="zh-CN"/>
        </w:rPr>
        <w:t>园区管委会</w:t>
      </w:r>
      <w:r>
        <w:rPr>
          <w:rFonts w:hint="default" w:ascii="Times New Roman" w:hAnsi="Times New Roman" w:eastAsia="宋体" w:cs="Times New Roman"/>
          <w:color w:val="auto"/>
          <w:kern w:val="0"/>
          <w:sz w:val="24"/>
          <w:szCs w:val="24"/>
          <w:highlight w:val="none"/>
          <w:u w:val="none" w:color="auto"/>
          <w:lang w:val="zh-CN"/>
        </w:rPr>
        <w:t>请求支援，必要时对共用的设备或设施进行合理的风险防控。</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zh-CN"/>
        </w:rPr>
      </w:pPr>
      <w:r>
        <w:rPr>
          <w:rFonts w:hint="default" w:ascii="Times New Roman" w:hAnsi="Times New Roman" w:eastAsia="宋体" w:cs="Times New Roman"/>
          <w:color w:val="auto"/>
          <w:kern w:val="0"/>
          <w:sz w:val="24"/>
          <w:szCs w:val="24"/>
          <w:highlight w:val="none"/>
          <w:u w:val="none" w:color="auto"/>
          <w:lang w:val="zh-CN"/>
        </w:rPr>
        <w:t>（</w:t>
      </w:r>
      <w:r>
        <w:rPr>
          <w:rFonts w:hint="default" w:ascii="Times New Roman" w:hAnsi="Times New Roman" w:eastAsia="宋体" w:cs="Times New Roman"/>
          <w:color w:val="auto"/>
          <w:kern w:val="0"/>
          <w:sz w:val="24"/>
          <w:szCs w:val="24"/>
          <w:highlight w:val="none"/>
          <w:u w:val="none" w:color="auto"/>
        </w:rPr>
        <w:t>1）</w:t>
      </w:r>
      <w:r>
        <w:rPr>
          <w:rFonts w:hint="default" w:ascii="Times New Roman" w:hAnsi="Times New Roman" w:eastAsia="宋体" w:cs="Times New Roman"/>
          <w:color w:val="auto"/>
          <w:kern w:val="0"/>
          <w:sz w:val="24"/>
          <w:szCs w:val="24"/>
          <w:highlight w:val="none"/>
          <w:u w:val="none" w:color="auto"/>
          <w:lang w:val="zh-CN"/>
        </w:rPr>
        <w:t>厂区风险防范措施</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val="zh-CN"/>
        </w:rPr>
        <w:t>①</w:t>
      </w:r>
      <w:r>
        <w:rPr>
          <w:rFonts w:hint="default" w:ascii="Times New Roman" w:hAnsi="Times New Roman" w:cs="Times New Roman"/>
          <w:color w:val="auto"/>
          <w:kern w:val="0"/>
          <w:sz w:val="24"/>
          <w:szCs w:val="24"/>
          <w:highlight w:val="none"/>
          <w:u w:val="none" w:color="auto"/>
          <w:lang w:val="zh-CN"/>
        </w:rPr>
        <w:t>污水处理设施</w:t>
      </w:r>
      <w:r>
        <w:rPr>
          <w:rFonts w:hint="default" w:ascii="Times New Roman" w:hAnsi="Times New Roman" w:eastAsia="宋体" w:cs="Times New Roman"/>
          <w:color w:val="auto"/>
          <w:kern w:val="0"/>
          <w:sz w:val="24"/>
          <w:szCs w:val="24"/>
          <w:highlight w:val="none"/>
          <w:u w:val="none" w:color="auto"/>
          <w:lang w:val="zh-CN"/>
        </w:rPr>
        <w:t>地面采取防渗措施，</w:t>
      </w:r>
      <w:r>
        <w:rPr>
          <w:rFonts w:hint="default" w:ascii="Times New Roman" w:hAnsi="Times New Roman" w:cs="Times New Roman"/>
          <w:color w:val="auto"/>
          <w:kern w:val="0"/>
          <w:sz w:val="24"/>
          <w:szCs w:val="24"/>
          <w:highlight w:val="none"/>
          <w:u w:val="none" w:color="auto"/>
          <w:lang w:val="zh-CN"/>
        </w:rPr>
        <w:t>污水处理设施</w:t>
      </w:r>
      <w:r>
        <w:rPr>
          <w:rFonts w:hint="eastAsia" w:ascii="Times New Roman" w:hAnsi="Times New Roman" w:cs="Times New Roman"/>
          <w:color w:val="auto"/>
          <w:kern w:val="0"/>
          <w:sz w:val="24"/>
          <w:szCs w:val="24"/>
          <w:highlight w:val="none"/>
          <w:u w:val="none" w:color="auto"/>
          <w:lang w:val="zh-CN"/>
        </w:rPr>
        <w:t>旁</w:t>
      </w:r>
      <w:r>
        <w:rPr>
          <w:rFonts w:hint="default" w:ascii="Times New Roman" w:hAnsi="Times New Roman" w:eastAsia="宋体" w:cs="Times New Roman"/>
          <w:color w:val="auto"/>
          <w:kern w:val="0"/>
          <w:sz w:val="24"/>
          <w:szCs w:val="24"/>
          <w:highlight w:val="none"/>
          <w:u w:val="none" w:color="auto"/>
          <w:lang w:val="zh-CN"/>
        </w:rPr>
        <w:t>设置有漫坡及截留吸附应急物资，能有效截留收集泄漏物料，</w:t>
      </w:r>
      <w:r>
        <w:rPr>
          <w:rFonts w:hint="default" w:ascii="Times New Roman" w:hAnsi="Times New Roman" w:cs="Times New Roman"/>
          <w:color w:val="auto"/>
          <w:sz w:val="24"/>
          <w:szCs w:val="24"/>
          <w:highlight w:val="none"/>
          <w:u w:val="none" w:color="auto"/>
        </w:rPr>
        <w:t>发生火灾或泄漏等事故时，消防水及泄漏物料可利用装置或罐区内围堰等设施暂存。</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zh-CN"/>
        </w:rPr>
      </w:pPr>
      <w:r>
        <w:rPr>
          <w:rFonts w:hint="default" w:ascii="Times New Roman" w:hAnsi="Times New Roman" w:eastAsia="宋体" w:cs="Times New Roman"/>
          <w:color w:val="auto"/>
          <w:kern w:val="0"/>
          <w:sz w:val="24"/>
          <w:szCs w:val="24"/>
          <w:highlight w:val="none"/>
          <w:u w:val="none" w:color="auto"/>
          <w:lang w:val="zh-CN"/>
        </w:rPr>
        <w:t>②</w:t>
      </w:r>
      <w:r>
        <w:rPr>
          <w:rFonts w:hint="eastAsia" w:ascii="Times New Roman" w:hAnsi="Times New Roman" w:cs="Times New Roman"/>
          <w:color w:val="auto"/>
          <w:kern w:val="0"/>
          <w:sz w:val="24"/>
          <w:szCs w:val="24"/>
          <w:highlight w:val="none"/>
          <w:u w:val="none" w:color="auto"/>
          <w:lang w:val="zh-CN"/>
        </w:rPr>
        <w:t>污水处理设施东侧</w:t>
      </w:r>
      <w:r>
        <w:rPr>
          <w:rFonts w:hint="default" w:ascii="Times New Roman" w:hAnsi="Times New Roman" w:eastAsia="宋体" w:cs="Times New Roman"/>
          <w:color w:val="auto"/>
          <w:kern w:val="0"/>
          <w:sz w:val="24"/>
          <w:szCs w:val="24"/>
          <w:highlight w:val="none"/>
          <w:u w:val="none" w:color="auto"/>
          <w:lang w:val="zh-CN"/>
        </w:rPr>
        <w:t>设置一个</w:t>
      </w:r>
      <w:r>
        <w:rPr>
          <w:rFonts w:hint="eastAsia" w:ascii="Times New Roman" w:hAnsi="Times New Roman" w:cs="Times New Roman"/>
          <w:color w:val="auto"/>
          <w:kern w:val="0"/>
          <w:sz w:val="24"/>
          <w:szCs w:val="24"/>
          <w:highlight w:val="none"/>
          <w:u w:val="none" w:color="auto"/>
          <w:lang w:val="en-US" w:eastAsia="zh-CN"/>
        </w:rPr>
        <w:t>300</w:t>
      </w:r>
      <w:r>
        <w:rPr>
          <w:rFonts w:hint="default" w:ascii="Times New Roman" w:hAnsi="Times New Roman" w:eastAsia="宋体" w:cs="Times New Roman"/>
          <w:color w:val="auto"/>
          <w:kern w:val="0"/>
          <w:sz w:val="24"/>
          <w:szCs w:val="24"/>
          <w:highlight w:val="none"/>
          <w:u w:val="none" w:color="auto"/>
          <w:lang w:val="zh-CN"/>
        </w:rPr>
        <w:t>m</w:t>
      </w:r>
      <w:r>
        <w:rPr>
          <w:rFonts w:hint="default" w:ascii="Times New Roman" w:hAnsi="Times New Roman" w:eastAsia="宋体" w:cs="Times New Roman"/>
          <w:color w:val="auto"/>
          <w:kern w:val="0"/>
          <w:sz w:val="24"/>
          <w:szCs w:val="24"/>
          <w:highlight w:val="none"/>
          <w:u w:val="none" w:color="auto"/>
          <w:vertAlign w:val="superscript"/>
          <w:lang w:val="zh-CN"/>
        </w:rPr>
        <w:t>3</w:t>
      </w:r>
      <w:r>
        <w:rPr>
          <w:rFonts w:hint="eastAsia" w:ascii="Times New Roman" w:hAnsi="Times New Roman" w:cs="Times New Roman"/>
          <w:color w:val="auto"/>
          <w:kern w:val="0"/>
          <w:sz w:val="24"/>
          <w:szCs w:val="24"/>
          <w:highlight w:val="none"/>
          <w:u w:val="none" w:color="auto"/>
          <w:lang w:val="zh-CN"/>
        </w:rPr>
        <w:t>应急池</w:t>
      </w:r>
      <w:r>
        <w:rPr>
          <w:rFonts w:hint="default" w:ascii="Times New Roman" w:hAnsi="Times New Roman" w:eastAsia="宋体" w:cs="Times New Roman"/>
          <w:color w:val="auto"/>
          <w:kern w:val="0"/>
          <w:sz w:val="24"/>
          <w:szCs w:val="24"/>
          <w:highlight w:val="none"/>
          <w:u w:val="none" w:color="auto"/>
          <w:lang w:val="zh-CN"/>
        </w:rPr>
        <w:t>，</w:t>
      </w:r>
      <w:r>
        <w:rPr>
          <w:rFonts w:hint="eastAsia" w:ascii="Times New Roman" w:hAnsi="Times New Roman" w:cs="Times New Roman"/>
          <w:color w:val="auto"/>
          <w:kern w:val="0"/>
          <w:sz w:val="24"/>
          <w:szCs w:val="24"/>
          <w:highlight w:val="none"/>
          <w:u w:val="none" w:color="auto"/>
          <w:lang w:val="zh-CN"/>
        </w:rPr>
        <w:t>应急池</w:t>
      </w:r>
      <w:r>
        <w:rPr>
          <w:rFonts w:hint="default" w:ascii="Times New Roman" w:hAnsi="Times New Roman" w:eastAsia="宋体" w:cs="Times New Roman"/>
          <w:color w:val="auto"/>
          <w:kern w:val="0"/>
          <w:sz w:val="24"/>
          <w:szCs w:val="24"/>
          <w:highlight w:val="none"/>
          <w:u w:val="none" w:color="auto"/>
          <w:lang w:val="zh-CN"/>
        </w:rPr>
        <w:t>容积可以满足本项目消防用水要求及事故储水要求。</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single" w:color="auto"/>
        </w:rPr>
      </w:pPr>
      <w:r>
        <w:rPr>
          <w:rFonts w:hint="eastAsia" w:ascii="宋体" w:hAnsi="宋体" w:eastAsia="宋体" w:cs="宋体"/>
          <w:color w:val="auto"/>
          <w:kern w:val="0"/>
          <w:sz w:val="24"/>
          <w:szCs w:val="24"/>
          <w:highlight w:val="none"/>
          <w:u w:val="single" w:color="auto"/>
          <w:lang w:val="zh-CN"/>
        </w:rPr>
        <w:t>④</w:t>
      </w:r>
      <w:r>
        <w:rPr>
          <w:rFonts w:hint="default" w:ascii="Times New Roman" w:hAnsi="Times New Roman" w:eastAsia="宋体" w:cs="Times New Roman"/>
          <w:color w:val="auto"/>
          <w:sz w:val="24"/>
          <w:szCs w:val="24"/>
          <w:highlight w:val="none"/>
          <w:u w:val="single" w:color="auto"/>
        </w:rPr>
        <w:t>本项目</w:t>
      </w:r>
      <w:r>
        <w:rPr>
          <w:rFonts w:hint="eastAsia" w:ascii="Times New Roman" w:hAnsi="Times New Roman" w:cs="Times New Roman"/>
          <w:color w:val="auto"/>
          <w:sz w:val="24"/>
          <w:szCs w:val="24"/>
          <w:highlight w:val="none"/>
          <w:u w:val="single" w:color="auto"/>
          <w:lang w:eastAsia="zh-CN"/>
        </w:rPr>
        <w:t>生产厂房</w:t>
      </w:r>
      <w:r>
        <w:rPr>
          <w:rFonts w:hint="default" w:ascii="Times New Roman" w:hAnsi="Times New Roman" w:eastAsia="宋体" w:cs="Times New Roman"/>
          <w:color w:val="auto"/>
          <w:kern w:val="0"/>
          <w:sz w:val="24"/>
          <w:szCs w:val="24"/>
          <w:highlight w:val="none"/>
          <w:u w:val="single" w:color="auto"/>
          <w:lang w:val="zh-CN"/>
        </w:rPr>
        <w:t>出入口设置有漫坡及截留吸附应急物资，</w:t>
      </w:r>
      <w:r>
        <w:rPr>
          <w:rFonts w:hint="eastAsia" w:ascii="Times New Roman" w:hAnsi="Times New Roman" w:cs="Times New Roman"/>
          <w:color w:val="auto"/>
          <w:kern w:val="0"/>
          <w:sz w:val="24"/>
          <w:szCs w:val="24"/>
          <w:highlight w:val="none"/>
          <w:u w:val="single" w:color="auto"/>
          <w:lang w:val="zh-CN"/>
        </w:rPr>
        <w:t>硫酸罐</w:t>
      </w:r>
      <w:r>
        <w:rPr>
          <w:rFonts w:hint="default" w:ascii="Times New Roman" w:hAnsi="Times New Roman" w:eastAsia="宋体" w:cs="Times New Roman"/>
          <w:color w:val="auto"/>
          <w:kern w:val="0"/>
          <w:sz w:val="24"/>
          <w:szCs w:val="24"/>
          <w:highlight w:val="none"/>
          <w:u w:val="single" w:color="auto"/>
          <w:lang w:val="zh-CN"/>
        </w:rPr>
        <w:t>设有</w:t>
      </w:r>
      <w:r>
        <w:rPr>
          <w:rFonts w:hint="default" w:ascii="Times New Roman" w:hAnsi="Times New Roman" w:eastAsia="宋体" w:cs="Times New Roman"/>
          <w:bCs/>
          <w:color w:val="auto"/>
          <w:kern w:val="0"/>
          <w:sz w:val="24"/>
          <w:szCs w:val="24"/>
          <w:highlight w:val="none"/>
          <w:u w:val="single" w:color="auto"/>
          <w:lang w:val="zh-CN"/>
        </w:rPr>
        <w:t>大围堰</w:t>
      </w:r>
      <w:r>
        <w:rPr>
          <w:rFonts w:hint="default" w:ascii="Times New Roman" w:hAnsi="Times New Roman" w:eastAsia="宋体" w:cs="Times New Roman"/>
          <w:bCs/>
          <w:color w:val="auto"/>
          <w:kern w:val="0"/>
          <w:sz w:val="24"/>
          <w:szCs w:val="24"/>
          <w:highlight w:val="none"/>
          <w:u w:val="single" w:color="auto"/>
          <w:lang w:val="zh-CN" w:eastAsia="zh-CN"/>
        </w:rPr>
        <w:t>尺寸为</w:t>
      </w:r>
      <w:r>
        <w:rPr>
          <w:rFonts w:hint="eastAsia" w:ascii="Times New Roman" w:hAnsi="Times New Roman" w:cs="Times New Roman"/>
          <w:bCs/>
          <w:color w:val="auto"/>
          <w:kern w:val="0"/>
          <w:sz w:val="24"/>
          <w:szCs w:val="24"/>
          <w:highlight w:val="none"/>
          <w:u w:val="single" w:color="auto"/>
          <w:lang w:val="en-US" w:eastAsia="zh-CN"/>
        </w:rPr>
        <w:t>5</w:t>
      </w:r>
      <w:r>
        <w:rPr>
          <w:rFonts w:hint="default" w:ascii="Times New Roman" w:hAnsi="Times New Roman" w:eastAsia="宋体" w:cs="Times New Roman"/>
          <w:bCs/>
          <w:color w:val="auto"/>
          <w:kern w:val="0"/>
          <w:sz w:val="24"/>
          <w:szCs w:val="24"/>
          <w:highlight w:val="none"/>
          <w:u w:val="single" w:color="auto"/>
          <w:lang w:val="zh-CN" w:eastAsia="zh-CN"/>
        </w:rPr>
        <w:t>m×</w:t>
      </w:r>
      <w:r>
        <w:rPr>
          <w:rFonts w:hint="eastAsia" w:ascii="Times New Roman" w:hAnsi="Times New Roman" w:cs="Times New Roman"/>
          <w:bCs/>
          <w:color w:val="auto"/>
          <w:kern w:val="0"/>
          <w:sz w:val="24"/>
          <w:szCs w:val="24"/>
          <w:highlight w:val="none"/>
          <w:u w:val="single" w:color="auto"/>
          <w:lang w:val="en-US" w:eastAsia="zh-CN"/>
        </w:rPr>
        <w:t>5</w:t>
      </w:r>
      <w:r>
        <w:rPr>
          <w:rFonts w:hint="default" w:ascii="Times New Roman" w:hAnsi="Times New Roman" w:eastAsia="宋体" w:cs="Times New Roman"/>
          <w:bCs/>
          <w:color w:val="auto"/>
          <w:kern w:val="0"/>
          <w:sz w:val="24"/>
          <w:szCs w:val="24"/>
          <w:highlight w:val="none"/>
          <w:u w:val="single" w:color="auto"/>
          <w:lang w:val="zh-CN" w:eastAsia="zh-CN"/>
        </w:rPr>
        <w:t>m×</w:t>
      </w:r>
      <w:r>
        <w:rPr>
          <w:rFonts w:hint="eastAsia" w:ascii="Times New Roman" w:hAnsi="Times New Roman" w:cs="Times New Roman"/>
          <w:bCs/>
          <w:color w:val="auto"/>
          <w:kern w:val="0"/>
          <w:sz w:val="24"/>
          <w:szCs w:val="24"/>
          <w:highlight w:val="none"/>
          <w:u w:val="single" w:color="auto"/>
          <w:lang w:val="en-US" w:eastAsia="zh-CN"/>
        </w:rPr>
        <w:t>1</w:t>
      </w:r>
      <w:r>
        <w:rPr>
          <w:rFonts w:hint="default" w:ascii="Times New Roman" w:hAnsi="Times New Roman" w:eastAsia="宋体" w:cs="Times New Roman"/>
          <w:bCs/>
          <w:color w:val="auto"/>
          <w:kern w:val="0"/>
          <w:sz w:val="24"/>
          <w:szCs w:val="24"/>
          <w:highlight w:val="none"/>
          <w:u w:val="single" w:color="auto"/>
          <w:lang w:val="zh-CN" w:eastAsia="zh-CN"/>
        </w:rPr>
        <w:t>m</w:t>
      </w:r>
      <w:r>
        <w:rPr>
          <w:rFonts w:hint="default" w:ascii="Times New Roman" w:hAnsi="Times New Roman" w:eastAsia="宋体" w:cs="Times New Roman"/>
          <w:bCs/>
          <w:color w:val="auto"/>
          <w:kern w:val="0"/>
          <w:sz w:val="24"/>
          <w:szCs w:val="24"/>
          <w:highlight w:val="none"/>
          <w:u w:val="single" w:color="auto"/>
          <w:lang w:val="zh-CN"/>
        </w:rPr>
        <w:t>，</w:t>
      </w:r>
      <w:r>
        <w:rPr>
          <w:rFonts w:hint="default" w:ascii="Times New Roman" w:hAnsi="Times New Roman" w:cs="Times New Roman"/>
          <w:color w:val="auto"/>
          <w:sz w:val="24"/>
          <w:szCs w:val="24"/>
          <w:highlight w:val="none"/>
          <w:u w:val="single" w:color="auto"/>
        </w:rPr>
        <w:t>将事故状态下污染物控制在厂内，防止重大事故泄漏物料和污染消防水造成的环境污染。</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zh-CN"/>
        </w:rPr>
      </w:pPr>
      <w:r>
        <w:rPr>
          <w:rFonts w:hint="default" w:ascii="Times New Roman" w:hAnsi="Times New Roman" w:eastAsia="宋体" w:cs="Times New Roman"/>
          <w:color w:val="auto"/>
          <w:sz w:val="24"/>
          <w:szCs w:val="24"/>
          <w:highlight w:val="none"/>
          <w:u w:val="none" w:color="auto"/>
          <w:lang w:val="zh-CN"/>
        </w:rPr>
        <w:t>根据项目</w:t>
      </w:r>
      <w:r>
        <w:rPr>
          <w:rFonts w:hint="eastAsia" w:ascii="Times New Roman" w:hAnsi="Times New Roman" w:cs="Times New Roman"/>
          <w:color w:val="auto"/>
          <w:kern w:val="0"/>
          <w:sz w:val="24"/>
          <w:szCs w:val="24"/>
          <w:highlight w:val="none"/>
          <w:u w:val="none" w:color="auto"/>
          <w:lang w:val="zh-CN"/>
        </w:rPr>
        <w:t>污水处理设施</w:t>
      </w:r>
      <w:r>
        <w:rPr>
          <w:rFonts w:hint="default" w:ascii="Times New Roman" w:hAnsi="Times New Roman" w:cs="Times New Roman"/>
          <w:color w:val="auto"/>
          <w:sz w:val="24"/>
          <w:szCs w:val="24"/>
          <w:highlight w:val="none"/>
          <w:u w:val="none" w:color="auto"/>
          <w:lang w:val="zh-CN"/>
        </w:rPr>
        <w:t>内</w:t>
      </w:r>
      <w:r>
        <w:rPr>
          <w:rFonts w:hint="default" w:ascii="Times New Roman" w:hAnsi="Times New Roman" w:eastAsia="宋体" w:cs="Times New Roman"/>
          <w:color w:val="auto"/>
          <w:sz w:val="24"/>
          <w:szCs w:val="24"/>
          <w:highlight w:val="none"/>
          <w:u w:val="none" w:color="auto"/>
          <w:lang w:val="zh-CN"/>
        </w:rPr>
        <w:t>排水</w:t>
      </w:r>
      <w:r>
        <w:rPr>
          <w:rFonts w:hint="default" w:ascii="Times New Roman" w:hAnsi="Times New Roman" w:eastAsia="宋体" w:cs="Times New Roman"/>
          <w:color w:val="auto"/>
          <w:kern w:val="0"/>
          <w:sz w:val="24"/>
          <w:szCs w:val="24"/>
          <w:highlight w:val="none"/>
          <w:u w:val="none" w:color="auto"/>
        </w:rPr>
        <w:t>，按</w:t>
      </w:r>
      <w:r>
        <w:rPr>
          <w:rFonts w:hint="default" w:ascii="Times New Roman" w:hAnsi="Times New Roman" w:eastAsia="宋体" w:cs="Times New Roman"/>
          <w:color w:val="auto"/>
          <w:sz w:val="24"/>
          <w:szCs w:val="24"/>
          <w:highlight w:val="none"/>
          <w:u w:val="none" w:color="auto"/>
          <w:lang w:val="zh-CN"/>
        </w:rPr>
        <w:t>事故废水封堵系统有效收集事故废水、消防废水等，</w:t>
      </w:r>
      <w:r>
        <w:rPr>
          <w:rFonts w:hint="default" w:ascii="Times New Roman" w:hAnsi="Times New Roman" w:eastAsia="宋体" w:cs="Times New Roman"/>
          <w:color w:val="auto"/>
          <w:kern w:val="0"/>
          <w:sz w:val="24"/>
          <w:szCs w:val="24"/>
          <w:highlight w:val="none"/>
          <w:u w:val="none" w:color="auto"/>
          <w:lang w:val="zh-CN"/>
        </w:rPr>
        <w:t>可在发生事故情况下，有效收集</w:t>
      </w:r>
      <w:r>
        <w:rPr>
          <w:rFonts w:hint="default" w:ascii="Times New Roman" w:hAnsi="Times New Roman" w:eastAsia="宋体" w:cs="Times New Roman"/>
          <w:color w:val="auto"/>
          <w:sz w:val="24"/>
          <w:szCs w:val="24"/>
          <w:highlight w:val="none"/>
          <w:u w:val="none" w:color="auto"/>
          <w:lang w:val="zh-CN"/>
        </w:rPr>
        <w:t>消防</w:t>
      </w:r>
      <w:r>
        <w:rPr>
          <w:rFonts w:hint="default" w:ascii="Times New Roman" w:hAnsi="Times New Roman" w:eastAsia="宋体" w:cs="Times New Roman"/>
          <w:color w:val="auto"/>
          <w:kern w:val="0"/>
          <w:sz w:val="24"/>
          <w:szCs w:val="24"/>
          <w:highlight w:val="none"/>
          <w:u w:val="none" w:color="auto"/>
          <w:lang w:val="zh-CN"/>
        </w:rPr>
        <w:t>废水、超标生产废水、泄漏物料及其清洗废水</w:t>
      </w:r>
      <w:r>
        <w:rPr>
          <w:rFonts w:hint="eastAsia" w:ascii="Times New Roman" w:hAnsi="Times New Roman" w:cs="Times New Roman"/>
          <w:color w:val="auto"/>
          <w:kern w:val="0"/>
          <w:sz w:val="24"/>
          <w:szCs w:val="24"/>
          <w:highlight w:val="none"/>
          <w:u w:val="none" w:color="auto"/>
          <w:lang w:val="zh-CN"/>
        </w:rPr>
        <w:t>排至污水处理设施</w:t>
      </w:r>
      <w:r>
        <w:rPr>
          <w:rFonts w:hint="default" w:ascii="Times New Roman" w:hAnsi="Times New Roman" w:cs="Times New Roman"/>
          <w:color w:val="auto"/>
          <w:kern w:val="0"/>
          <w:sz w:val="24"/>
          <w:szCs w:val="24"/>
          <w:highlight w:val="none"/>
          <w:u w:val="none" w:color="auto"/>
          <w:lang w:val="zh-CN"/>
        </w:rPr>
        <w:t>池</w:t>
      </w:r>
      <w:r>
        <w:rPr>
          <w:rFonts w:hint="default" w:ascii="Times New Roman" w:hAnsi="Times New Roman" w:eastAsia="宋体" w:cs="Times New Roman"/>
          <w:color w:val="auto"/>
          <w:kern w:val="0"/>
          <w:sz w:val="24"/>
          <w:szCs w:val="24"/>
          <w:highlight w:val="none"/>
          <w:u w:val="none" w:color="auto"/>
          <w:lang w:val="zh-CN"/>
        </w:rPr>
        <w:t>，阻隔污染物排放至外环境。</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zh-CN"/>
        </w:rPr>
      </w:pPr>
      <w:r>
        <w:rPr>
          <w:rFonts w:hint="default" w:ascii="Times New Roman" w:hAnsi="Times New Roman" w:eastAsia="宋体" w:cs="Times New Roman"/>
          <w:color w:val="auto"/>
          <w:kern w:val="0"/>
          <w:sz w:val="24"/>
          <w:szCs w:val="24"/>
          <w:highlight w:val="none"/>
          <w:u w:val="none" w:color="auto"/>
          <w:lang w:val="zh-CN"/>
        </w:rPr>
        <w:t>③污水处理设施排污口设置紧急切断闸阀，可在发生事故情况下，及时关闭闸阀，避免超标废水排入</w:t>
      </w:r>
      <w:r>
        <w:rPr>
          <w:rFonts w:hint="eastAsia" w:ascii="Times New Roman" w:hAnsi="Times New Roman" w:cs="Times New Roman"/>
          <w:color w:val="auto"/>
          <w:kern w:val="0"/>
          <w:sz w:val="24"/>
          <w:szCs w:val="24"/>
          <w:highlight w:val="none"/>
          <w:u w:val="none" w:color="auto"/>
          <w:lang w:val="zh-CN"/>
        </w:rPr>
        <w:t>湘阴县第三污水处理厂</w:t>
      </w:r>
      <w:r>
        <w:rPr>
          <w:rFonts w:hint="default" w:ascii="Times New Roman" w:hAnsi="Times New Roman" w:eastAsia="宋体" w:cs="Times New Roman"/>
          <w:color w:val="auto"/>
          <w:kern w:val="0"/>
          <w:sz w:val="24"/>
          <w:szCs w:val="24"/>
          <w:highlight w:val="none"/>
          <w:u w:val="none" w:color="auto"/>
          <w:lang w:val="zh-CN"/>
        </w:rPr>
        <w:t>。</w:t>
      </w:r>
    </w:p>
    <w:p>
      <w:pPr>
        <w:widowControl w:val="0"/>
        <w:spacing w:line="360" w:lineRule="auto"/>
        <w:jc w:val="left"/>
        <w:outlineLvl w:val="2"/>
        <w:rPr>
          <w:rFonts w:hint="default" w:ascii="Times New Roman" w:hAnsi="Times New Roman" w:eastAsia="宋体" w:cs="Times New Roman"/>
          <w:b/>
          <w:color w:val="auto"/>
          <w:kern w:val="0"/>
          <w:sz w:val="24"/>
          <w:szCs w:val="24"/>
          <w:highlight w:val="none"/>
          <w:u w:val="none" w:color="auto"/>
          <w:lang w:val="zh-CN" w:eastAsia="zh-CN" w:bidi="ar-SA"/>
        </w:rPr>
      </w:pPr>
      <w:r>
        <w:rPr>
          <w:rFonts w:hint="default" w:ascii="Times New Roman" w:hAnsi="Times New Roman" w:eastAsia="宋体" w:cs="Times New Roman"/>
          <w:b/>
          <w:color w:val="auto"/>
          <w:kern w:val="0"/>
          <w:sz w:val="24"/>
          <w:szCs w:val="24"/>
          <w:highlight w:val="none"/>
          <w:u w:val="none" w:color="auto"/>
          <w:lang w:val="en-US" w:eastAsia="zh-CN" w:bidi="ar-SA"/>
        </w:rPr>
        <w:t>6.3</w:t>
      </w:r>
      <w:r>
        <w:rPr>
          <w:rFonts w:hint="default" w:ascii="Times New Roman" w:hAnsi="Times New Roman" w:eastAsia="宋体" w:cs="Times New Roman"/>
          <w:b/>
          <w:color w:val="auto"/>
          <w:kern w:val="0"/>
          <w:sz w:val="24"/>
          <w:szCs w:val="24"/>
          <w:highlight w:val="none"/>
          <w:u w:val="none" w:color="auto"/>
          <w:lang w:val="zh-CN" w:eastAsia="zh-CN" w:bidi="ar-SA"/>
        </w:rPr>
        <w:t>地下水环境风险防范措施</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rPr>
      </w:pPr>
      <w:r>
        <w:rPr>
          <w:rFonts w:hint="default" w:ascii="Times New Roman" w:hAnsi="Times New Roman" w:eastAsia="宋体" w:cs="Times New Roman"/>
          <w:color w:val="auto"/>
          <w:kern w:val="0"/>
          <w:sz w:val="24"/>
          <w:szCs w:val="24"/>
          <w:highlight w:val="none"/>
          <w:u w:val="single" w:color="auto"/>
          <w:lang w:val="zh-CN"/>
        </w:rPr>
        <w:t>按照厂区装置和生产特点以及可能产生的风险强度和污染物入渗影响地下水的情况，根据不同区域和等级的防渗要求，将厂址区的防渗划分为非污染控制区、一般防渗区和重点防渗区。</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rPr>
      </w:pPr>
      <w:r>
        <w:rPr>
          <w:rFonts w:hint="default" w:ascii="Times New Roman" w:hAnsi="Times New Roman" w:eastAsia="宋体" w:cs="Times New Roman"/>
          <w:color w:val="auto"/>
          <w:kern w:val="0"/>
          <w:sz w:val="24"/>
          <w:szCs w:val="24"/>
          <w:highlight w:val="none"/>
          <w:u w:val="single" w:color="auto"/>
          <w:lang w:val="zh-CN"/>
        </w:rPr>
        <w:t>重点防渗区：对于本项目，重点防渗区主要包括</w:t>
      </w:r>
      <w:r>
        <w:rPr>
          <w:rFonts w:hint="eastAsia" w:ascii="Times New Roman" w:hAnsi="Times New Roman" w:cs="Times New Roman"/>
          <w:color w:val="auto"/>
          <w:kern w:val="0"/>
          <w:sz w:val="24"/>
          <w:szCs w:val="24"/>
          <w:highlight w:val="none"/>
          <w:u w:val="single" w:color="auto"/>
          <w:lang w:val="zh-CN"/>
        </w:rPr>
        <w:t>污水处理设施</w:t>
      </w:r>
      <w:r>
        <w:rPr>
          <w:rFonts w:hint="default" w:ascii="Times New Roman" w:hAnsi="Times New Roman" w:cs="Times New Roman"/>
          <w:color w:val="auto"/>
          <w:kern w:val="0"/>
          <w:sz w:val="24"/>
          <w:szCs w:val="24"/>
          <w:highlight w:val="none"/>
          <w:u w:val="single" w:color="auto"/>
          <w:lang w:val="zh-CN"/>
        </w:rPr>
        <w:t>、</w:t>
      </w:r>
      <w:r>
        <w:rPr>
          <w:rFonts w:hint="eastAsia" w:ascii="Times New Roman" w:hAnsi="Times New Roman" w:cs="Times New Roman"/>
          <w:color w:val="auto"/>
          <w:kern w:val="0"/>
          <w:sz w:val="24"/>
          <w:szCs w:val="24"/>
          <w:highlight w:val="none"/>
          <w:u w:val="single" w:color="auto"/>
          <w:lang w:val="zh-CN"/>
        </w:rPr>
        <w:t>各生产车间内槽体</w:t>
      </w:r>
      <w:r>
        <w:rPr>
          <w:rFonts w:hint="eastAsia" w:cs="Times New Roman"/>
          <w:color w:val="auto"/>
          <w:kern w:val="0"/>
          <w:sz w:val="24"/>
          <w:szCs w:val="24"/>
          <w:highlight w:val="none"/>
          <w:u w:val="single" w:color="auto"/>
          <w:lang w:val="zh-CN"/>
        </w:rPr>
        <w:t>、硫酸库</w:t>
      </w:r>
      <w:r>
        <w:rPr>
          <w:rFonts w:hint="default" w:ascii="Times New Roman" w:hAnsi="Times New Roman" w:eastAsia="宋体" w:cs="Times New Roman"/>
          <w:color w:val="auto"/>
          <w:kern w:val="0"/>
          <w:sz w:val="24"/>
          <w:szCs w:val="24"/>
          <w:highlight w:val="none"/>
          <w:u w:val="single" w:color="auto"/>
          <w:lang w:val="zh-CN"/>
        </w:rPr>
        <w:t>等。</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rPr>
      </w:pPr>
      <w:r>
        <w:rPr>
          <w:rFonts w:hint="default" w:ascii="Times New Roman" w:hAnsi="Times New Roman" w:eastAsia="宋体" w:cs="Times New Roman"/>
          <w:color w:val="auto"/>
          <w:kern w:val="0"/>
          <w:sz w:val="24"/>
          <w:szCs w:val="24"/>
          <w:highlight w:val="none"/>
          <w:u w:val="single" w:color="auto"/>
          <w:lang w:val="zh-CN"/>
        </w:rPr>
        <w:t>一般防渗区：厂区内除重点防渗区以外的地面的生产功能单元，如公用工程房等。</w:t>
      </w:r>
      <w:r>
        <w:rPr>
          <w:rFonts w:hint="default" w:ascii="Times New Roman" w:hAnsi="Times New Roman" w:eastAsia="宋体" w:cs="Times New Roman"/>
          <w:color w:val="auto"/>
          <w:kern w:val="0"/>
          <w:sz w:val="24"/>
          <w:szCs w:val="24"/>
          <w:highlight w:val="none"/>
          <w:u w:val="single" w:color="auto"/>
        </w:rPr>
        <w:t>可采用刚性防渗结构，地面采用250mm厚C30防渗混凝土硬化地面。防渗混凝土地面应设置缩缝和变形缝，接缝处等细部构造应做防渗处理。</w:t>
      </w:r>
    </w:p>
    <w:p>
      <w:pPr>
        <w:adjustRightInd/>
        <w:snapToGrid/>
        <w:spacing w:line="360" w:lineRule="auto"/>
        <w:ind w:firstLine="480"/>
        <w:rPr>
          <w:rFonts w:hint="default" w:ascii="Times New Roman" w:hAnsi="Times New Roman" w:eastAsia="宋体" w:cs="Times New Roman"/>
          <w:color w:val="auto"/>
          <w:kern w:val="0"/>
          <w:sz w:val="24"/>
          <w:szCs w:val="24"/>
          <w:highlight w:val="none"/>
          <w:u w:val="single" w:color="auto"/>
          <w:lang w:val="zh-CN"/>
        </w:rPr>
      </w:pPr>
      <w:r>
        <w:rPr>
          <w:rFonts w:hint="default" w:ascii="Times New Roman" w:hAnsi="Times New Roman" w:eastAsia="宋体" w:cs="Times New Roman"/>
          <w:color w:val="auto"/>
          <w:kern w:val="0"/>
          <w:sz w:val="24"/>
          <w:szCs w:val="24"/>
          <w:highlight w:val="none"/>
          <w:u w:val="single" w:color="auto"/>
          <w:lang w:val="zh-CN"/>
        </w:rPr>
        <w:t>非污染防治区：指不会对地下水环境造成污染的区域。主要包括厂区道路、办公区、绿化区等，一般不做防渗要求。</w:t>
      </w:r>
    </w:p>
    <w:p>
      <w:pPr>
        <w:widowControl w:val="0"/>
        <w:bidi w:val="0"/>
        <w:spacing w:line="360" w:lineRule="auto"/>
        <w:jc w:val="left"/>
        <w:outlineLvl w:val="2"/>
        <w:rPr>
          <w:rFonts w:hint="default" w:ascii="Times New Roman" w:hAnsi="Times New Roman" w:eastAsia="宋体" w:cs="Times New Roman"/>
          <w:b/>
          <w:color w:val="auto"/>
          <w:kern w:val="0"/>
          <w:sz w:val="24"/>
          <w:szCs w:val="32"/>
          <w:highlight w:val="none"/>
          <w:u w:val="none" w:color="auto"/>
          <w:lang w:val="en-US" w:eastAsia="zh-CN" w:bidi="ar-SA"/>
        </w:rPr>
      </w:pPr>
      <w:bookmarkStart w:id="162" w:name="6.8.4_事故应急监测方案"/>
      <w:bookmarkEnd w:id="162"/>
      <w:bookmarkStart w:id="163" w:name="_Toc24377"/>
      <w:r>
        <w:rPr>
          <w:rFonts w:hint="eastAsia" w:ascii="Times New Roman" w:hAnsi="Times New Roman" w:eastAsia="宋体" w:cs="Times New Roman"/>
          <w:b/>
          <w:color w:val="auto"/>
          <w:kern w:val="0"/>
          <w:sz w:val="24"/>
          <w:szCs w:val="32"/>
          <w:highlight w:val="none"/>
          <w:u w:val="none" w:color="auto"/>
          <w:lang w:val="en-US" w:eastAsia="zh-CN" w:bidi="ar-SA"/>
        </w:rPr>
        <w:t>6.4危险废物暂存过程事故风险防范措施</w:t>
      </w:r>
    </w:p>
    <w:p>
      <w:pPr>
        <w:autoSpaceDE w:val="0"/>
        <w:autoSpaceDN w:val="0"/>
        <w:spacing w:line="360" w:lineRule="auto"/>
        <w:ind w:firstLine="480"/>
        <w:rPr>
          <w:rFonts w:hint="default" w:ascii="Times New Roman" w:hAnsi="Times New Roman" w:eastAsia="宋体" w:cs="Times New Roman"/>
          <w:b w:val="0"/>
          <w:bCs/>
          <w:color w:val="auto"/>
          <w:kern w:val="0"/>
          <w:sz w:val="24"/>
          <w:highlight w:val="none"/>
          <w:u w:val="none" w:color="auto"/>
          <w:lang w:val="en-US" w:eastAsia="zh-CN" w:bidi="ar"/>
        </w:rPr>
      </w:pPr>
      <w:r>
        <w:rPr>
          <w:rFonts w:hint="default" w:ascii="Times New Roman" w:hAnsi="Times New Roman" w:eastAsia="宋体" w:cs="Times New Roman"/>
          <w:b w:val="0"/>
          <w:bCs/>
          <w:color w:val="auto"/>
          <w:kern w:val="0"/>
          <w:sz w:val="24"/>
          <w:highlight w:val="none"/>
          <w:u w:val="none" w:color="auto"/>
          <w:lang w:val="en-US" w:eastAsia="zh-CN" w:bidi="ar"/>
        </w:rPr>
        <w:t>本项目应针对危险废物的特性、数量，按照《危险废物贮存污染控制标准》（GBl8597-2023）要求，做好贮存风险事故防范工作。</w:t>
      </w:r>
    </w:p>
    <w:p>
      <w:pPr>
        <w:autoSpaceDE w:val="0"/>
        <w:autoSpaceDN w:val="0"/>
        <w:spacing w:line="360" w:lineRule="auto"/>
        <w:ind w:firstLine="480"/>
        <w:rPr>
          <w:rFonts w:hint="default" w:ascii="Times New Roman" w:hAnsi="Times New Roman" w:eastAsia="宋体" w:cs="Times New Roman"/>
          <w:b w:val="0"/>
          <w:bCs/>
          <w:color w:val="auto"/>
          <w:kern w:val="0"/>
          <w:sz w:val="24"/>
          <w:highlight w:val="none"/>
          <w:u w:val="none" w:color="auto"/>
          <w:lang w:val="en-US" w:eastAsia="zh-CN" w:bidi="ar"/>
        </w:rPr>
      </w:pPr>
      <w:r>
        <w:rPr>
          <w:rFonts w:hint="default" w:ascii="Times New Roman" w:hAnsi="Times New Roman" w:eastAsia="宋体" w:cs="Times New Roman"/>
          <w:b w:val="0"/>
          <w:bCs/>
          <w:color w:val="auto"/>
          <w:kern w:val="0"/>
          <w:sz w:val="24"/>
          <w:highlight w:val="none"/>
          <w:u w:val="none" w:color="auto"/>
          <w:lang w:val="en-US" w:eastAsia="zh-CN" w:bidi="ar"/>
        </w:rPr>
        <w:t>（1）危险废物贮存场所必须有符合《环境保护图形标志-固体废物贮存（处置）厂》（GB15562.2-1995）的专用标志；必须设置泄漏液体收集装置，防止液体废物意外泄漏造成无组织溢流渗入地下，还应建有堵截泄漏的裙角，地面与裙角要用兼顾防渗的材料建造，建筑材料必须与危险废物相容。</w:t>
      </w:r>
    </w:p>
    <w:p>
      <w:pPr>
        <w:autoSpaceDE w:val="0"/>
        <w:autoSpaceDN w:val="0"/>
        <w:spacing w:line="360" w:lineRule="auto"/>
        <w:ind w:firstLine="480"/>
        <w:rPr>
          <w:rFonts w:hint="default" w:ascii="Times New Roman" w:hAnsi="Times New Roman" w:eastAsia="宋体" w:cs="Times New Roman"/>
          <w:b w:val="0"/>
          <w:bCs/>
          <w:color w:val="auto"/>
          <w:kern w:val="0"/>
          <w:sz w:val="24"/>
          <w:highlight w:val="none"/>
          <w:u w:val="none" w:color="auto"/>
          <w:lang w:val="en-US" w:eastAsia="zh-CN" w:bidi="ar"/>
        </w:rPr>
      </w:pPr>
      <w:r>
        <w:rPr>
          <w:rFonts w:hint="default" w:ascii="Times New Roman" w:hAnsi="Times New Roman" w:eastAsia="宋体" w:cs="Times New Roman"/>
          <w:b w:val="0"/>
          <w:bCs/>
          <w:color w:val="auto"/>
          <w:kern w:val="0"/>
          <w:sz w:val="24"/>
          <w:highlight w:val="none"/>
          <w:u w:val="none" w:color="auto"/>
          <w:lang w:val="en-US" w:eastAsia="zh-CN" w:bidi="ar"/>
        </w:rPr>
        <w:t>（2）厂区内应设置截断阀门，发生泄漏时关闭污染物外排途径；</w:t>
      </w:r>
      <w:r>
        <w:rPr>
          <w:rFonts w:hint="eastAsia" w:ascii="Times New Roman" w:hAnsi="Times New Roman" w:eastAsia="宋体" w:cs="Times New Roman"/>
          <w:b w:val="0"/>
          <w:bCs/>
          <w:color w:val="auto"/>
          <w:kern w:val="0"/>
          <w:sz w:val="24"/>
          <w:highlight w:val="none"/>
          <w:u w:val="none" w:color="auto"/>
          <w:lang w:val="en-US" w:eastAsia="zh-CN" w:bidi="ar"/>
        </w:rPr>
        <w:t>危废间</w:t>
      </w:r>
      <w:r>
        <w:rPr>
          <w:rFonts w:hint="default" w:ascii="Times New Roman" w:hAnsi="Times New Roman" w:eastAsia="宋体" w:cs="Times New Roman"/>
          <w:b w:val="0"/>
          <w:bCs/>
          <w:color w:val="auto"/>
          <w:kern w:val="0"/>
          <w:sz w:val="24"/>
          <w:highlight w:val="none"/>
          <w:u w:val="none" w:color="auto"/>
          <w:lang w:val="en-US" w:eastAsia="zh-CN" w:bidi="ar"/>
        </w:rPr>
        <w:t>和储罐区四周应设置事故沟和围堰。</w:t>
      </w:r>
    </w:p>
    <w:p>
      <w:pPr>
        <w:autoSpaceDE w:val="0"/>
        <w:autoSpaceDN w:val="0"/>
        <w:spacing w:line="360" w:lineRule="auto"/>
        <w:ind w:firstLine="480"/>
        <w:rPr>
          <w:rFonts w:hint="default" w:ascii="Times New Roman" w:hAnsi="Times New Roman" w:eastAsia="宋体" w:cs="Times New Roman"/>
          <w:b w:val="0"/>
          <w:bCs/>
          <w:color w:val="auto"/>
          <w:kern w:val="0"/>
          <w:sz w:val="24"/>
          <w:highlight w:val="none"/>
          <w:u w:val="none" w:color="auto"/>
          <w:lang w:val="en-US" w:eastAsia="zh-CN" w:bidi="ar"/>
        </w:rPr>
      </w:pPr>
      <w:r>
        <w:rPr>
          <w:rFonts w:hint="default" w:ascii="Times New Roman" w:hAnsi="Times New Roman" w:eastAsia="宋体" w:cs="Times New Roman"/>
          <w:b w:val="0"/>
          <w:bCs/>
          <w:color w:val="auto"/>
          <w:kern w:val="0"/>
          <w:sz w:val="24"/>
          <w:highlight w:val="none"/>
          <w:u w:val="none" w:color="auto"/>
          <w:lang w:val="en-US" w:eastAsia="zh-CN" w:bidi="ar"/>
        </w:rPr>
        <w:t>（3）按储存的危险废物类别分别建设专用的贮存设施，贮存设施的地面与裙脚必须用坚固、防渗的材料建造，建筑材料与危险废物相容（即不相互反应）；必须有耐腐蚀的硬化地面，且表面无裂隙。</w:t>
      </w:r>
    </w:p>
    <w:p>
      <w:pPr>
        <w:pStyle w:val="121"/>
        <w:ind w:firstLine="480"/>
        <w:rPr>
          <w:rFonts w:hint="default" w:ascii="Times New Roman" w:hAnsi="宋体" w:eastAsia="宋体" w:cs="Times New Roman"/>
          <w:color w:val="auto"/>
          <w:lang w:val="en-US" w:eastAsia="zh-CN"/>
        </w:rPr>
      </w:pPr>
      <w:r>
        <w:rPr>
          <w:rFonts w:hint="default" w:ascii="Times New Roman" w:hAnsi="宋体" w:eastAsia="宋体" w:cs="Times New Roman"/>
          <w:color w:val="auto"/>
          <w:lang w:val="en-US" w:eastAsia="zh-CN"/>
        </w:rPr>
        <w:t>（4）在危险废物暂存仓库及储罐区建造径流疏导系统，保证能防止25年一遇的暴雨不会流到危险废物堆里。</w:t>
      </w:r>
    </w:p>
    <w:p>
      <w:pPr>
        <w:pStyle w:val="121"/>
        <w:ind w:firstLine="480"/>
        <w:rPr>
          <w:rFonts w:hint="default" w:ascii="Times New Roman" w:hAnsi="宋体" w:eastAsia="宋体" w:cs="Times New Roman"/>
          <w:color w:val="auto"/>
          <w:lang w:val="en-US" w:eastAsia="zh-CN"/>
        </w:rPr>
      </w:pPr>
      <w:r>
        <w:rPr>
          <w:rFonts w:hint="default" w:ascii="Times New Roman" w:hAnsi="宋体" w:eastAsia="宋体" w:cs="Times New Roman"/>
          <w:color w:val="auto"/>
          <w:lang w:val="en-US" w:eastAsia="zh-CN"/>
        </w:rPr>
        <w:t>（5）不相容的危险废物必须分开存放，并设有隔离间，废物储存应按废物种类及预测贮存数量减少分区贮藏和贮槽。</w:t>
      </w:r>
    </w:p>
    <w:p>
      <w:pPr>
        <w:widowControl w:val="0"/>
        <w:bidi w:val="0"/>
        <w:spacing w:line="360" w:lineRule="auto"/>
        <w:jc w:val="left"/>
        <w:outlineLvl w:val="2"/>
        <w:rPr>
          <w:rFonts w:hint="eastAsia" w:ascii="Times New Roman" w:hAnsi="Times New Roman" w:eastAsia="宋体" w:cs="Times New Roman"/>
          <w:b/>
          <w:color w:val="auto"/>
          <w:kern w:val="0"/>
          <w:sz w:val="24"/>
          <w:szCs w:val="32"/>
          <w:highlight w:val="none"/>
          <w:u w:val="none" w:color="auto"/>
          <w:lang w:val="zh-CN" w:eastAsia="zh-CN" w:bidi="ar-SA"/>
        </w:rPr>
      </w:pPr>
      <w:r>
        <w:rPr>
          <w:rFonts w:hint="eastAsia" w:ascii="Times New Roman" w:hAnsi="Times New Roman" w:eastAsia="宋体" w:cs="Times New Roman"/>
          <w:b/>
          <w:color w:val="auto"/>
          <w:kern w:val="0"/>
          <w:sz w:val="24"/>
          <w:szCs w:val="32"/>
          <w:highlight w:val="none"/>
          <w:u w:val="none" w:color="auto"/>
          <w:lang w:val="en-US" w:eastAsia="zh-CN" w:bidi="ar-SA"/>
        </w:rPr>
        <w:t>6.5</w:t>
      </w:r>
      <w:r>
        <w:rPr>
          <w:rFonts w:hint="eastAsia" w:cs="Times New Roman"/>
          <w:b/>
          <w:color w:val="auto"/>
          <w:kern w:val="0"/>
          <w:sz w:val="24"/>
          <w:szCs w:val="32"/>
          <w:highlight w:val="none"/>
          <w:u w:val="none" w:color="auto"/>
          <w:lang w:val="en-US" w:eastAsia="zh-CN" w:bidi="ar-SA"/>
        </w:rPr>
        <w:t>火</w:t>
      </w:r>
      <w:r>
        <w:rPr>
          <w:rFonts w:hint="eastAsia" w:ascii="Times New Roman" w:hAnsi="Times New Roman" w:eastAsia="宋体" w:cs="Times New Roman"/>
          <w:b/>
          <w:color w:val="auto"/>
          <w:kern w:val="0"/>
          <w:sz w:val="24"/>
          <w:szCs w:val="32"/>
          <w:highlight w:val="none"/>
          <w:u w:val="none" w:color="auto"/>
          <w:lang w:val="zh-CN" w:eastAsia="zh-CN" w:bidi="ar-SA"/>
        </w:rPr>
        <w:t>灾爆炸引发的次生环境风险防范措施</w:t>
      </w:r>
    </w:p>
    <w:p>
      <w:pPr>
        <w:pStyle w:val="121"/>
        <w:ind w:firstLine="480"/>
        <w:rPr>
          <w:rFonts w:hAnsi="宋体" w:cs="Times New Roman"/>
          <w:color w:val="auto"/>
        </w:rPr>
      </w:pPr>
      <w:r>
        <w:rPr>
          <w:rFonts w:hint="eastAsia" w:hAnsi="宋体" w:cs="Times New Roman"/>
          <w:color w:val="auto"/>
        </w:rPr>
        <w:t>（1）次生水环境风险防范、应急措施</w:t>
      </w:r>
    </w:p>
    <w:p>
      <w:pPr>
        <w:pStyle w:val="121"/>
        <w:ind w:firstLine="480"/>
        <w:rPr>
          <w:rFonts w:hAnsi="宋体" w:cs="Times New Roman"/>
          <w:color w:val="auto"/>
        </w:rPr>
      </w:pPr>
      <w:r>
        <w:rPr>
          <w:rFonts w:hint="eastAsia" w:hAnsi="宋体" w:cs="Times New Roman"/>
          <w:color w:val="auto"/>
        </w:rPr>
        <w:t>防范措施：废机油储存于危险废物暂存间内。</w:t>
      </w:r>
      <w:r>
        <w:rPr>
          <w:rFonts w:hint="eastAsia" w:hAnsi="宋体" w:cs="Times New Roman"/>
          <w:color w:val="auto"/>
          <w:lang w:eastAsia="zh-CN"/>
        </w:rPr>
        <w:t>物料</w:t>
      </w:r>
      <w:r>
        <w:rPr>
          <w:rFonts w:hint="eastAsia" w:hAnsi="宋体" w:cs="Times New Roman"/>
          <w:color w:val="auto"/>
        </w:rPr>
        <w:t>存放处应远离火种、热源，存放处粘贴警示标志，周边严禁烟火，防止发生火灾爆炸等危险。另外，按照《建筑灭火器配置设计规范》（GB50140-2005），存放处旁配置一定数量不同类型、不同规格的移动式灭火器材，以便及时扑救初始零星火灾，减少采用消防水灭火的可能性。</w:t>
      </w:r>
    </w:p>
    <w:p>
      <w:pPr>
        <w:pStyle w:val="121"/>
        <w:ind w:firstLine="480"/>
        <w:rPr>
          <w:rFonts w:hAnsi="宋体" w:cs="Times New Roman"/>
          <w:color w:val="auto"/>
        </w:rPr>
      </w:pPr>
      <w:r>
        <w:rPr>
          <w:rFonts w:hint="eastAsia" w:hAnsi="宋体" w:cs="Times New Roman"/>
          <w:color w:val="auto"/>
        </w:rPr>
        <w:t>应急措施：①发出火灾警报，疏散无关人员，停止厂区一切生产活动，关闭所有管线；②一旦发生火灾爆炸等事故并产生消防废水，未漫流到厂外时，应立即将消防废水引至事故应急池中，并关闭事故池排放口，控制在厂区范围之内；③在消防完成后，联系有资质的水治理单位，将收集的消防废水采用槽车运出厂区集中处理或根据实际情况做消除措施后再行排放。</w:t>
      </w:r>
    </w:p>
    <w:p>
      <w:pPr>
        <w:pStyle w:val="121"/>
        <w:ind w:firstLine="480"/>
        <w:rPr>
          <w:rFonts w:hAnsi="宋体" w:cs="Times New Roman"/>
          <w:color w:val="auto"/>
        </w:rPr>
      </w:pPr>
      <w:r>
        <w:rPr>
          <w:rFonts w:hint="eastAsia" w:hAnsi="宋体" w:cs="Times New Roman"/>
          <w:color w:val="auto"/>
        </w:rPr>
        <w:t>（2）次生大气环境风险防范、应急措施</w:t>
      </w:r>
    </w:p>
    <w:p>
      <w:pPr>
        <w:pStyle w:val="121"/>
        <w:ind w:firstLine="480"/>
        <w:rPr>
          <w:rFonts w:hAnsi="宋体" w:cs="Times New Roman"/>
          <w:color w:val="auto"/>
        </w:rPr>
      </w:pPr>
      <w:r>
        <w:rPr>
          <w:rFonts w:hint="eastAsia" w:hAnsi="宋体" w:cs="Times New Roman"/>
          <w:color w:val="auto"/>
        </w:rPr>
        <w:t>在危险物质的储运和使用过程中，如发生火灾事故，需注意发生一氧化碳和其他有毒气体的外泄，因此需要采取快速、有效的安全技术措施，如灭火、喷淋，来消除或减少泄漏危害，如果对泄漏控制不住或处理不当，有可能转化为中毒、人员伤亡等重大事故，特别是近距离作业人员的危险性更高。</w:t>
      </w:r>
    </w:p>
    <w:p>
      <w:pPr>
        <w:pStyle w:val="121"/>
        <w:ind w:firstLine="480"/>
        <w:rPr>
          <w:rFonts w:hAnsi="宋体" w:cs="Times New Roman"/>
          <w:color w:val="auto"/>
        </w:rPr>
      </w:pPr>
      <w:r>
        <w:rPr>
          <w:rFonts w:hint="eastAsia" w:hAnsi="宋体" w:cs="Times New Roman"/>
          <w:color w:val="auto"/>
        </w:rPr>
        <w:t>①疏散与隔离</w:t>
      </w:r>
    </w:p>
    <w:p>
      <w:pPr>
        <w:pStyle w:val="121"/>
        <w:ind w:firstLine="480"/>
        <w:rPr>
          <w:rFonts w:hAnsi="宋体" w:cs="Times New Roman"/>
          <w:color w:val="auto"/>
        </w:rPr>
      </w:pPr>
      <w:r>
        <w:rPr>
          <w:rFonts w:hint="eastAsia" w:hAnsi="宋体" w:cs="Times New Roman"/>
          <w:color w:val="auto"/>
        </w:rPr>
        <w:t>在生产、储运过程中一旦发生火灾事故及次生有毒气体泄漏，首先要疏散无关人员，隔离泄漏污染区。必要时拨打“119”、“120”急救电话。</w:t>
      </w:r>
    </w:p>
    <w:p>
      <w:pPr>
        <w:pStyle w:val="121"/>
        <w:ind w:firstLine="480"/>
        <w:rPr>
          <w:rFonts w:hAnsi="宋体" w:cs="Times New Roman"/>
          <w:color w:val="auto"/>
        </w:rPr>
      </w:pPr>
      <w:r>
        <w:rPr>
          <w:rFonts w:hint="eastAsia" w:hAnsi="宋体" w:cs="Times New Roman"/>
          <w:color w:val="auto"/>
        </w:rPr>
        <w:t>②个人防护</w:t>
      </w:r>
    </w:p>
    <w:p>
      <w:pPr>
        <w:pStyle w:val="121"/>
        <w:ind w:firstLine="480"/>
        <w:rPr>
          <w:rFonts w:hAnsi="宋体" w:cs="Times New Roman"/>
          <w:color w:val="auto"/>
        </w:rPr>
      </w:pPr>
      <w:r>
        <w:rPr>
          <w:rFonts w:hint="eastAsia" w:hAnsi="宋体" w:cs="Times New Roman"/>
          <w:color w:val="auto"/>
        </w:rPr>
        <w:t>参加事故应急处理人员应对泄漏气体化学性质和反应特性有充分的了解，要于高处和上风处进行处理，并严禁单独行动，要有监护人。要根据泄漏品的性质和毒物接触形式，选择适当的防护用品，加强应急处理个人安全防护，防止处理过程中发生中毒、伤亡事故。</w:t>
      </w:r>
    </w:p>
    <w:p>
      <w:pPr>
        <w:pStyle w:val="121"/>
        <w:ind w:firstLine="480"/>
        <w:rPr>
          <w:rFonts w:hAnsi="宋体" w:cs="Times New Roman"/>
          <w:color w:val="auto"/>
        </w:rPr>
      </w:pPr>
      <w:r>
        <w:rPr>
          <w:rFonts w:hint="eastAsia" w:hAnsi="宋体" w:cs="Times New Roman"/>
          <w:color w:val="auto"/>
        </w:rPr>
        <w:t>③切断火源</w:t>
      </w:r>
    </w:p>
    <w:p>
      <w:pPr>
        <w:pStyle w:val="121"/>
        <w:ind w:firstLine="480"/>
        <w:rPr>
          <w:rFonts w:hAnsi="宋体" w:cs="Times New Roman"/>
          <w:color w:val="auto"/>
        </w:rPr>
      </w:pPr>
      <w:r>
        <w:rPr>
          <w:rFonts w:hint="eastAsia" w:hAnsi="宋体" w:cs="Times New Roman"/>
          <w:color w:val="auto"/>
        </w:rPr>
        <w:t>切断火源对火灾事故处理特别重要，如果发生电路板火灾事故，则必须立即消除废电路板暂存区域内的各种火源。</w:t>
      </w:r>
    </w:p>
    <w:p>
      <w:pPr>
        <w:pStyle w:val="121"/>
        <w:ind w:firstLine="480"/>
        <w:rPr>
          <w:rFonts w:hAnsi="宋体" w:cs="Times New Roman"/>
          <w:color w:val="auto"/>
        </w:rPr>
      </w:pPr>
      <w:r>
        <w:rPr>
          <w:rFonts w:hint="eastAsia" w:hAnsi="宋体" w:cs="Times New Roman"/>
          <w:color w:val="auto"/>
        </w:rPr>
        <w:t>④火灾事故源控制</w:t>
      </w:r>
    </w:p>
    <w:p>
      <w:pPr>
        <w:pStyle w:val="121"/>
        <w:ind w:firstLine="480"/>
        <w:rPr>
          <w:rFonts w:hint="eastAsia" w:ascii="Times New Roman" w:hAnsi="宋体" w:eastAsia="宋体" w:cs="Times New Roman"/>
          <w:color w:val="auto"/>
        </w:rPr>
      </w:pPr>
      <w:r>
        <w:rPr>
          <w:rFonts w:hint="eastAsia" w:ascii="Times New Roman" w:hAnsi="宋体" w:eastAsia="宋体" w:cs="Times New Roman"/>
          <w:color w:val="auto"/>
        </w:rPr>
        <w:t>火灾事故应优先控制火源、灭火，防止二次事故的发生。通常是采用消防水枪或消防水带向有害物蒸汽云喷射雾状水，加速气体向高空扩散，使其在安全地带扩散；在使用这一技术时，将产生大量的被污染水，因此应疏通消防废水收集系统。</w:t>
      </w:r>
    </w:p>
    <w:p>
      <w:pPr>
        <w:rPr>
          <w:rFonts w:hint="eastAsia" w:ascii="Times New Roman" w:hAnsi="宋体" w:eastAsia="宋体" w:cs="Times New Roman"/>
          <w:color w:val="auto"/>
        </w:rPr>
      </w:pPr>
      <w:r>
        <w:rPr>
          <w:rFonts w:hint="eastAsia" w:ascii="Times New Roman" w:hAnsi="宋体" w:eastAsia="宋体" w:cs="Times New Roman"/>
          <w:color w:val="auto"/>
        </w:rPr>
        <w:br w:type="page"/>
      </w:r>
    </w:p>
    <w:bookmarkEnd w:id="163"/>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u w:val="none" w:color="auto"/>
          <w:lang w:val="en-US" w:eastAsia="zh-CN" w:bidi="ar-SA"/>
        </w:rPr>
      </w:pPr>
      <w:bookmarkStart w:id="164" w:name="_Toc16249"/>
      <w:bookmarkStart w:id="165" w:name="_Toc12813"/>
      <w:bookmarkStart w:id="166" w:name="_Toc19498"/>
      <w:r>
        <w:rPr>
          <w:rFonts w:hint="default" w:ascii="Times New Roman" w:hAnsi="Times New Roman" w:eastAsia="宋体" w:cs="Times New Roman"/>
          <w:b/>
          <w:bCs/>
          <w:color w:val="auto"/>
          <w:kern w:val="44"/>
          <w:sz w:val="36"/>
          <w:szCs w:val="44"/>
          <w:u w:val="none" w:color="auto"/>
          <w:lang w:val="en-US" w:eastAsia="zh-CN" w:bidi="ar-SA"/>
        </w:rPr>
        <w:t>突发环境事件应急预案编制要求</w:t>
      </w:r>
      <w:bookmarkEnd w:id="164"/>
      <w:bookmarkEnd w:id="165"/>
    </w:p>
    <w:p>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outlineLvl w:val="2"/>
        <w:rPr>
          <w:rFonts w:hint="default" w:ascii="Times New Roman" w:hAnsi="Times New Roman" w:cs="Times New Roman"/>
          <w:b/>
          <w:bCs/>
          <w:color w:val="auto"/>
          <w:kern w:val="2"/>
          <w:sz w:val="24"/>
          <w:szCs w:val="40"/>
          <w:u w:val="none" w:color="auto"/>
          <w:lang w:val="en-US" w:eastAsia="zh-CN" w:bidi="ar-SA"/>
        </w:rPr>
      </w:pPr>
      <w:bookmarkStart w:id="167" w:name="_Toc22390770"/>
      <w:bookmarkStart w:id="168" w:name="_Toc22391549"/>
      <w:bookmarkStart w:id="169" w:name="_Toc22570989"/>
      <w:r>
        <w:rPr>
          <w:rFonts w:hint="eastAsia" w:ascii="Times New Roman" w:hAnsi="Times New Roman" w:cs="Times New Roman"/>
          <w:b/>
          <w:bCs/>
          <w:color w:val="auto"/>
          <w:kern w:val="2"/>
          <w:sz w:val="24"/>
          <w:szCs w:val="40"/>
          <w:u w:val="none" w:color="auto"/>
          <w:lang w:val="en-US" w:eastAsia="zh-CN" w:bidi="ar-SA"/>
        </w:rPr>
        <w:t>7</w:t>
      </w:r>
      <w:r>
        <w:rPr>
          <w:rFonts w:hint="default" w:ascii="Times New Roman" w:hAnsi="Times New Roman" w:cs="Times New Roman"/>
          <w:b/>
          <w:bCs/>
          <w:color w:val="auto"/>
          <w:kern w:val="2"/>
          <w:sz w:val="24"/>
          <w:szCs w:val="40"/>
          <w:u w:val="none" w:color="auto"/>
          <w:lang w:val="en-US" w:eastAsia="zh-CN" w:bidi="ar-SA"/>
        </w:rPr>
        <w:t>.1企业突发环境事件应急预案编制原则及要求</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本项目存在潜在的环境污染、火灾及爆炸等风险，在采取了较完善的风险防范措施后，风险事故的概率会降低，但不会为零。根据《中</w:t>
      </w:r>
      <w:r>
        <w:rPr>
          <w:rFonts w:hint="eastAsia" w:ascii="Times New Roman" w:hAnsi="Times New Roman" w:eastAsia="宋体" w:cs="Times New Roman"/>
          <w:bCs/>
          <w:color w:val="auto"/>
          <w:kern w:val="0"/>
          <w:sz w:val="24"/>
          <w:highlight w:val="none"/>
          <w:u w:val="none"/>
          <w:lang w:val="en-US" w:eastAsia="zh-CN" w:bidi="ar"/>
        </w:rPr>
        <w:t>华</w:t>
      </w:r>
      <w:r>
        <w:rPr>
          <w:rFonts w:hint="default" w:ascii="Times New Roman" w:hAnsi="Times New Roman" w:eastAsia="宋体" w:cs="Times New Roman"/>
          <w:bCs/>
          <w:color w:val="auto"/>
          <w:kern w:val="0"/>
          <w:sz w:val="24"/>
          <w:highlight w:val="none"/>
          <w:u w:val="none"/>
          <w:lang w:val="en-US" w:eastAsia="zh-CN" w:bidi="ar"/>
        </w:rPr>
        <w:t>人民共和国</w:t>
      </w:r>
      <w:r>
        <w:rPr>
          <w:rFonts w:hint="eastAsia" w:ascii="Times New Roman" w:hAnsi="Times New Roman" w:eastAsia="宋体" w:cs="Times New Roman"/>
          <w:bCs/>
          <w:color w:val="auto"/>
          <w:kern w:val="0"/>
          <w:sz w:val="24"/>
          <w:highlight w:val="none"/>
          <w:u w:val="none"/>
          <w:lang w:val="en-US" w:eastAsia="zh-CN" w:bidi="ar"/>
        </w:rPr>
        <w:t>环境保护法</w:t>
      </w:r>
      <w:r>
        <w:rPr>
          <w:rFonts w:hint="default" w:ascii="Times New Roman" w:hAnsi="Times New Roman" w:eastAsia="宋体" w:cs="Times New Roman"/>
          <w:bCs/>
          <w:color w:val="auto"/>
          <w:kern w:val="0"/>
          <w:sz w:val="24"/>
          <w:highlight w:val="none"/>
          <w:u w:val="none"/>
          <w:lang w:val="en-US" w:eastAsia="zh-CN" w:bidi="ar"/>
        </w:rPr>
        <w:t>》（2014修订）、《国家突发环境事件应急预案》（国办函[2014]119号）、《企业事业单位突发环境事件应急预案备案管理办法（试行）》（环发[2015]4号）、《企业突发环境事件风险分级方法》（HJ941-2018）、《企业事业单位突发环境事件应急预案评审工作指南（试行）》（环办应急[2018]8号）等要求，企业必须编制企业突发环境事件应急预案，以便在发生风险事故时，能以最快的速度发挥最大效能，有序的实施救援，尽快控制事态的发展，降低事故造成的危害，减少事故造成的损失。本项目企业突发环境事件应急预案编制应包括预案适用范围、环境事件分类与分级、组织机构与职责、监控和预警、应急响应、应急保障、善后处置、预案管理和演练等内容，且结合企业实际，定期修编企业的突发环境事件应急预案。企业突发环境事件应急预案编制要求如下：</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（1）预案适用范围</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说明应急预案适用的范围，以及可能发生突发环境事件的类型。</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（2）环境事件分类与分级</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按照事件严重程度，突发环境事件分为特别重大、重大、较大和一般四级。</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（3）组织机构与职责</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①内部应急组织机构与职责：为应对突发环境事件，企业可成立应急指挥中心，建立应急组织机构，对突发环境事件的预警和处置等进行统一指挥协调。明确总指挥、副总指挥及相应职责。发生突发环境事件时成立现场应急指挥部，现场应急指挥部可由企业应急指挥中心兼任，也可由应急指挥中心根据现场具体情况确定其现场指挥部的组成。根据可能发生的突发环境事件类型和应急工作需要，应急组织机构设置相应的应急响应工作组，并明确各组的工作任务和职责。对易发生突发环境事件的工段或部门，需明确该工段或部门的负责人为现场应急负责人，负责事发时的先期处置。各小组成员相对固定，在启动应急预案时，随时待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企业具有专（兼）职应急救援队伍时，明确其在应急组织机构中的职能。企业具有相应环境监测能力时，应建立应急监测组；涉及化学品危害较大、处置复杂、专业性强的，可建立专家组。说明各级应急指挥之间的关系，明确协调机制、应急行动、资源调配、应急避险等响应程序。</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②外部指挥与协调企业建立与上级主管部门及所在地环境保护主管部门之间的应急联动机制，统筹配置应急救援组织机构、队伍、装备和物资，共享区域应急资源，提高共同应对突发环境事件的能力和水平。当发生突发环境事件时，参考《突发环境事件信息报告办法》规定，企业设置专人负责联络汇报，配合兵团各级及其有关部门的应急处置工作。</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（4）监控和预警</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①监控列出企业采取的监控措施及落实情况，如环境安全管理制度、环境安全隐患排查治理制度、重点岗位巡检制度、重要设施（包括交通、通信、供水、供电、供气、报警、监控等）检测维护制度、环境风险评估制度、日常监测制度、应急培训制度、信息报告制度、应急救援物资储备供给制度和救援队伍建设管理制度、应急演练制度等。</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②预警企业根据实际情况设定发布预警的条件，明确预警分级及预警解除条件。</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（5）应急响应</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企业根据发生突发环境事件的危害程度、影响范围和企业对事件的可控能力，结合事件分级，对突发环境事件进行响应分级。制定应急响应程序、明确应急终止条件、程序等。</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（6）应急保障</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应急终止后对现场污染物进行后续处理，对应急仪器设备进行维护、保养，恢复企业设备（施）的正常运转，进行撤点、撤离和交接程序，逐步恢复企业的正常生产秩序。提出应急终止后进行受灾人员的安置工作及损失赔偿等善后工作内容。提出应急的人资源保障、资金保障、物资保障、医疗卫生保障、交通运输保障、通信与信息保障等内容。</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（7）善后处置</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提出组织制订补助、补偿、抚慰、抚恤、安置和环境恢复等善后工作方案。</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（8）预案管理和演练</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应明确企业环境应急预案的演习和训练的内容、范围、频次等，并进行演练过程的记录和演习的评价、总结与追踪。</w:t>
      </w:r>
    </w:p>
    <w:p>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outlineLvl w:val="2"/>
        <w:rPr>
          <w:rFonts w:hint="default" w:ascii="Times New Roman" w:hAnsi="Times New Roman" w:cs="Times New Roman"/>
          <w:b/>
          <w:bCs/>
          <w:color w:val="auto"/>
          <w:kern w:val="2"/>
          <w:sz w:val="24"/>
          <w:szCs w:val="40"/>
          <w:u w:val="none" w:color="auto"/>
          <w:lang w:val="en-US" w:eastAsia="zh-CN" w:bidi="ar-SA"/>
        </w:rPr>
      </w:pPr>
      <w:r>
        <w:rPr>
          <w:rFonts w:hint="eastAsia" w:ascii="Times New Roman" w:hAnsi="Times New Roman" w:cs="Times New Roman"/>
          <w:b/>
          <w:bCs/>
          <w:color w:val="auto"/>
          <w:kern w:val="2"/>
          <w:sz w:val="24"/>
          <w:szCs w:val="40"/>
          <w:u w:val="none" w:color="auto"/>
          <w:lang w:val="en-US" w:eastAsia="zh-CN" w:bidi="ar-SA"/>
        </w:rPr>
        <w:t>7</w:t>
      </w:r>
      <w:r>
        <w:rPr>
          <w:rFonts w:hint="default" w:ascii="Times New Roman" w:hAnsi="Times New Roman" w:cs="Times New Roman"/>
          <w:b/>
          <w:bCs/>
          <w:color w:val="auto"/>
          <w:kern w:val="2"/>
          <w:sz w:val="24"/>
          <w:szCs w:val="40"/>
          <w:u w:val="none" w:color="auto"/>
          <w:lang w:val="en-US" w:eastAsia="zh-CN" w:bidi="ar-SA"/>
        </w:rPr>
        <w:t>.2响应分级程序</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企业突发环境事件应急预案应体现分级响应、区域联动原则，并与地方政府突发环境事件应急预案相衔接。响应分级程序具体如下：</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（1）响应分级</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根据事故的影响范围和可控性，将响应级别分在如下三级：</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Ⅰ级响应（社会应急）：完全紧急状态事故范围扩大，难以控制，超出了本单位的范围，使临近单位受到影响，或产生连锁反应，影响事故现场之外的周围地区，需要外部力量，如政府派专家、资源进行支援，或危害严重，对生命和财产构成极端威胁，可能需要大范围撤离的事故。</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在Ⅰ级完全紧急状态下，公司必须在第一时间内向政府有关部门或其他外部应急/救援力量报警，请求支援；并根据应急预案或外部的有关指示采取先期应急措施。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Ⅱ级（企业应急）：有限的紧急状态较大范围的事故，限制在单位内的现场周边地区或只有有限的扩散范围，影响到相邻的生产单元；或较大威胁的事故，该事故对生命和财产构成潜在威胁，周边区域的人员需要有限撤离。</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在Ⅱ级有限的紧急状态下，需要调度公司应急队伍进行应急处置；在第一时间内向安环部及公司高层管理人员报警；必要时向外部应急/救援力量请求援助，并视情随时续报情况。</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Ⅲ级（预警应急）：潜在的紧急状态事故限制在单位内的小区域范围内，不立即对生命财产构成威胁，除所涉及的设施及其邻近设施的人员外，不需要额外撤离其他人员，或事故可以被第一反应人或本岗位当班人员控制，一般不需要外部援助得事故，在Ⅲ级潜在的紧急状态下，可完全依靠岗位或公司自身应急能力处理。</w:t>
      </w:r>
    </w:p>
    <w:p>
      <w:pPr>
        <w:autoSpaceDE w:val="0"/>
        <w:autoSpaceDN w:val="0"/>
        <w:spacing w:line="360" w:lineRule="auto"/>
        <w:ind w:firstLine="480"/>
        <w:jc w:val="center"/>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drawing>
          <wp:inline distT="0" distB="0" distL="114300" distR="114300">
            <wp:extent cx="3908425" cy="4594225"/>
            <wp:effectExtent l="0" t="0" r="15875" b="158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0"/>
                    <a:stretch>
                      <a:fillRect/>
                    </a:stretch>
                  </pic:blipFill>
                  <pic:spPr>
                    <a:xfrm>
                      <a:off x="0" y="0"/>
                      <a:ext cx="3908425" cy="4594225"/>
                    </a:xfrm>
                    <a:prstGeom prst="rect">
                      <a:avLst/>
                    </a:prstGeom>
                    <a:noFill/>
                    <a:ln>
                      <a:noFill/>
                    </a:ln>
                  </pic:spPr>
                </pic:pic>
              </a:graphicData>
            </a:graphic>
          </wp:inline>
        </w:drawing>
      </w:r>
    </w:p>
    <w:p>
      <w:pPr>
        <w:autoSpaceDE w:val="0"/>
        <w:autoSpaceDN w:val="0"/>
        <w:spacing w:line="360" w:lineRule="auto"/>
        <w:ind w:firstLine="480"/>
        <w:jc w:val="center"/>
        <w:rPr>
          <w:rFonts w:hint="default" w:ascii="Times New Roman" w:hAnsi="Times New Roman" w:eastAsia="宋体" w:cs="Times New Roman"/>
          <w:b/>
          <w:bCs w:val="0"/>
          <w:color w:val="auto"/>
          <w:kern w:val="0"/>
          <w:sz w:val="24"/>
          <w:highlight w:val="none"/>
          <w:u w:val="none"/>
          <w:lang w:val="en-US" w:eastAsia="zh-CN" w:bidi="ar"/>
        </w:rPr>
      </w:pPr>
      <w:r>
        <w:rPr>
          <w:rFonts w:hint="default" w:ascii="Times New Roman" w:hAnsi="Times New Roman" w:eastAsia="宋体" w:cs="Times New Roman"/>
          <w:b/>
          <w:bCs w:val="0"/>
          <w:color w:val="auto"/>
          <w:kern w:val="0"/>
          <w:sz w:val="24"/>
          <w:highlight w:val="none"/>
          <w:u w:val="none"/>
          <w:lang w:val="en-US" w:eastAsia="zh-CN" w:bidi="ar"/>
        </w:rPr>
        <w:t>图8.2-1应急响应程序框图</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（2）响应程序</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①报警程序</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1.企业员工或操作人员在发现发生事件或紧急情况下，应立即向当班班长报告或立即拨打保安室报警电话，并同时报告企业主要负责人。</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2.报警人员报警内容应包括：</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（1）发生事件的具体地点；</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（2）事件类型（火灾、爆炸、中毒、泄漏等）；</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（3）涉及的设备、物料种类；</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（4）有无人员伤亡；</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（5）事件严重程度。</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3.值班人员接到报警后，立即通知应急总指挥，由总指挥确定是否启动相应的应急救援预案，并同时上报上级主管部门。</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4.总指挥通过报警系统通知各应急救援组和企业内人员，让他们了解企业内发生的事件或紧急情况，动员应急人员立即采取行动，并提醒其他无关人员采取进入安全避难地点、转移到安全地点或撤离企业等防护行动。</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5.通讯联络组要立即投入工作，保持企业内指挥中心与各应急救援组织的通讯联络畅通，同时，要保持与外部相关机构的联络的畅通。</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6.总指挥根据事件性质应做好公众防护行动的准备工作，以便在紧急情况下为政府提供建议。</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3、现场处置工作方案现场处置工作方案应明确以下内容：</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（1）危险区隔离、安全区设定、切断污染源所采取的技术措施及操作程序；</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（2）控制污染扩散和消除污染的紧急措施；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（3）控制污染事件扩大或恶化（如确保不发生大范围污染，不重新发生或传播到其它单位，不扩大中毒人员数量）的措施；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（4）污染事件可能扩大后的应急措施，有关现场应急过程记录的规定；</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5）废物的安全转移等。现场应急处置行动方案应当经专家评估，避免因前期应急行动不当导致事件扩大或引发新的污染事件。例如，受限空间的应急救援方案，应当考虑设置检测设备和通风设施，以及个体防护装备，防止有毒气体危害应急工作人员。</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现场应急处置工作的重点包括：</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（1）迅速控制污染源，防止污染事件继续扩大。</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（2）采取拦截、收容、隔离、固化、启动备用设备和电源等措施，及时处置污染物，消除事件危害。</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4、应急监测</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根据公司经营特点，建立事件状态下包括监测泄漏、压力集聚情况，气体发生的情况，阀门、管道或其他装置的破裂情况，以及污染物的排放情况等在内的监测方案，以确定选择合适的应急装备和个人防护设施。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5、应急终止</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（1）应急终止应满足以下条件：</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a.事件现场得到控制，污染或危险已经解除；</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b.监测表明，污染因子已降至规定限制范围以内；</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c.事件造成的危害已经基本消除且无继发的可能；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d.现场的各种专业应急处置行动已无继续的必要；</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e.采取了必要的防护措施以保护公众的安全健康免受再次危害，事件可能引起的中长期影响趋于合理且尽量低的水平。</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（2）后期工作各救援组组长将事件抢险的详情、参与的救援队伍、使用的其他应急情况、事件现场的恢复等情况向总指挥报告。</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（3）通知相关部门、周边社区及人员总指挥或政府应急指挥中心宣布事件应急救援工作结束后，由通讯联络组人员负责通知本单位相关部门、周边社区及人员事件危险已解除。</w:t>
      </w:r>
    </w:p>
    <w:p>
      <w:pPr>
        <w:autoSpaceDE w:val="0"/>
        <w:autoSpaceDN w:val="0"/>
        <w:spacing w:line="240" w:lineRule="auto"/>
        <w:jc w:val="center"/>
        <w:rPr>
          <w:rFonts w:hint="default" w:ascii="Times New Roman" w:hAnsi="Times New Roman" w:eastAsia="宋体" w:cs="Times New Roman"/>
          <w:b/>
          <w:bCs/>
          <w:color w:val="auto"/>
          <w:sz w:val="24"/>
          <w:szCs w:val="40"/>
          <w:u w:val="none" w:color="auto"/>
        </w:rPr>
      </w:pPr>
      <w:r>
        <w:rPr>
          <w:rFonts w:hint="default" w:ascii="Times New Roman" w:hAnsi="Times New Roman" w:eastAsia="宋体" w:cs="Times New Roman"/>
          <w:b/>
          <w:bCs/>
          <w:color w:val="auto"/>
          <w:sz w:val="24"/>
          <w:szCs w:val="40"/>
          <w:u w:val="none" w:color="auto"/>
          <w:lang w:val="en-US" w:eastAsia="zh-CN"/>
        </w:rPr>
        <w:t>表</w:t>
      </w:r>
      <w:r>
        <w:rPr>
          <w:rFonts w:hint="eastAsia" w:ascii="Times New Roman" w:hAnsi="Times New Roman" w:cs="Times New Roman"/>
          <w:b/>
          <w:bCs/>
          <w:color w:val="auto"/>
          <w:sz w:val="24"/>
          <w:szCs w:val="40"/>
          <w:u w:val="none" w:color="auto"/>
          <w:lang w:val="en-US" w:eastAsia="zh-CN"/>
        </w:rPr>
        <w:t>7</w:t>
      </w:r>
      <w:r>
        <w:rPr>
          <w:rFonts w:hint="default" w:ascii="Times New Roman" w:hAnsi="Times New Roman" w:cs="Times New Roman"/>
          <w:b/>
          <w:bCs/>
          <w:color w:val="auto"/>
          <w:sz w:val="24"/>
          <w:szCs w:val="40"/>
          <w:u w:val="none" w:color="auto"/>
          <w:lang w:val="en-US" w:eastAsia="zh-CN"/>
        </w:rPr>
        <w:t>.2</w:t>
      </w:r>
      <w:r>
        <w:rPr>
          <w:rFonts w:hint="default" w:ascii="Times New Roman" w:hAnsi="Times New Roman" w:eastAsia="宋体" w:cs="Times New Roman"/>
          <w:b/>
          <w:bCs/>
          <w:color w:val="auto"/>
          <w:sz w:val="24"/>
          <w:szCs w:val="40"/>
          <w:u w:val="none" w:color="auto"/>
          <w:lang w:val="en-US" w:eastAsia="zh-CN"/>
        </w:rPr>
        <w:t>-1本项目事故情况下的环境监测计划一览表</w:t>
      </w:r>
    </w:p>
    <w:tbl>
      <w:tblPr>
        <w:tblStyle w:val="2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1052"/>
        <w:gridCol w:w="6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2131"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val="0"/>
                <w:color w:val="auto"/>
                <w:kern w:val="0"/>
                <w:sz w:val="21"/>
                <w:szCs w:val="21"/>
                <w:highlight w:val="none"/>
                <w:u w:val="none"/>
                <w:lang w:val="en-US" w:eastAsia="zh-CN" w:bidi="ar"/>
              </w:rPr>
            </w:pPr>
            <w:r>
              <w:rPr>
                <w:rFonts w:hint="default" w:ascii="Times New Roman" w:hAnsi="Times New Roman" w:eastAsia="宋体" w:cs="Times New Roman"/>
                <w:b/>
                <w:bCs w:val="0"/>
                <w:color w:val="auto"/>
                <w:kern w:val="0"/>
                <w:sz w:val="21"/>
                <w:szCs w:val="21"/>
                <w:highlight w:val="none"/>
                <w:u w:val="none"/>
                <w:lang w:val="en-US" w:eastAsia="zh-CN" w:bidi="ar"/>
              </w:rPr>
              <w:t>项目</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bCs w:val="0"/>
                <w:color w:val="auto"/>
                <w:kern w:val="0"/>
                <w:sz w:val="21"/>
                <w:szCs w:val="21"/>
                <w:highlight w:val="none"/>
                <w:u w:val="none"/>
                <w:lang w:val="en-US" w:eastAsia="zh-CN" w:bidi="ar"/>
              </w:rPr>
            </w:pPr>
            <w:r>
              <w:rPr>
                <w:rFonts w:hint="default" w:ascii="Times New Roman" w:hAnsi="Times New Roman" w:eastAsia="宋体" w:cs="Times New Roman"/>
                <w:b/>
                <w:bCs w:val="0"/>
                <w:color w:val="auto"/>
                <w:kern w:val="0"/>
                <w:sz w:val="21"/>
                <w:szCs w:val="21"/>
                <w:highlight w:val="none"/>
                <w:u w:val="none"/>
                <w:lang w:val="en-US" w:eastAsia="zh-CN" w:bidi="ar"/>
              </w:rPr>
              <w:t>环境监测计划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事故时水污染源监测方案</w:t>
            </w: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监测布点</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本项目发生事故时，事故废水统一收集在厂区内的事故应急池内，不向外排放。但考虑附近水体为</w:t>
            </w:r>
            <w:r>
              <w:rPr>
                <w:rFonts w:hint="eastAsia" w:ascii="Times New Roman" w:hAnsi="Times New Roman" w:cs="Times New Roman"/>
                <w:snapToGrid w:val="0"/>
                <w:color w:val="auto"/>
                <w:kern w:val="0"/>
                <w:szCs w:val="21"/>
                <w:highlight w:val="none"/>
                <w:u w:val="none"/>
                <w:lang w:val="en-US" w:eastAsia="zh-CN"/>
              </w:rPr>
              <w:t>洋沙河</w:t>
            </w:r>
            <w:r>
              <w:rPr>
                <w:rFonts w:hint="default" w:ascii="Times New Roman" w:hAnsi="Times New Roman" w:eastAsia="宋体" w:cs="Times New Roman"/>
                <w:bCs/>
                <w:color w:val="auto"/>
                <w:kern w:val="0"/>
                <w:sz w:val="21"/>
                <w:szCs w:val="21"/>
                <w:highlight w:val="none"/>
                <w:u w:val="none"/>
                <w:lang w:val="en-US" w:eastAsia="zh-CN" w:bidi="ar"/>
              </w:rPr>
              <w:t>，因此在</w:t>
            </w:r>
            <w:r>
              <w:rPr>
                <w:rFonts w:hint="eastAsia" w:ascii="Times New Roman" w:hAnsi="Times New Roman" w:cs="Times New Roman"/>
                <w:snapToGrid w:val="0"/>
                <w:color w:val="auto"/>
                <w:kern w:val="0"/>
                <w:szCs w:val="21"/>
                <w:highlight w:val="none"/>
                <w:u w:val="none"/>
                <w:lang w:val="en-US" w:eastAsia="zh-CN"/>
              </w:rPr>
              <w:t>洋沙河</w:t>
            </w:r>
            <w:r>
              <w:rPr>
                <w:rFonts w:hint="default" w:ascii="Times New Roman" w:hAnsi="Times New Roman" w:eastAsia="宋体" w:cs="Times New Roman"/>
                <w:bCs/>
                <w:color w:val="auto"/>
                <w:kern w:val="0"/>
                <w:sz w:val="21"/>
                <w:szCs w:val="21"/>
                <w:highlight w:val="none"/>
                <w:u w:val="none"/>
                <w:lang w:val="en-US" w:eastAsia="zh-CN" w:bidi="ar"/>
              </w:rPr>
              <w:t>附近设置2个监测点：本项目排放口上游500米处，排放口下游500米处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监测项目</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eastAsia" w:ascii="Times New Roman" w:hAnsi="Times New Roman" w:eastAsia="宋体" w:cs="Times New Roman"/>
                <w:bCs/>
                <w:color w:val="auto"/>
                <w:kern w:val="0"/>
                <w:sz w:val="21"/>
                <w:szCs w:val="21"/>
                <w:highlight w:val="none"/>
                <w:u w:val="none"/>
                <w:lang w:val="en-US" w:eastAsia="zh-CN" w:bidi="ar"/>
              </w:rPr>
              <w:t>pH</w:t>
            </w:r>
            <w:r>
              <w:rPr>
                <w:rFonts w:hint="default" w:ascii="Times New Roman" w:hAnsi="Times New Roman" w:eastAsia="宋体" w:cs="Times New Roman"/>
                <w:bCs/>
                <w:color w:val="auto"/>
                <w:kern w:val="0"/>
                <w:sz w:val="21"/>
                <w:szCs w:val="21"/>
                <w:highlight w:val="none"/>
                <w:u w:val="none"/>
                <w:lang w:val="en-US" w:eastAsia="zh-CN" w:bidi="ar"/>
              </w:rPr>
              <w:t>、SS、COD、BOD</w:t>
            </w:r>
            <w:r>
              <w:rPr>
                <w:rFonts w:hint="default" w:ascii="Times New Roman" w:hAnsi="Times New Roman" w:eastAsia="宋体" w:cs="Times New Roman"/>
                <w:bCs/>
                <w:color w:val="auto"/>
                <w:kern w:val="0"/>
                <w:sz w:val="21"/>
                <w:szCs w:val="21"/>
                <w:highlight w:val="none"/>
                <w:u w:val="none"/>
                <w:vertAlign w:val="subscript"/>
                <w:lang w:val="en-US" w:eastAsia="zh-CN" w:bidi="ar"/>
              </w:rPr>
              <w:t>5</w:t>
            </w:r>
            <w:r>
              <w:rPr>
                <w:rFonts w:hint="default" w:ascii="Times New Roman" w:hAnsi="Times New Roman" w:eastAsia="宋体" w:cs="Times New Roman"/>
                <w:bCs/>
                <w:color w:val="auto"/>
                <w:kern w:val="0"/>
                <w:sz w:val="21"/>
                <w:szCs w:val="21"/>
                <w:highlight w:val="none"/>
                <w:u w:val="none"/>
                <w:lang w:val="en-US" w:eastAsia="zh-CN" w:bidi="ar"/>
              </w:rPr>
              <w:t>、氨氮</w:t>
            </w:r>
            <w:r>
              <w:rPr>
                <w:rFonts w:hint="eastAsia" w:ascii="Times New Roman" w:hAnsi="Times New Roman" w:eastAsia="宋体" w:cs="Times New Roman"/>
                <w:bCs/>
                <w:color w:val="auto"/>
                <w:kern w:val="0"/>
                <w:sz w:val="21"/>
                <w:szCs w:val="21"/>
                <w:highlight w:val="none"/>
                <w:u w:val="none"/>
                <w:lang w:val="en-US" w:eastAsia="zh-CN" w:bidi="ar"/>
              </w:rPr>
              <w:t>、</w:t>
            </w:r>
            <w:r>
              <w:rPr>
                <w:rFonts w:hint="eastAsia" w:ascii="Times New Roman" w:hAnsi="Times New Roman" w:cs="Times New Roman"/>
                <w:color w:val="auto"/>
                <w:lang w:eastAsia="zh-CN"/>
              </w:rPr>
              <w:t>石油类、</w:t>
            </w:r>
            <w:r>
              <w:rPr>
                <w:rFonts w:hint="eastAsia" w:ascii="Times New Roman" w:hAnsi="Times New Roman" w:eastAsia="宋体" w:cs="Times New Roman"/>
                <w:bCs/>
                <w:color w:val="auto"/>
                <w:kern w:val="0"/>
                <w:sz w:val="21"/>
                <w:szCs w:val="21"/>
                <w:highlight w:val="none"/>
                <w:u w:val="none"/>
                <w:lang w:val="en-US" w:eastAsia="zh-CN" w:bidi="ar"/>
              </w:rPr>
              <w:t>总铁</w:t>
            </w:r>
            <w:r>
              <w:rPr>
                <w:rFonts w:hint="eastAsia" w:ascii="Times New Roman" w:hAnsi="Times New Roman" w:cs="Times New Roman"/>
                <w:bCs/>
                <w:color w:val="auto"/>
                <w:kern w:val="0"/>
                <w:sz w:val="21"/>
                <w:szCs w:val="21"/>
                <w:highlight w:val="none"/>
                <w:u w:val="none"/>
                <w:lang w:val="en-US" w:eastAsia="zh-CN" w:bidi="ar"/>
              </w:rPr>
              <w:t>、总铜</w:t>
            </w:r>
            <w:r>
              <w:rPr>
                <w:rFonts w:hint="default" w:ascii="Times New Roman" w:hAnsi="Times New Roman" w:eastAsia="宋体" w:cs="Times New Roman"/>
                <w:bCs/>
                <w:color w:val="auto"/>
                <w:kern w:val="0"/>
                <w:sz w:val="21"/>
                <w:szCs w:val="21"/>
                <w:highlight w:val="none"/>
                <w:u w:val="none"/>
                <w:lang w:val="en-US" w:eastAsia="zh-CN" w:bidi="ar"/>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监测频次</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根据现场污染状况确定，如有需要可补充监测多次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事故时大气污染监测方案</w:t>
            </w:r>
          </w:p>
        </w:tc>
        <w:tc>
          <w:tcPr>
            <w:tcW w:w="1052"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监测布点</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（1）事故污染源监测：在事故排放点采样监测；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（2）周边大气环境监测：依据事故发生时主导风向，在评价范围内下风向居民点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监测项目</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依据事故发生时主导风向，在下风向居民点监测大气环境中的颗粒物、CO、</w:t>
            </w:r>
            <w:r>
              <w:rPr>
                <w:rFonts w:hint="eastAsia" w:ascii="Times New Roman" w:hAnsi="Times New Roman" w:eastAsia="宋体" w:cs="Times New Roman"/>
                <w:bCs/>
                <w:color w:val="auto"/>
                <w:kern w:val="0"/>
                <w:sz w:val="21"/>
                <w:szCs w:val="21"/>
                <w:highlight w:val="none"/>
                <w:u w:val="none"/>
                <w:lang w:val="en-US" w:eastAsia="zh-CN" w:bidi="ar"/>
              </w:rPr>
              <w:t>硫酸雾、氨气</w:t>
            </w:r>
            <w:r>
              <w:rPr>
                <w:rFonts w:hint="default" w:ascii="Times New Roman" w:hAnsi="Times New Roman" w:eastAsia="宋体" w:cs="Times New Roman"/>
                <w:bCs/>
                <w:color w:val="auto"/>
                <w:kern w:val="0"/>
                <w:sz w:val="21"/>
                <w:szCs w:val="21"/>
                <w:highlight w:val="none"/>
                <w:u w:val="none"/>
                <w:lang w:val="en-US" w:eastAsia="zh-CN" w:bidi="ar"/>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监测频次</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根据现场污染状况确定，密切注意大气污染物的浓度变化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事故时土壤监测方案</w:t>
            </w: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监测布点</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以事故地点为中心，按一定间隔的圆形布点采样，并根据污染物的特性不同深度采样，掌握污染物在土壤中的运移规律以及时空变化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监测项目</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eastAsia" w:ascii="Times New Roman" w:hAnsi="Times New Roman" w:eastAsia="宋体" w:cs="Times New Roman"/>
                <w:bCs/>
                <w:color w:val="auto"/>
                <w:kern w:val="0"/>
                <w:sz w:val="21"/>
                <w:szCs w:val="21"/>
                <w:highlight w:val="none"/>
                <w:u w:val="none"/>
                <w:lang w:val="en-US" w:eastAsia="zh-CN" w:bidi="ar"/>
              </w:rPr>
              <w:t>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监测频次</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根据现场污染状况确定，密切注意污染物的浓度变化。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事故时地下水监测方案</w:t>
            </w: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监测布点</w:t>
            </w:r>
          </w:p>
        </w:tc>
        <w:tc>
          <w:tcPr>
            <w:tcW w:w="6723" w:type="dxa"/>
            <w:noWrap w:val="0"/>
            <w:vAlign w:val="center"/>
          </w:tcPr>
          <w:p>
            <w:pPr>
              <w:keepNext w:val="0"/>
              <w:keepLines w:val="0"/>
              <w:pageBreakBefore w:val="0"/>
              <w:widowControl w:val="0"/>
              <w:numPr>
                <w:ilvl w:val="0"/>
                <w:numId w:val="33"/>
              </w:numPr>
              <w:kinsoku/>
              <w:wordWrap/>
              <w:overflowPunct/>
              <w:topLinePunct w:val="0"/>
              <w:autoSpaceDE w:val="0"/>
              <w:autoSpaceDN w:val="0"/>
              <w:bidi w:val="0"/>
              <w:adjustRightInd/>
              <w:snapToGrid/>
              <w:spacing w:line="240" w:lineRule="auto"/>
              <w:ind w:firstLine="0"/>
              <w:jc w:val="left"/>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事故地下水污染源监测：在事故排放点监测井附近；</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（2）周边敏感点地下水环境监测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9"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p>
        </w:tc>
        <w:tc>
          <w:tcPr>
            <w:tcW w:w="10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default" w:ascii="Times New Roman" w:hAnsi="Times New Roman" w:eastAsia="宋体" w:cs="Times New Roman"/>
                <w:bCs/>
                <w:color w:val="auto"/>
                <w:kern w:val="0"/>
                <w:sz w:val="21"/>
                <w:szCs w:val="21"/>
                <w:highlight w:val="none"/>
                <w:u w:val="none"/>
                <w:lang w:val="en-US" w:eastAsia="zh-CN" w:bidi="ar"/>
              </w:rPr>
              <w:t>监测项目</w:t>
            </w:r>
          </w:p>
        </w:tc>
        <w:tc>
          <w:tcPr>
            <w:tcW w:w="67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Cs/>
                <w:color w:val="auto"/>
                <w:kern w:val="0"/>
                <w:sz w:val="21"/>
                <w:szCs w:val="21"/>
                <w:highlight w:val="none"/>
                <w:u w:val="none"/>
                <w:lang w:val="en-US" w:eastAsia="zh-CN" w:bidi="ar"/>
              </w:rPr>
            </w:pPr>
            <w:r>
              <w:rPr>
                <w:rFonts w:hint="eastAsia" w:ascii="Times New Roman" w:hAnsi="Times New Roman" w:eastAsia="宋体" w:cs="Times New Roman"/>
                <w:bCs/>
                <w:color w:val="auto"/>
                <w:kern w:val="0"/>
                <w:sz w:val="21"/>
                <w:szCs w:val="21"/>
                <w:highlight w:val="none"/>
                <w:u w:val="none"/>
                <w:lang w:val="en-US" w:eastAsia="zh-CN" w:bidi="ar"/>
              </w:rPr>
              <w:t>pH</w:t>
            </w:r>
            <w:r>
              <w:rPr>
                <w:rFonts w:hint="default" w:ascii="Times New Roman" w:hAnsi="Times New Roman" w:eastAsia="宋体" w:cs="Times New Roman"/>
                <w:bCs/>
                <w:color w:val="auto"/>
                <w:kern w:val="0"/>
                <w:sz w:val="21"/>
                <w:szCs w:val="21"/>
                <w:highlight w:val="none"/>
                <w:u w:val="none"/>
                <w:lang w:val="en-US" w:eastAsia="zh-CN" w:bidi="ar"/>
              </w:rPr>
              <w:t>、氨氮、高锰酸盐指数（CODMn）等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79" w:type="dxa"/>
            <w:vMerge w:val="continue"/>
            <w:tcBorders>
              <w:top w:val="nil"/>
            </w:tcBorders>
            <w:noWrap w:val="0"/>
            <w:vAlign w:val="center"/>
          </w:tcPr>
          <w:p>
            <w:pPr>
              <w:keepNext/>
              <w:keepLines w:val="0"/>
              <w:pageBreakBefore w:val="0"/>
              <w:widowControl w:val="0"/>
              <w:numPr>
                <w:ilvl w:val="4"/>
                <w:numId w:val="0"/>
              </w:numPr>
              <w:kinsoku/>
              <w:wordWrap/>
              <w:overflowPunct/>
              <w:topLinePunct w:val="0"/>
              <w:autoSpaceDE w:val="0"/>
              <w:autoSpaceDN w:val="0"/>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32"/>
                <w:u w:val="none" w:color="auto"/>
                <w:lang w:val="en-US" w:eastAsia="zh-CN" w:bidi="ar-SA"/>
              </w:rPr>
            </w:pPr>
          </w:p>
        </w:tc>
        <w:tc>
          <w:tcPr>
            <w:tcW w:w="1052" w:type="dxa"/>
            <w:noWrap w:val="0"/>
            <w:vAlign w:val="center"/>
          </w:tcPr>
          <w:p>
            <w:pPr>
              <w:keepNext/>
              <w:keepLines w:val="0"/>
              <w:pageBreakBefore w:val="0"/>
              <w:widowControl w:val="0"/>
              <w:numPr>
                <w:ilvl w:val="4"/>
                <w:numId w:val="0"/>
              </w:numPr>
              <w:kinsoku/>
              <w:wordWrap/>
              <w:overflowPunct/>
              <w:topLinePunct w:val="0"/>
              <w:autoSpaceDE w:val="0"/>
              <w:autoSpaceDN w:val="0"/>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32"/>
                <w:u w:val="none" w:color="auto"/>
                <w:lang w:val="en-US" w:eastAsia="zh-CN" w:bidi="ar-SA"/>
              </w:rPr>
            </w:pPr>
            <w:r>
              <w:rPr>
                <w:rFonts w:hint="default" w:ascii="Times New Roman" w:hAnsi="Times New Roman" w:eastAsia="宋体" w:cs="Times New Roman"/>
                <w:b w:val="0"/>
                <w:bCs w:val="0"/>
                <w:color w:val="auto"/>
                <w:kern w:val="2"/>
                <w:sz w:val="21"/>
                <w:szCs w:val="32"/>
                <w:u w:val="none" w:color="auto"/>
                <w:lang w:val="en-US" w:eastAsia="zh-CN" w:bidi="ar-SA"/>
              </w:rPr>
              <w:t>监测频次</w:t>
            </w:r>
          </w:p>
        </w:tc>
        <w:tc>
          <w:tcPr>
            <w:tcW w:w="6723" w:type="dxa"/>
            <w:noWrap w:val="0"/>
            <w:vAlign w:val="center"/>
          </w:tcPr>
          <w:p>
            <w:pPr>
              <w:keepNext/>
              <w:keepLines w:val="0"/>
              <w:pageBreakBefore w:val="0"/>
              <w:widowControl w:val="0"/>
              <w:numPr>
                <w:ilvl w:val="4"/>
                <w:numId w:val="0"/>
              </w:numPr>
              <w:kinsoku/>
              <w:wordWrap/>
              <w:overflowPunct/>
              <w:topLinePunct w:val="0"/>
              <w:autoSpaceDE w:val="0"/>
              <w:autoSpaceDN w:val="0"/>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32"/>
                <w:u w:val="none" w:color="auto"/>
                <w:lang w:val="en-US" w:eastAsia="zh-CN" w:bidi="ar-SA"/>
              </w:rPr>
            </w:pPr>
            <w:r>
              <w:rPr>
                <w:rFonts w:hint="default" w:ascii="Times New Roman" w:hAnsi="Times New Roman" w:eastAsia="宋体" w:cs="Times New Roman"/>
                <w:b w:val="0"/>
                <w:bCs w:val="0"/>
                <w:color w:val="auto"/>
                <w:kern w:val="2"/>
                <w:sz w:val="21"/>
                <w:szCs w:val="32"/>
                <w:u w:val="none" w:color="auto"/>
                <w:lang w:val="en-US" w:eastAsia="zh-CN" w:bidi="ar-SA"/>
              </w:rPr>
              <w:t>根据现场污染状况确定，分析地下水污染的浓度变化</w:t>
            </w:r>
          </w:p>
        </w:tc>
      </w:tr>
    </w:tbl>
    <w:p>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outlineLvl w:val="2"/>
        <w:rPr>
          <w:rFonts w:hint="default" w:ascii="Times New Roman" w:hAnsi="Times New Roman" w:cs="Times New Roman"/>
          <w:b/>
          <w:bCs/>
          <w:color w:val="auto"/>
          <w:kern w:val="2"/>
          <w:sz w:val="24"/>
          <w:szCs w:val="40"/>
          <w:u w:val="none" w:color="auto"/>
          <w:lang w:val="en-US" w:eastAsia="zh-CN" w:bidi="ar-SA"/>
        </w:rPr>
      </w:pPr>
      <w:r>
        <w:rPr>
          <w:rFonts w:hint="eastAsia" w:ascii="Times New Roman" w:hAnsi="Times New Roman" w:cs="Times New Roman"/>
          <w:b/>
          <w:bCs/>
          <w:color w:val="auto"/>
          <w:kern w:val="2"/>
          <w:sz w:val="24"/>
          <w:szCs w:val="40"/>
          <w:u w:val="none" w:color="auto"/>
          <w:lang w:val="en-US" w:eastAsia="zh-CN" w:bidi="ar-SA"/>
        </w:rPr>
        <w:t>7</w:t>
      </w:r>
      <w:r>
        <w:rPr>
          <w:rFonts w:hint="default" w:ascii="Times New Roman" w:hAnsi="Times New Roman" w:cs="Times New Roman"/>
          <w:b/>
          <w:bCs/>
          <w:color w:val="auto"/>
          <w:kern w:val="2"/>
          <w:sz w:val="24"/>
          <w:szCs w:val="40"/>
          <w:u w:val="none" w:color="auto"/>
          <w:lang w:val="en-US" w:eastAsia="zh-CN" w:bidi="ar-SA"/>
        </w:rPr>
        <w:t>.3事件后处理</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1、做好受害人和企业的安抚赔偿工作。</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2、总结事故原因，查处相关责任人和部门，完善环境安全管理。</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3、配合相关部门进行事故调查和处理。</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4、对损坏设备、设施进行维修，尽快恢复正常运营。</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总结的主要内容包括：环境事件的类型、发生时间、地点、污染源、主要污染物质、人员受害情况、区域受害面积及程度、事件潜在的危害程度、转化方式趋向等情况，确切数据和事件发生的原因、过程、进展情况及采取的应急措施等基本情况。处理事件的措施、过程和结果，事件潜在或间接的危害、社会影响、处理后的遗留问题，参加处理的有关部门和工作内容，出具有关危害与损失的证明文件等详细情况。</w:t>
      </w:r>
    </w:p>
    <w:p>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outlineLvl w:val="2"/>
        <w:rPr>
          <w:rFonts w:hint="default" w:ascii="Times New Roman" w:hAnsi="Times New Roman" w:cs="Times New Roman"/>
          <w:b/>
          <w:bCs/>
          <w:color w:val="auto"/>
          <w:kern w:val="2"/>
          <w:sz w:val="24"/>
          <w:szCs w:val="40"/>
          <w:u w:val="none" w:color="auto"/>
          <w:lang w:val="en-US" w:eastAsia="zh-CN" w:bidi="ar-SA"/>
        </w:rPr>
      </w:pPr>
      <w:r>
        <w:rPr>
          <w:rFonts w:hint="eastAsia" w:ascii="Times New Roman" w:hAnsi="Times New Roman" w:cs="Times New Roman"/>
          <w:b/>
          <w:bCs/>
          <w:color w:val="auto"/>
          <w:kern w:val="2"/>
          <w:sz w:val="24"/>
          <w:szCs w:val="40"/>
          <w:u w:val="none" w:color="auto"/>
          <w:lang w:val="en-US" w:eastAsia="zh-CN" w:bidi="ar-SA"/>
        </w:rPr>
        <w:t>7</w:t>
      </w:r>
      <w:r>
        <w:rPr>
          <w:rFonts w:hint="default" w:ascii="Times New Roman" w:hAnsi="Times New Roman" w:cs="Times New Roman"/>
          <w:b/>
          <w:bCs/>
          <w:color w:val="auto"/>
          <w:kern w:val="2"/>
          <w:sz w:val="24"/>
          <w:szCs w:val="40"/>
          <w:u w:val="none" w:color="auto"/>
          <w:lang w:val="en-US" w:eastAsia="zh-CN" w:bidi="ar-SA"/>
        </w:rPr>
        <w:t>.4应急教育、宣传、培训及应急演练计划</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1、应急宣传</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①组织员工进行应急法律法规和预防、避险、自救、互救等常识的宣传教育。利用宣传栏等途径增强职工危机防备意识和应急基本知识和技能。</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②制定《环境突发事件应急预案和手册》。</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③制作环境突发事件应急预案一览表。</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2、环境突发事件应急培训</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开展面向职工的应对环境突发事件相关知识培训。将环境突发事件预防、应急指挥、综合协调等作为重要培训内容，以提高厂内人员应对环境突发事件的能力。并积极参加生态环境主管部门的相关培训活动。</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3、环境突发事件应急演练</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①适时组织开展应急预案的演练，培训应急队伍、落实岗位责任、熟悉应急工作的指挥机制、决策、协调和处置程序，检验预案的可行性和改进应急预案。从而提高应急反应和处理能力，强化配合意识。</w:t>
      </w:r>
    </w:p>
    <w:p>
      <w:pPr>
        <w:autoSpaceDE w:val="0"/>
        <w:autoSpaceDN w:val="0"/>
        <w:spacing w:line="360" w:lineRule="auto"/>
        <w:ind w:firstLine="480"/>
        <w:rPr>
          <w:rFonts w:hint="default" w:ascii="Times New Roman" w:hAnsi="Times New Roman" w:eastAsia="宋体" w:cs="Times New Roman"/>
          <w:bCs/>
          <w:color w:val="auto"/>
          <w:kern w:val="0"/>
          <w:sz w:val="24"/>
          <w:highlight w:val="none"/>
          <w:u w:val="none"/>
          <w:lang w:val="en-US" w:eastAsia="zh-CN" w:bidi="ar"/>
        </w:rPr>
      </w:pPr>
      <w:r>
        <w:rPr>
          <w:rFonts w:hint="default" w:ascii="Times New Roman" w:hAnsi="Times New Roman" w:eastAsia="宋体" w:cs="Times New Roman"/>
          <w:bCs/>
          <w:color w:val="auto"/>
          <w:kern w:val="0"/>
          <w:sz w:val="24"/>
          <w:highlight w:val="none"/>
          <w:u w:val="none"/>
          <w:lang w:val="en-US" w:eastAsia="zh-CN" w:bidi="ar"/>
        </w:rPr>
        <w:t>②一般环境突发事件的应急演练每年至少进行1-2次。</w:t>
      </w:r>
    </w:p>
    <w:bookmarkEnd w:id="167"/>
    <w:bookmarkEnd w:id="168"/>
    <w:bookmarkEnd w:id="169"/>
    <w:p>
      <w:pPr>
        <w:keepNext/>
        <w:keepLines/>
        <w:widowControl w:val="0"/>
        <w:numPr>
          <w:ilvl w:val="0"/>
          <w:numId w:val="29"/>
        </w:numPr>
        <w:bidi w:val="0"/>
        <w:spacing w:beforeAutospacing="0" w:line="360" w:lineRule="auto"/>
        <w:ind w:left="432" w:hanging="432" w:firstLineChars="0"/>
        <w:jc w:val="left"/>
        <w:outlineLvl w:val="0"/>
        <w:rPr>
          <w:rFonts w:hint="default" w:ascii="Times New Roman" w:hAnsi="Times New Roman" w:eastAsia="宋体" w:cs="Times New Roman"/>
          <w:b/>
          <w:bCs/>
          <w:color w:val="auto"/>
          <w:kern w:val="44"/>
          <w:sz w:val="36"/>
          <w:szCs w:val="44"/>
          <w:highlight w:val="none"/>
          <w:u w:val="none" w:color="auto"/>
          <w:lang w:val="en-US" w:eastAsia="zh-CN" w:bidi="ar-SA"/>
        </w:rPr>
      </w:pPr>
      <w:bookmarkStart w:id="170" w:name="_Toc22650"/>
      <w:r>
        <w:rPr>
          <w:rFonts w:hint="default" w:ascii="Times New Roman" w:hAnsi="Times New Roman" w:eastAsia="宋体" w:cs="Times New Roman"/>
          <w:b/>
          <w:bCs/>
          <w:color w:val="auto"/>
          <w:kern w:val="44"/>
          <w:sz w:val="36"/>
          <w:szCs w:val="44"/>
          <w:highlight w:val="none"/>
          <w:u w:val="none" w:color="auto"/>
          <w:lang w:val="en-US" w:eastAsia="zh-CN" w:bidi="ar-SA"/>
        </w:rPr>
        <w:t>评价结论与建议</w:t>
      </w:r>
      <w:bookmarkEnd w:id="166"/>
      <w:bookmarkEnd w:id="170"/>
    </w:p>
    <w:p>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textAlignment w:val="auto"/>
        <w:outlineLvl w:val="2"/>
        <w:rPr>
          <w:rFonts w:hint="default" w:ascii="Times New Roman" w:hAnsi="Times New Roman" w:eastAsia="宋体" w:cs="Times New Roman"/>
          <w:b/>
          <w:bCs/>
          <w:color w:val="auto"/>
          <w:kern w:val="2"/>
          <w:sz w:val="24"/>
          <w:szCs w:val="40"/>
          <w:highlight w:val="none"/>
          <w:u w:val="none" w:color="auto"/>
          <w:lang w:val="en-US" w:eastAsia="zh-CN" w:bidi="ar-SA"/>
        </w:rPr>
      </w:pPr>
      <w:r>
        <w:rPr>
          <w:rFonts w:hint="eastAsia" w:ascii="Times New Roman" w:hAnsi="Times New Roman" w:cs="Times New Roman"/>
          <w:b/>
          <w:bCs/>
          <w:color w:val="auto"/>
          <w:kern w:val="2"/>
          <w:sz w:val="24"/>
          <w:szCs w:val="40"/>
          <w:highlight w:val="none"/>
          <w:u w:val="none" w:color="auto"/>
          <w:lang w:val="en-US" w:eastAsia="zh-CN" w:bidi="ar-SA"/>
        </w:rPr>
        <w:t>8</w:t>
      </w:r>
      <w:r>
        <w:rPr>
          <w:rFonts w:hint="default" w:ascii="Times New Roman" w:hAnsi="Times New Roman" w:cs="Times New Roman"/>
          <w:b/>
          <w:bCs/>
          <w:color w:val="auto"/>
          <w:kern w:val="2"/>
          <w:sz w:val="24"/>
          <w:szCs w:val="40"/>
          <w:highlight w:val="none"/>
          <w:u w:val="none" w:color="auto"/>
          <w:lang w:val="en-US" w:eastAsia="zh-CN" w:bidi="ar-SA"/>
        </w:rPr>
        <w:t>.1</w:t>
      </w:r>
      <w:r>
        <w:rPr>
          <w:rFonts w:hint="default" w:ascii="Times New Roman" w:hAnsi="Times New Roman" w:eastAsia="宋体" w:cs="Times New Roman"/>
          <w:b/>
          <w:bCs/>
          <w:color w:val="auto"/>
          <w:kern w:val="2"/>
          <w:sz w:val="24"/>
          <w:szCs w:val="40"/>
          <w:highlight w:val="none"/>
          <w:u w:val="none" w:color="auto"/>
          <w:lang w:val="en-US" w:eastAsia="zh-CN" w:bidi="ar-SA"/>
        </w:rPr>
        <w:t>环境风险评价结论</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yellow"/>
          <w:u w:val="none" w:color="auto"/>
          <w:lang w:val="zh-CN"/>
        </w:rPr>
      </w:pPr>
      <w:r>
        <w:rPr>
          <w:rFonts w:hint="default" w:ascii="Times New Roman" w:hAnsi="Times New Roman" w:eastAsia="宋体" w:cs="Times New Roman"/>
          <w:bCs/>
          <w:color w:val="auto"/>
          <w:kern w:val="0"/>
          <w:sz w:val="24"/>
          <w:highlight w:val="none"/>
          <w:u w:val="none"/>
          <w:lang w:val="en-US" w:eastAsia="zh-CN" w:bidi="ar"/>
        </w:rPr>
        <w:t>针对项目存在的主要环境风险污染事故，本评价已提出初步的防范对策措施和突发事故应急方案。建设单位必须根据消防和劳动安全主管部门的要求做好风险防范和事故应急工作。建设单位应在施工过程、营运过程切实落实消防和劳动安全主管部门的要求、以及本报告中提出的各项环保措施和对策建议，则本项目可最大限度地降低环境风险。在加强管理的前提下，本项目的环境风险是可以接受的。</w:t>
      </w:r>
    </w:p>
    <w:p>
      <w:pPr>
        <w:spacing w:line="360" w:lineRule="auto"/>
        <w:rPr>
          <w:rFonts w:hint="default" w:ascii="Times New Roman" w:hAnsi="Times New Roman" w:eastAsia="宋体" w:cs="Times New Roman"/>
          <w:color w:val="auto"/>
          <w:kern w:val="0"/>
          <w:sz w:val="24"/>
          <w:szCs w:val="24"/>
          <w:highlight w:val="yellow"/>
          <w:u w:val="none" w:color="auto"/>
          <w:lang w:val="zh-CN"/>
        </w:rPr>
      </w:pPr>
      <w:bookmarkStart w:id="171" w:name="6.10.1_现场应急计划"/>
      <w:bookmarkEnd w:id="171"/>
      <w:bookmarkStart w:id="172" w:name="6.10.3_应急预案的演练"/>
      <w:bookmarkEnd w:id="172"/>
      <w:r>
        <w:rPr>
          <w:rFonts w:hint="default" w:ascii="Times New Roman" w:hAnsi="Times New Roman" w:eastAsia="宋体" w:cs="Times New Roman"/>
          <w:color w:val="auto"/>
          <w:kern w:val="0"/>
          <w:sz w:val="24"/>
          <w:szCs w:val="24"/>
          <w:highlight w:val="yellow"/>
          <w:u w:val="none" w:color="auto"/>
          <w:lang w:val="zh-CN"/>
        </w:rPr>
        <w:br w:type="page"/>
      </w:r>
    </w:p>
    <w:p>
      <w:pPr>
        <w:keepNext/>
        <w:keepLines/>
        <w:widowControl w:val="0"/>
        <w:numPr>
          <w:ilvl w:val="0"/>
          <w:numId w:val="29"/>
        </w:numPr>
        <w:bidi w:val="0"/>
        <w:spacing w:beforeAutospacing="0"/>
        <w:ind w:left="432" w:hanging="432" w:firstLineChars="0"/>
        <w:jc w:val="left"/>
        <w:outlineLvl w:val="0"/>
        <w:rPr>
          <w:rFonts w:hint="default" w:ascii="Times New Roman" w:hAnsi="Times New Roman" w:eastAsia="宋体" w:cs="Times New Roman"/>
          <w:b/>
          <w:bCs/>
          <w:color w:val="auto"/>
          <w:kern w:val="44"/>
          <w:sz w:val="36"/>
          <w:szCs w:val="44"/>
          <w:highlight w:val="none"/>
          <w:u w:val="none" w:color="auto"/>
          <w:lang w:val="zh-CN" w:eastAsia="zh-CN" w:bidi="ar-SA"/>
        </w:rPr>
      </w:pPr>
      <w:bookmarkStart w:id="173" w:name="_Toc4001"/>
      <w:bookmarkStart w:id="174" w:name="_Toc15461"/>
      <w:bookmarkStart w:id="175" w:name="_Toc22114"/>
      <w:bookmarkStart w:id="176" w:name="_Toc22792"/>
      <w:r>
        <w:rPr>
          <w:rFonts w:hint="default" w:ascii="Times New Roman" w:hAnsi="Times New Roman" w:eastAsia="宋体" w:cs="Times New Roman"/>
          <w:b/>
          <w:bCs/>
          <w:color w:val="auto"/>
          <w:kern w:val="44"/>
          <w:sz w:val="36"/>
          <w:szCs w:val="44"/>
          <w:highlight w:val="none"/>
          <w:u w:val="none" w:color="auto"/>
          <w:lang w:val="zh-CN" w:eastAsia="zh-CN" w:bidi="ar-SA"/>
        </w:rPr>
        <w:t>环境风险评价自查表</w:t>
      </w:r>
      <w:bookmarkEnd w:id="173"/>
      <w:bookmarkEnd w:id="174"/>
      <w:bookmarkEnd w:id="175"/>
    </w:p>
    <w:tbl>
      <w:tblPr>
        <w:tblStyle w:val="123"/>
        <w:tblW w:w="8681"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31"/>
        <w:gridCol w:w="1083"/>
        <w:gridCol w:w="846"/>
        <w:gridCol w:w="341"/>
        <w:gridCol w:w="349"/>
        <w:gridCol w:w="52"/>
        <w:gridCol w:w="357"/>
        <w:gridCol w:w="302"/>
        <w:gridCol w:w="346"/>
        <w:gridCol w:w="720"/>
        <w:gridCol w:w="475"/>
        <w:gridCol w:w="245"/>
        <w:gridCol w:w="321"/>
        <w:gridCol w:w="115"/>
        <w:gridCol w:w="12"/>
        <w:gridCol w:w="452"/>
        <w:gridCol w:w="281"/>
        <w:gridCol w:w="619"/>
        <w:gridCol w:w="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工作内容</w:t>
            </w:r>
          </w:p>
        </w:tc>
        <w:tc>
          <w:tcPr>
            <w:tcW w:w="6767" w:type="dxa"/>
            <w:gridSpan w:val="17"/>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color="auto"/>
                <w:lang w:val="zh-CN" w:bidi="zh-CN"/>
              </w:rPr>
            </w:pPr>
            <w:r>
              <w:rPr>
                <w:rFonts w:hint="default" w:ascii="Times New Roman" w:hAnsi="Times New Roman" w:eastAsia="宋体" w:cs="Times New Roman"/>
                <w:b/>
                <w:bCs/>
                <w:color w:val="auto"/>
                <w:kern w:val="0"/>
                <w:sz w:val="21"/>
                <w:szCs w:val="21"/>
                <w:highlight w:val="none"/>
                <w:u w:val="none" w:color="auto"/>
                <w:lang w:val="zh-CN" w:bidi="zh-CN"/>
              </w:rPr>
              <w:t>完成情况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trPr>
        <w:tc>
          <w:tcPr>
            <w:tcW w:w="831"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风险调查</w:t>
            </w:r>
          </w:p>
        </w:tc>
        <w:tc>
          <w:tcPr>
            <w:tcW w:w="1083"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危险物质</w:t>
            </w:r>
          </w:p>
        </w:tc>
        <w:tc>
          <w:tcPr>
            <w:tcW w:w="846"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名称</w:t>
            </w:r>
          </w:p>
        </w:tc>
        <w:tc>
          <w:tcPr>
            <w:tcW w:w="742" w:type="dxa"/>
            <w:gridSpan w:val="3"/>
            <w:tcBorders>
              <w:tl2br w:val="nil"/>
              <w:tr2bl w:val="nil"/>
            </w:tcBorders>
            <w:vAlign w:val="center"/>
          </w:tcPr>
          <w:p>
            <w:pPr>
              <w:autoSpaceDE w:val="0"/>
              <w:autoSpaceDN w:val="0"/>
              <w:adjustRightInd/>
              <w:snapToGrid/>
              <w:spacing w:line="240" w:lineRule="auto"/>
              <w:jc w:val="center"/>
              <w:rPr>
                <w:rFonts w:hint="default" w:ascii="Times New Roman" w:hAnsi="Times New Roman" w:eastAsia="宋体" w:cs="Times New Roman"/>
                <w:color w:val="auto"/>
                <w:kern w:val="0"/>
                <w:sz w:val="21"/>
                <w:szCs w:val="21"/>
                <w:highlight w:val="none"/>
                <w:u w:val="none" w:color="auto"/>
                <w:lang w:bidi="zh-CN"/>
              </w:rPr>
            </w:pPr>
            <w:r>
              <w:rPr>
                <w:rFonts w:hint="eastAsia" w:ascii="Times New Roman" w:hAnsi="Times New Roman" w:cs="Times New Roman"/>
                <w:color w:val="auto"/>
                <w:kern w:val="0"/>
                <w:sz w:val="21"/>
                <w:szCs w:val="21"/>
                <w:highlight w:val="none"/>
                <w:u w:val="none" w:color="auto"/>
                <w:lang w:val="en-US" w:eastAsia="zh-CN" w:bidi="zh-CN"/>
              </w:rPr>
              <w:t>硫酸</w:t>
            </w:r>
          </w:p>
        </w:tc>
        <w:tc>
          <w:tcPr>
            <w:tcW w:w="1005"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氨气</w:t>
            </w:r>
          </w:p>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bidi="zh-CN"/>
              </w:rPr>
            </w:pPr>
            <w:r>
              <w:rPr>
                <w:rFonts w:hint="default" w:ascii="Times New Roman" w:hAnsi="Times New Roman" w:cs="Times New Roman"/>
                <w:color w:val="auto"/>
                <w:sz w:val="21"/>
                <w:szCs w:val="21"/>
                <w:highlight w:val="none"/>
                <w:u w:val="none" w:color="auto"/>
                <w:lang w:val="en-US" w:eastAsia="zh-CN"/>
              </w:rPr>
              <w:t>（液氨）</w:t>
            </w:r>
          </w:p>
        </w:tc>
        <w:tc>
          <w:tcPr>
            <w:tcW w:w="720"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bidi="zh-CN"/>
              </w:rPr>
            </w:pPr>
            <w:r>
              <w:rPr>
                <w:rFonts w:hint="default" w:ascii="Times New Roman" w:hAnsi="Times New Roman" w:cs="Times New Roman"/>
                <w:color w:val="auto"/>
                <w:sz w:val="21"/>
                <w:szCs w:val="21"/>
                <w:highlight w:val="none"/>
                <w:u w:val="none" w:color="auto"/>
                <w:lang w:val="en-US" w:eastAsia="zh-CN"/>
              </w:rPr>
              <w:t>槽液</w:t>
            </w:r>
          </w:p>
        </w:tc>
        <w:tc>
          <w:tcPr>
            <w:tcW w:w="720"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污泥</w:t>
            </w:r>
          </w:p>
        </w:tc>
        <w:tc>
          <w:tcPr>
            <w:tcW w:w="900"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bidi="zh-CN"/>
              </w:rPr>
            </w:pPr>
            <w:r>
              <w:rPr>
                <w:rFonts w:hint="eastAsia" w:ascii="Times New Roman" w:hAnsi="Times New Roman" w:cs="Times New Roman"/>
                <w:color w:val="auto"/>
                <w:kern w:val="0"/>
                <w:sz w:val="21"/>
                <w:szCs w:val="21"/>
                <w:highlight w:val="none"/>
                <w:u w:val="none" w:color="auto"/>
                <w:lang w:bidi="zh-CN"/>
              </w:rPr>
              <w:t>废机油</w:t>
            </w:r>
          </w:p>
        </w:tc>
        <w:tc>
          <w:tcPr>
            <w:tcW w:w="900" w:type="dxa"/>
            <w:gridSpan w:val="2"/>
            <w:tcBorders>
              <w:tl2br w:val="nil"/>
              <w:tr2bl w:val="nil"/>
            </w:tcBorders>
            <w:vAlign w:val="center"/>
          </w:tcPr>
          <w:p>
            <w:pPr>
              <w:autoSpaceDE w:val="0"/>
              <w:autoSpaceDN w:val="0"/>
              <w:adjustRightInd/>
              <w:snapToGrid/>
              <w:spacing w:line="240" w:lineRule="auto"/>
              <w:ind w:firstLine="0" w:firstLineChars="0"/>
              <w:jc w:val="center"/>
              <w:rPr>
                <w:rFonts w:hint="eastAsia" w:ascii="Times New Roman" w:hAnsi="Times New Roman" w:cs="Times New Roman"/>
                <w:color w:val="auto"/>
                <w:kern w:val="0"/>
                <w:sz w:val="21"/>
                <w:szCs w:val="21"/>
                <w:highlight w:val="none"/>
                <w:u w:val="none" w:color="auto"/>
                <w:lang w:bidi="zh-CN"/>
              </w:rPr>
            </w:pPr>
            <w:r>
              <w:rPr>
                <w:rFonts w:hint="eastAsia" w:ascii="Times New Roman" w:hAnsi="Times New Roman" w:cs="Times New Roman"/>
                <w:color w:val="auto"/>
                <w:kern w:val="0"/>
                <w:sz w:val="21"/>
                <w:szCs w:val="21"/>
                <w:highlight w:val="none"/>
                <w:u w:val="none" w:color="auto"/>
                <w:lang w:bidi="zh-CN"/>
              </w:rPr>
              <w:t>金属锰</w:t>
            </w:r>
          </w:p>
        </w:tc>
        <w:tc>
          <w:tcPr>
            <w:tcW w:w="934" w:type="dxa"/>
            <w:tcBorders>
              <w:tl2br w:val="nil"/>
              <w:tr2bl w:val="nil"/>
            </w:tcBorders>
            <w:vAlign w:val="center"/>
          </w:tcPr>
          <w:p>
            <w:pPr>
              <w:autoSpaceDE w:val="0"/>
              <w:autoSpaceDN w:val="0"/>
              <w:adjustRightInd/>
              <w:snapToGrid/>
              <w:spacing w:line="240" w:lineRule="auto"/>
              <w:ind w:firstLine="0" w:firstLineChars="0"/>
              <w:jc w:val="center"/>
              <w:rPr>
                <w:rFonts w:hint="eastAsia" w:ascii="Times New Roman" w:hAnsi="Times New Roman" w:cs="Times New Roman"/>
                <w:color w:val="auto"/>
                <w:kern w:val="0"/>
                <w:sz w:val="21"/>
                <w:szCs w:val="21"/>
                <w:highlight w:val="none"/>
                <w:u w:val="single" w:color="auto"/>
                <w:lang w:bidi="zh-CN"/>
              </w:rPr>
            </w:pPr>
            <w:r>
              <w:rPr>
                <w:rFonts w:hint="eastAsia" w:cs="Times New Roman"/>
                <w:color w:val="auto"/>
                <w:kern w:val="0"/>
                <w:sz w:val="21"/>
                <w:szCs w:val="21"/>
                <w:highlight w:val="none"/>
                <w:u w:val="single" w:color="auto"/>
                <w:lang w:bidi="zh-CN"/>
              </w:rPr>
              <w:t>润滑油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存在总量/t</w:t>
            </w:r>
          </w:p>
        </w:tc>
        <w:tc>
          <w:tcPr>
            <w:tcW w:w="742" w:type="dxa"/>
            <w:gridSpan w:val="3"/>
            <w:tcBorders>
              <w:tl2br w:val="nil"/>
              <w:tr2bl w:val="nil"/>
            </w:tcBorders>
            <w:vAlign w:val="center"/>
          </w:tcPr>
          <w:p>
            <w:pPr>
              <w:autoSpaceDE w:val="0"/>
              <w:autoSpaceDN w:val="0"/>
              <w:adjustRightInd/>
              <w:snapToGrid/>
              <w:spacing w:line="240" w:lineRule="auto"/>
              <w:jc w:val="center"/>
              <w:rPr>
                <w:rFonts w:hint="default" w:ascii="Times New Roman" w:hAnsi="Times New Roman" w:eastAsia="宋体" w:cs="Times New Roman"/>
                <w:color w:val="auto"/>
                <w:kern w:val="0"/>
                <w:sz w:val="21"/>
                <w:szCs w:val="21"/>
                <w:highlight w:val="none"/>
                <w:u w:val="none" w:color="auto"/>
                <w:lang w:val="en-US" w:bidi="zh-CN"/>
              </w:rPr>
            </w:pPr>
            <w:r>
              <w:rPr>
                <w:rFonts w:hint="eastAsia" w:ascii="Times New Roman" w:hAnsi="Times New Roman" w:cs="Times New Roman"/>
                <w:color w:val="auto"/>
                <w:kern w:val="0"/>
                <w:sz w:val="21"/>
                <w:szCs w:val="21"/>
                <w:highlight w:val="none"/>
                <w:u w:val="none" w:color="auto"/>
                <w:lang w:val="en-US" w:eastAsia="zh-CN" w:bidi="zh-CN"/>
              </w:rPr>
              <w:t>3</w:t>
            </w:r>
            <w:r>
              <w:rPr>
                <w:rFonts w:hint="eastAsia" w:cs="Times New Roman"/>
                <w:color w:val="auto"/>
                <w:kern w:val="0"/>
                <w:sz w:val="21"/>
                <w:szCs w:val="21"/>
                <w:highlight w:val="none"/>
                <w:u w:val="none" w:color="auto"/>
                <w:lang w:val="en-US" w:eastAsia="zh-CN" w:bidi="zh-CN"/>
              </w:rPr>
              <w:t>8.8</w:t>
            </w:r>
          </w:p>
        </w:tc>
        <w:tc>
          <w:tcPr>
            <w:tcW w:w="1005" w:type="dxa"/>
            <w:gridSpan w:val="3"/>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zh-CN"/>
              </w:rPr>
            </w:pPr>
            <w:r>
              <w:rPr>
                <w:rFonts w:hint="eastAsia" w:ascii="Times New Roman" w:hAnsi="Times New Roman" w:eastAsia="宋体" w:cs="Times New Roman"/>
                <w:color w:val="auto"/>
                <w:kern w:val="0"/>
                <w:sz w:val="21"/>
                <w:szCs w:val="21"/>
                <w:highlight w:val="none"/>
                <w:u w:val="none" w:color="auto"/>
                <w:lang w:val="en-US" w:eastAsia="zh-CN" w:bidi="ar-SA"/>
              </w:rPr>
              <w:t>0.8</w:t>
            </w:r>
          </w:p>
        </w:tc>
        <w:tc>
          <w:tcPr>
            <w:tcW w:w="720"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zh-CN"/>
              </w:rPr>
            </w:pPr>
            <w:r>
              <w:rPr>
                <w:rFonts w:hint="eastAsia" w:ascii="Times New Roman" w:hAnsi="Times New Roman" w:eastAsia="宋体" w:cs="Times New Roman"/>
                <w:color w:val="auto"/>
                <w:kern w:val="0"/>
                <w:sz w:val="21"/>
                <w:szCs w:val="21"/>
                <w:u w:val="single" w:color="auto"/>
                <w:lang w:val="en-US" w:eastAsia="zh-CN" w:bidi="ar-SA"/>
              </w:rPr>
              <w:t>4.375</w:t>
            </w:r>
          </w:p>
        </w:tc>
        <w:tc>
          <w:tcPr>
            <w:tcW w:w="720" w:type="dxa"/>
            <w:gridSpan w:val="2"/>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5</w:t>
            </w:r>
          </w:p>
        </w:tc>
        <w:tc>
          <w:tcPr>
            <w:tcW w:w="900" w:type="dxa"/>
            <w:gridSpan w:val="4"/>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zh-CN"/>
              </w:rPr>
            </w:pPr>
            <w:r>
              <w:rPr>
                <w:rFonts w:hint="eastAsia" w:ascii="Times New Roman" w:hAnsi="Times New Roman" w:eastAsia="宋体" w:cs="Times New Roman"/>
                <w:color w:val="auto"/>
                <w:kern w:val="0"/>
                <w:sz w:val="21"/>
                <w:szCs w:val="21"/>
                <w:highlight w:val="none"/>
                <w:u w:val="none" w:color="auto"/>
                <w:lang w:val="en-US" w:eastAsia="zh-CN" w:bidi="ar-SA"/>
              </w:rPr>
              <w:t>0.1</w:t>
            </w:r>
          </w:p>
        </w:tc>
        <w:tc>
          <w:tcPr>
            <w:tcW w:w="900" w:type="dxa"/>
            <w:gridSpan w:val="2"/>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1</w:t>
            </w:r>
          </w:p>
        </w:tc>
        <w:tc>
          <w:tcPr>
            <w:tcW w:w="934" w:type="dxa"/>
            <w:tcBorders>
              <w:tl2br w:val="nil"/>
              <w:tr2bl w:val="nil"/>
            </w:tcBorders>
            <w:vAlign w:val="center"/>
          </w:tcPr>
          <w:p>
            <w:pPr>
              <w:widowControl w:val="0"/>
              <w:wordWrap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环境敏感性</w:t>
            </w:r>
          </w:p>
        </w:tc>
        <w:tc>
          <w:tcPr>
            <w:tcW w:w="846"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大气</w:t>
            </w:r>
          </w:p>
        </w:tc>
        <w:tc>
          <w:tcPr>
            <w:tcW w:w="2942" w:type="dxa"/>
            <w:gridSpan w:val="8"/>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500m范围内人口数</w:t>
            </w:r>
            <w:r>
              <w:rPr>
                <w:rFonts w:hint="default" w:ascii="Times New Roman" w:hAnsi="Times New Roman" w:eastAsia="宋体" w:cs="Times New Roman"/>
                <w:color w:val="auto"/>
                <w:kern w:val="0"/>
                <w:sz w:val="21"/>
                <w:szCs w:val="21"/>
                <w:highlight w:val="none"/>
                <w:u w:val="single" w:color="auto"/>
                <w:lang w:val="en-US" w:bidi="zh-CN"/>
              </w:rPr>
              <w:t>/</w:t>
            </w:r>
            <w:r>
              <w:rPr>
                <w:rFonts w:hint="eastAsia" w:ascii="Times New Roman" w:hAnsi="Times New Roman" w:cs="Times New Roman"/>
                <w:color w:val="auto"/>
                <w:kern w:val="0"/>
                <w:sz w:val="21"/>
                <w:szCs w:val="21"/>
                <w:highlight w:val="none"/>
                <w:u w:val="single" w:color="auto"/>
                <w:lang w:val="en-US" w:bidi="zh-CN"/>
              </w:rPr>
              <w:t>2000</w:t>
            </w:r>
            <w:r>
              <w:rPr>
                <w:rFonts w:hint="default" w:ascii="Times New Roman" w:hAnsi="Times New Roman" w:eastAsia="宋体" w:cs="Times New Roman"/>
                <w:color w:val="auto"/>
                <w:kern w:val="0"/>
                <w:sz w:val="21"/>
                <w:szCs w:val="21"/>
                <w:highlight w:val="none"/>
                <w:u w:val="none" w:color="auto"/>
                <w:lang w:val="zh-CN" w:bidi="zh-CN"/>
              </w:rPr>
              <w:t>人</w:t>
            </w:r>
          </w:p>
        </w:tc>
        <w:tc>
          <w:tcPr>
            <w:tcW w:w="2979" w:type="dxa"/>
            <w:gridSpan w:val="8"/>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5km范围内人口数</w:t>
            </w:r>
            <w:r>
              <w:rPr>
                <w:rFonts w:hint="default" w:ascii="Times New Roman" w:hAnsi="Times New Roman" w:eastAsia="宋体" w:cs="Times New Roman"/>
                <w:color w:val="auto"/>
                <w:kern w:val="0"/>
                <w:sz w:val="21"/>
                <w:szCs w:val="21"/>
                <w:highlight w:val="none"/>
                <w:u w:val="single" w:color="auto"/>
                <w:lang w:val="en-US" w:bidi="zh-CN"/>
              </w:rPr>
              <w:t>/</w:t>
            </w:r>
            <w:r>
              <w:rPr>
                <w:rFonts w:hint="eastAsia" w:ascii="Times New Roman" w:hAnsi="Times New Roman" w:cs="Times New Roman"/>
                <w:color w:val="auto"/>
                <w:kern w:val="0"/>
                <w:sz w:val="21"/>
                <w:szCs w:val="21"/>
                <w:highlight w:val="none"/>
                <w:u w:val="single" w:color="auto"/>
                <w:lang w:val="en-US" w:eastAsia="zh-CN" w:bidi="zh-CN"/>
              </w:rPr>
              <w:t>2万</w:t>
            </w:r>
            <w:r>
              <w:rPr>
                <w:rFonts w:hint="default" w:ascii="Times New Roman" w:hAnsi="Times New Roman" w:eastAsia="宋体" w:cs="Times New Roman"/>
                <w:color w:val="auto"/>
                <w:kern w:val="0"/>
                <w:sz w:val="21"/>
                <w:szCs w:val="21"/>
                <w:highlight w:val="none"/>
                <w:u w:val="none" w:color="auto"/>
                <w:lang w:val="zh-CN" w:bidi="zh-CN"/>
              </w:rPr>
              <w:t>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2"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4368" w:type="dxa"/>
            <w:gridSpan w:val="1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每公里管段周边200m范围内人口数（最大）</w:t>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en-US" w:bidi="zh-CN"/>
              </w:rPr>
              <w:t>/</w:t>
            </w:r>
            <w:r>
              <w:rPr>
                <w:rFonts w:hint="default" w:ascii="Times New Roman" w:hAnsi="Times New Roman" w:eastAsia="宋体" w:cs="Times New Roman"/>
                <w:color w:val="auto"/>
                <w:kern w:val="0"/>
                <w:sz w:val="21"/>
                <w:szCs w:val="21"/>
                <w:highlight w:val="none"/>
                <w:u w:val="none" w:color="auto"/>
                <w:lang w:val="zh-CN" w:bidi="zh-CN"/>
              </w:rPr>
              <w:t>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8"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地表水</w:t>
            </w: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地表水功能敏感性</w:t>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F1</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F2□</w:t>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F3</w:t>
            </w:r>
            <w:r>
              <w:rPr>
                <w:rFonts w:hint="default" w:ascii="Times New Roman" w:hAnsi="Times New Roman" w:cs="Times New Roman"/>
                <w:color w:val="auto"/>
                <w:kern w:val="0"/>
                <w:sz w:val="21"/>
                <w:szCs w:val="21"/>
                <w:highlight w:val="none"/>
                <w:u w:val="none" w:color="auto"/>
                <w:lang w:val="zh-CN" w:bidi="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环境敏感目标分级</w:t>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S1□</w:t>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S2□</w:t>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S3</w:t>
            </w:r>
            <w:r>
              <w:rPr>
                <w:rFonts w:hint="default" w:ascii="Times New Roman" w:hAnsi="Times New Roman" w:cs="Times New Roman"/>
                <w:color w:val="auto"/>
                <w:kern w:val="0"/>
                <w:sz w:val="21"/>
                <w:szCs w:val="21"/>
                <w:highlight w:val="none"/>
                <w:u w:val="none" w:color="auto"/>
                <w:lang w:val="zh-CN" w:bidi="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地下水</w:t>
            </w: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地下水功能敏感性</w:t>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G1□</w:t>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G2□</w:t>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G3</w:t>
            </w:r>
            <w:r>
              <w:rPr>
                <w:rFonts w:hint="default" w:ascii="Times New Roman" w:hAnsi="Times New Roman" w:cs="Times New Roman"/>
                <w:color w:val="auto"/>
                <w:kern w:val="0"/>
                <w:sz w:val="21"/>
                <w:szCs w:val="21"/>
                <w:highlight w:val="none"/>
                <w:u w:val="none" w:color="auto"/>
                <w:lang w:val="zh-CN" w:bidi="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8"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包气带防污性能</w:t>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D1</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D2□</w:t>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D3</w:t>
            </w:r>
            <w:r>
              <w:rPr>
                <w:rFonts w:hint="default" w:ascii="Times New Roman" w:hAnsi="Times New Roman" w:cs="Times New Roman"/>
                <w:color w:val="auto"/>
                <w:kern w:val="0"/>
                <w:sz w:val="21"/>
                <w:szCs w:val="21"/>
                <w:highlight w:val="none"/>
                <w:u w:val="none" w:color="auto"/>
                <w:lang w:val="zh-CN" w:bidi="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物质及工艺系统危险性</w:t>
            </w:r>
          </w:p>
        </w:tc>
        <w:tc>
          <w:tcPr>
            <w:tcW w:w="846"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Q值</w:t>
            </w: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Q＜1□</w:t>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1≤Q＜10</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10≤Q＜100</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Q＞100</w:t>
            </w:r>
            <w:r>
              <w:rPr>
                <w:rFonts w:hint="eastAsia" w:ascii="Times New Roman" w:hAnsi="Times New Roman" w:cs="Times New Roman"/>
                <w:color w:val="auto"/>
                <w:kern w:val="0"/>
                <w:sz w:val="21"/>
                <w:szCs w:val="21"/>
                <w:highlight w:val="none"/>
                <w:u w:val="none" w:color="auto"/>
                <w:lang w:val="zh-CN" w:bidi="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M值</w:t>
            </w: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M1</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M2</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M3</w:t>
            </w:r>
            <w:r>
              <w:rPr>
                <w:rFonts w:hint="eastAsia" w:ascii="Times New Roman" w:hAnsi="Times New Roman" w:cs="Times New Roman"/>
                <w:color w:val="auto"/>
                <w:kern w:val="0"/>
                <w:sz w:val="21"/>
                <w:szCs w:val="21"/>
                <w:highlight w:val="none"/>
                <w:u w:val="none" w:color="auto"/>
                <w:lang w:val="zh-CN" w:bidi="zh-CN"/>
              </w:rPr>
              <w:t>☑</w:t>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M4□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846"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P值</w:t>
            </w:r>
          </w:p>
        </w:tc>
        <w:tc>
          <w:tcPr>
            <w:tcW w:w="1401"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P1</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P2</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P3</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P4</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环境敏感程度</w:t>
            </w:r>
          </w:p>
        </w:tc>
        <w:tc>
          <w:tcPr>
            <w:tcW w:w="1536"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大气</w:t>
            </w:r>
          </w:p>
        </w:tc>
        <w:tc>
          <w:tcPr>
            <w:tcW w:w="1057"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E1</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1876"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E2</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2298"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E3</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536"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地表水</w:t>
            </w:r>
          </w:p>
        </w:tc>
        <w:tc>
          <w:tcPr>
            <w:tcW w:w="1057"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E1</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876"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E2</w:t>
            </w:r>
            <w:r>
              <w:rPr>
                <w:rFonts w:hint="eastAsia" w:ascii="Times New Roman" w:hAnsi="Times New Roman" w:cs="Times New Roman"/>
                <w:color w:val="auto"/>
                <w:kern w:val="0"/>
                <w:sz w:val="21"/>
                <w:szCs w:val="21"/>
                <w:highlight w:val="none"/>
                <w:u w:val="none" w:color="auto"/>
                <w:lang w:val="zh-CN" w:bidi="zh-CN"/>
              </w:rPr>
              <w:t>□</w:t>
            </w:r>
          </w:p>
        </w:tc>
        <w:tc>
          <w:tcPr>
            <w:tcW w:w="2298"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E3</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536"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地下水</w:t>
            </w:r>
          </w:p>
        </w:tc>
        <w:tc>
          <w:tcPr>
            <w:tcW w:w="1057"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E1</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876"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E2</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2298"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E3</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环境风险潜势</w:t>
            </w:r>
          </w:p>
        </w:tc>
        <w:tc>
          <w:tcPr>
            <w:tcW w:w="1187"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IV</w:t>
            </w:r>
            <w:r>
              <w:rPr>
                <w:rFonts w:hint="default" w:ascii="Times New Roman" w:hAnsi="Times New Roman" w:eastAsia="宋体" w:cs="Times New Roman"/>
                <w:color w:val="auto"/>
                <w:kern w:val="0"/>
                <w:sz w:val="21"/>
                <w:szCs w:val="21"/>
                <w:highlight w:val="none"/>
                <w:u w:val="none" w:color="auto"/>
                <w:vertAlign w:val="superscript"/>
                <w:lang w:val="zh-CN" w:bidi="zh-CN"/>
              </w:rPr>
              <w:t>+</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060"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IV</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541"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III</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1426"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II</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553"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I</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评价等级</w:t>
            </w:r>
          </w:p>
        </w:tc>
        <w:tc>
          <w:tcPr>
            <w:tcW w:w="1536"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一级</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057"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二级</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1876"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三级</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2298"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简单分析</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1"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风险识别</w:t>
            </w:r>
          </w:p>
        </w:tc>
        <w:tc>
          <w:tcPr>
            <w:tcW w:w="1083"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物质危险性</w:t>
            </w:r>
          </w:p>
        </w:tc>
        <w:tc>
          <w:tcPr>
            <w:tcW w:w="2593" w:type="dxa"/>
            <w:gridSpan w:val="7"/>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有毒有害</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4174" w:type="dxa"/>
            <w:gridSpan w:val="10"/>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易燃易爆</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环境风险类型</w:t>
            </w:r>
          </w:p>
        </w:tc>
        <w:tc>
          <w:tcPr>
            <w:tcW w:w="2593" w:type="dxa"/>
            <w:gridSpan w:val="7"/>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泄漏</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4174" w:type="dxa"/>
            <w:gridSpan w:val="10"/>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火灾、爆炸引发伴生/次生污染物排放</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影响途径</w:t>
            </w:r>
          </w:p>
        </w:tc>
        <w:tc>
          <w:tcPr>
            <w:tcW w:w="1945" w:type="dxa"/>
            <w:gridSpan w:val="5"/>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大气</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2409"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地表水</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2413"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地下水</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914" w:type="dxa"/>
            <w:gridSpan w:val="2"/>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事故情形分析</w:t>
            </w:r>
          </w:p>
        </w:tc>
        <w:tc>
          <w:tcPr>
            <w:tcW w:w="1536"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源强设定方法</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1057"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计算法</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1761"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经验估算法</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2413"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其他估算法</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 w:hRule="atLeast"/>
        </w:trPr>
        <w:tc>
          <w:tcPr>
            <w:tcW w:w="831"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风险预测与评价</w:t>
            </w:r>
          </w:p>
        </w:tc>
        <w:tc>
          <w:tcPr>
            <w:tcW w:w="1083"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大气</w:t>
            </w:r>
          </w:p>
        </w:tc>
        <w:tc>
          <w:tcPr>
            <w:tcW w:w="1536" w:type="dxa"/>
            <w:gridSpan w:val="3"/>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预测模型</w:t>
            </w:r>
          </w:p>
        </w:tc>
        <w:tc>
          <w:tcPr>
            <w:tcW w:w="1057"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SLAB</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c>
          <w:tcPr>
            <w:tcW w:w="1888" w:type="dxa"/>
            <w:gridSpan w:val="6"/>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AFTOX</w:t>
            </w:r>
            <w:r>
              <w:rPr>
                <w:rFonts w:hint="default" w:ascii="Times New Roman" w:hAnsi="Times New Roman" w:eastAsia="宋体" w:cs="Times New Roman"/>
                <w:color w:val="auto"/>
                <w:kern w:val="0"/>
                <w:sz w:val="21"/>
                <w:szCs w:val="21"/>
                <w:highlight w:val="none"/>
                <w:u w:val="none" w:color="auto"/>
                <w:lang w:val="zh-CN" w:bidi="zh-CN"/>
              </w:rPr>
              <w:sym w:font="Wingdings 2" w:char="0052"/>
            </w:r>
          </w:p>
        </w:tc>
        <w:tc>
          <w:tcPr>
            <w:tcW w:w="2286" w:type="dxa"/>
            <w:gridSpan w:val="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其他</w:t>
            </w:r>
            <w:r>
              <w:rPr>
                <w:rFonts w:hint="default" w:ascii="Times New Roman" w:hAnsi="Times New Roman" w:eastAsia="宋体" w:cs="Times New Roman"/>
                <w:color w:val="auto"/>
                <w:kern w:val="0"/>
                <w:sz w:val="21"/>
                <w:szCs w:val="21"/>
                <w:highlight w:val="none"/>
                <w:u w:val="none" w:color="auto"/>
                <w:lang w:val="zh-CN" w:bidi="zh-CN"/>
              </w:rPr>
              <w:sym w:font="Wingdings 2" w:char="00A3"/>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536" w:type="dxa"/>
            <w:gridSpan w:val="3"/>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预测结果</w:t>
            </w:r>
          </w:p>
        </w:tc>
        <w:tc>
          <w:tcPr>
            <w:tcW w:w="5231" w:type="dxa"/>
            <w:gridSpan w:val="1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大气毒性终点浓度-1最大影响范围</w:t>
            </w:r>
            <w:r>
              <w:rPr>
                <w:rFonts w:hint="eastAsia" w:cs="Times New Roman"/>
                <w:color w:val="auto"/>
                <w:kern w:val="0"/>
                <w:sz w:val="21"/>
                <w:szCs w:val="21"/>
                <w:highlight w:val="none"/>
                <w:u w:val="single" w:color="auto"/>
                <w:lang w:val="en-US" w:bidi="zh-CN"/>
              </w:rPr>
              <w:t xml:space="preserve"> </w:t>
            </w:r>
            <w:r>
              <w:rPr>
                <w:rFonts w:hint="eastAsia" w:ascii="Times New Roman" w:hAnsi="Times New Roman" w:cs="Times New Roman"/>
                <w:color w:val="auto"/>
                <w:kern w:val="0"/>
                <w:sz w:val="21"/>
                <w:szCs w:val="21"/>
                <w:highlight w:val="none"/>
                <w:u w:val="single" w:color="auto"/>
                <w:lang w:val="en-US" w:bidi="zh-CN"/>
              </w:rPr>
              <w:t>150</w:t>
            </w:r>
            <w:r>
              <w:rPr>
                <w:rFonts w:hint="default" w:ascii="Times New Roman" w:hAnsi="Times New Roman" w:eastAsia="宋体" w:cs="Times New Roman"/>
                <w:color w:val="auto"/>
                <w:kern w:val="0"/>
                <w:sz w:val="21"/>
                <w:szCs w:val="21"/>
                <w:highlight w:val="none"/>
                <w:u w:val="single" w:color="auto"/>
                <w:lang w:bidi="zh-CN"/>
              </w:rPr>
              <w:t>（</w:t>
            </w:r>
            <w:r>
              <w:rPr>
                <w:rFonts w:hint="default" w:ascii="Times New Roman" w:hAnsi="Times New Roman" w:cs="Times New Roman"/>
                <w:color w:val="auto"/>
                <w:kern w:val="0"/>
                <w:sz w:val="21"/>
                <w:szCs w:val="21"/>
                <w:highlight w:val="none"/>
                <w:u w:val="single" w:color="auto"/>
                <w:lang w:bidi="zh-CN"/>
              </w:rPr>
              <w:t>硫酸</w:t>
            </w:r>
            <w:r>
              <w:rPr>
                <w:rFonts w:hint="default" w:ascii="Times New Roman" w:hAnsi="Times New Roman" w:eastAsia="宋体" w:cs="Times New Roman"/>
                <w:color w:val="auto"/>
                <w:kern w:val="0"/>
                <w:sz w:val="21"/>
                <w:szCs w:val="21"/>
                <w:highlight w:val="none"/>
                <w:u w:val="single" w:color="auto"/>
                <w:lang w:bidi="zh-CN"/>
              </w:rPr>
              <w:t>）</w:t>
            </w:r>
            <w:r>
              <w:rPr>
                <w:rFonts w:hint="eastAsia" w:cs="Times New Roman"/>
                <w:color w:val="auto"/>
                <w:kern w:val="0"/>
                <w:sz w:val="21"/>
                <w:szCs w:val="21"/>
                <w:highlight w:val="none"/>
                <w:u w:val="none" w:color="auto"/>
                <w:lang w:val="en-US" w:bidi="zh-CN"/>
              </w:rPr>
              <w:t xml:space="preserve"> </w:t>
            </w:r>
            <w:r>
              <w:rPr>
                <w:rFonts w:hint="default" w:ascii="Times New Roman" w:hAnsi="Times New Roman" w:eastAsia="宋体" w:cs="Times New Roman"/>
                <w:color w:val="auto"/>
                <w:kern w:val="0"/>
                <w:sz w:val="21"/>
                <w:szCs w:val="21"/>
                <w:highlight w:val="none"/>
                <w:u w:val="none" w:color="auto"/>
                <w:lang w:val="zh-CN" w:bidi="zh-CN"/>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1"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536" w:type="dxa"/>
            <w:gridSpan w:val="3"/>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5231" w:type="dxa"/>
            <w:gridSpan w:val="14"/>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大气毒性终点浓度-2最大影响范围</w:t>
            </w:r>
            <w:r>
              <w:rPr>
                <w:rFonts w:hint="eastAsia" w:cs="Times New Roman"/>
                <w:color w:val="auto"/>
                <w:kern w:val="0"/>
                <w:sz w:val="21"/>
                <w:szCs w:val="21"/>
                <w:highlight w:val="none"/>
                <w:u w:val="none" w:color="auto"/>
                <w:lang w:val="en-US" w:bidi="zh-CN"/>
              </w:rPr>
              <w:t xml:space="preserve"> </w:t>
            </w:r>
            <w:r>
              <w:rPr>
                <w:rFonts w:hint="eastAsia" w:ascii="Times New Roman" w:hAnsi="Times New Roman" w:cs="Times New Roman"/>
                <w:color w:val="auto"/>
                <w:kern w:val="0"/>
                <w:sz w:val="21"/>
                <w:szCs w:val="21"/>
                <w:highlight w:val="none"/>
                <w:u w:val="single" w:color="auto"/>
                <w:lang w:val="en-US" w:bidi="zh-CN"/>
              </w:rPr>
              <w:t>910</w:t>
            </w:r>
            <w:r>
              <w:rPr>
                <w:rFonts w:hint="default" w:ascii="Times New Roman" w:hAnsi="Times New Roman" w:eastAsia="宋体" w:cs="Times New Roman"/>
                <w:color w:val="auto"/>
                <w:kern w:val="0"/>
                <w:sz w:val="21"/>
                <w:szCs w:val="21"/>
                <w:highlight w:val="none"/>
                <w:u w:val="single" w:color="auto"/>
                <w:lang w:bidi="zh-CN"/>
              </w:rPr>
              <w:t>（</w:t>
            </w:r>
            <w:r>
              <w:rPr>
                <w:rFonts w:hint="default" w:ascii="Times New Roman" w:hAnsi="Times New Roman" w:cs="Times New Roman"/>
                <w:color w:val="auto"/>
                <w:kern w:val="0"/>
                <w:sz w:val="21"/>
                <w:szCs w:val="21"/>
                <w:highlight w:val="none"/>
                <w:u w:val="single" w:color="auto"/>
                <w:lang w:bidi="zh-CN"/>
              </w:rPr>
              <w:t>硫酸</w:t>
            </w:r>
            <w:r>
              <w:rPr>
                <w:rFonts w:hint="default" w:ascii="Times New Roman" w:hAnsi="Times New Roman" w:eastAsia="宋体" w:cs="Times New Roman"/>
                <w:color w:val="auto"/>
                <w:kern w:val="0"/>
                <w:sz w:val="21"/>
                <w:szCs w:val="21"/>
                <w:highlight w:val="none"/>
                <w:u w:val="single" w:color="auto"/>
                <w:lang w:bidi="zh-CN"/>
              </w:rPr>
              <w:t>）</w:t>
            </w:r>
            <w:r>
              <w:rPr>
                <w:rFonts w:hint="default" w:ascii="Times New Roman" w:hAnsi="Times New Roman" w:eastAsia="宋体" w:cs="Times New Roman"/>
                <w:color w:val="auto"/>
                <w:kern w:val="0"/>
                <w:sz w:val="21"/>
                <w:szCs w:val="21"/>
                <w:highlight w:val="none"/>
                <w:u w:val="none" w:color="auto"/>
                <w:lang w:val="zh-CN" w:bidi="zh-CN"/>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地表水</w:t>
            </w:r>
          </w:p>
        </w:tc>
        <w:tc>
          <w:tcPr>
            <w:tcW w:w="6767" w:type="dxa"/>
            <w:gridSpan w:val="17"/>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最近环境敏感目标</w:t>
            </w:r>
            <w:r>
              <w:rPr>
                <w:rFonts w:hint="eastAsia" w:ascii="Times New Roman" w:hAnsi="Times New Roman" w:cs="Times New Roman"/>
                <w:color w:val="auto"/>
                <w:kern w:val="0"/>
                <w:sz w:val="21"/>
                <w:szCs w:val="21"/>
                <w:highlight w:val="none"/>
                <w:u w:val="single" w:color="auto"/>
                <w:lang w:val="en-US" w:bidi="zh-CN"/>
              </w:rPr>
              <w:t>/</w:t>
            </w:r>
            <w:r>
              <w:rPr>
                <w:rFonts w:hint="default" w:ascii="Times New Roman" w:hAnsi="Times New Roman" w:eastAsia="宋体" w:cs="Times New Roman"/>
                <w:color w:val="auto"/>
                <w:kern w:val="0"/>
                <w:sz w:val="21"/>
                <w:szCs w:val="21"/>
                <w:highlight w:val="none"/>
                <w:u w:val="none" w:color="auto"/>
                <w:lang w:val="zh-CN" w:bidi="zh-CN"/>
              </w:rPr>
              <w:t>，到达时间</w:t>
            </w:r>
            <w:r>
              <w:rPr>
                <w:rFonts w:hint="eastAsia" w:cs="Times New Roman"/>
                <w:color w:val="auto"/>
                <w:kern w:val="0"/>
                <w:sz w:val="21"/>
                <w:szCs w:val="21"/>
                <w:highlight w:val="none"/>
                <w:u w:val="none" w:color="auto"/>
                <w:lang w:val="en-US" w:bidi="zh-CN"/>
              </w:rPr>
              <w:t xml:space="preserve"> </w:t>
            </w:r>
            <w:r>
              <w:rPr>
                <w:rFonts w:hint="eastAsia" w:ascii="Times New Roman" w:hAnsi="Times New Roman" w:cs="Times New Roman"/>
                <w:color w:val="auto"/>
                <w:kern w:val="0"/>
                <w:sz w:val="21"/>
                <w:szCs w:val="21"/>
                <w:highlight w:val="none"/>
                <w:u w:val="single" w:color="auto"/>
                <w:lang w:val="en-US" w:bidi="zh-CN"/>
              </w:rPr>
              <w:t>/</w:t>
            </w:r>
            <w:r>
              <w:rPr>
                <w:rFonts w:hint="eastAsia" w:cs="Times New Roman"/>
                <w:color w:val="auto"/>
                <w:kern w:val="0"/>
                <w:sz w:val="21"/>
                <w:szCs w:val="21"/>
                <w:highlight w:val="none"/>
                <w:u w:val="single" w:color="auto"/>
                <w:lang w:val="en-US" w:bidi="zh-CN"/>
              </w:rPr>
              <w:t xml:space="preserve"> </w:t>
            </w:r>
            <w:r>
              <w:rPr>
                <w:rFonts w:hint="default" w:ascii="Times New Roman" w:hAnsi="Times New Roman" w:eastAsia="宋体" w:cs="Times New Roman"/>
                <w:color w:val="auto"/>
                <w:kern w:val="0"/>
                <w:sz w:val="21"/>
                <w:szCs w:val="21"/>
                <w:highlight w:val="none"/>
                <w:u w:val="none" w:color="auto"/>
                <w:lang w:val="zh-CN" w:bidi="zh-CN"/>
              </w:rPr>
              <w:t>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地下水</w:t>
            </w:r>
          </w:p>
        </w:tc>
        <w:tc>
          <w:tcPr>
            <w:tcW w:w="6767" w:type="dxa"/>
            <w:gridSpan w:val="17"/>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下游厂区边界到达时间</w:t>
            </w:r>
            <w:r>
              <w:rPr>
                <w:rFonts w:hint="eastAsia" w:cs="Times New Roman"/>
                <w:color w:val="auto"/>
                <w:kern w:val="0"/>
                <w:sz w:val="21"/>
                <w:szCs w:val="21"/>
                <w:highlight w:val="none"/>
                <w:u w:val="none" w:color="auto"/>
                <w:lang w:val="en-US" w:bidi="zh-CN"/>
              </w:rPr>
              <w:t xml:space="preserve"> </w:t>
            </w:r>
            <w:r>
              <w:rPr>
                <w:rFonts w:hint="default" w:ascii="Times New Roman" w:hAnsi="Times New Roman" w:cs="Times New Roman"/>
                <w:color w:val="auto"/>
                <w:kern w:val="0"/>
                <w:sz w:val="21"/>
                <w:szCs w:val="21"/>
                <w:highlight w:val="none"/>
                <w:u w:val="single" w:color="auto"/>
                <w:lang w:val="en-US" w:bidi="zh-CN"/>
              </w:rPr>
              <w:t>/</w:t>
            </w:r>
            <w:r>
              <w:rPr>
                <w:rFonts w:hint="eastAsia" w:cs="Times New Roman"/>
                <w:color w:val="auto"/>
                <w:kern w:val="0"/>
                <w:sz w:val="21"/>
                <w:szCs w:val="21"/>
                <w:highlight w:val="none"/>
                <w:u w:val="single" w:color="auto"/>
                <w:lang w:val="en-US" w:bidi="zh-CN"/>
              </w:rPr>
              <w:t xml:space="preserve"> </w:t>
            </w:r>
            <w:r>
              <w:rPr>
                <w:rFonts w:hint="default" w:ascii="Times New Roman" w:hAnsi="Times New Roman" w:eastAsia="宋体" w:cs="Times New Roman"/>
                <w:color w:val="auto"/>
                <w:kern w:val="0"/>
                <w:sz w:val="21"/>
                <w:szCs w:val="21"/>
                <w:highlight w:val="none"/>
                <w:u w:val="none" w:color="auto"/>
                <w:lang w:val="zh-CN" w:bidi="zh-CN"/>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 w:hRule="atLeast"/>
        </w:trPr>
        <w:tc>
          <w:tcPr>
            <w:tcW w:w="831"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1083" w:type="dxa"/>
            <w:vMerge w:val="continue"/>
            <w:tcBorders>
              <w:tl2br w:val="nil"/>
              <w:tr2bl w:val="nil"/>
            </w:tcBorders>
            <w:vAlign w:val="center"/>
          </w:tcPr>
          <w:p>
            <w:pPr>
              <w:widowControl/>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p>
        </w:tc>
        <w:tc>
          <w:tcPr>
            <w:tcW w:w="6767" w:type="dxa"/>
            <w:gridSpan w:val="17"/>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最近环境敏感目标</w:t>
            </w:r>
            <w:r>
              <w:rPr>
                <w:rFonts w:hint="eastAsia" w:cs="Times New Roman"/>
                <w:color w:val="auto"/>
                <w:kern w:val="0"/>
                <w:sz w:val="21"/>
                <w:szCs w:val="21"/>
                <w:highlight w:val="none"/>
                <w:u w:val="none" w:color="auto"/>
                <w:lang w:val="en-US" w:bidi="zh-CN"/>
              </w:rPr>
              <w:t xml:space="preserve"> </w:t>
            </w:r>
            <w:r>
              <w:rPr>
                <w:rFonts w:hint="default" w:ascii="Times New Roman" w:hAnsi="Times New Roman" w:cs="Times New Roman"/>
                <w:color w:val="auto"/>
                <w:kern w:val="0"/>
                <w:sz w:val="21"/>
                <w:szCs w:val="21"/>
                <w:highlight w:val="none"/>
                <w:u w:val="none" w:color="auto"/>
                <w:lang w:val="en-US" w:bidi="zh-CN"/>
              </w:rPr>
              <w:t>/</w:t>
            </w:r>
            <w:r>
              <w:rPr>
                <w:rFonts w:hint="eastAsia" w:cs="Times New Roman"/>
                <w:color w:val="auto"/>
                <w:kern w:val="0"/>
                <w:sz w:val="21"/>
                <w:szCs w:val="21"/>
                <w:highlight w:val="none"/>
                <w:u w:val="none" w:color="auto"/>
                <w:lang w:val="en-US" w:bidi="zh-CN"/>
              </w:rPr>
              <w:t xml:space="preserve"> </w:t>
            </w:r>
            <w:r>
              <w:rPr>
                <w:rFonts w:hint="default" w:ascii="Times New Roman" w:hAnsi="Times New Roman" w:eastAsia="宋体" w:cs="Times New Roman"/>
                <w:color w:val="auto"/>
                <w:kern w:val="0"/>
                <w:sz w:val="21"/>
                <w:szCs w:val="21"/>
                <w:highlight w:val="none"/>
                <w:u w:val="none" w:color="auto"/>
                <w:lang w:val="zh-CN" w:bidi="zh-CN"/>
              </w:rPr>
              <w:t>，到达时间</w:t>
            </w:r>
            <w:r>
              <w:rPr>
                <w:rFonts w:hint="eastAsia" w:cs="Times New Roman"/>
                <w:color w:val="auto"/>
                <w:kern w:val="0"/>
                <w:sz w:val="21"/>
                <w:szCs w:val="21"/>
                <w:highlight w:val="none"/>
                <w:u w:val="none" w:color="auto"/>
                <w:lang w:val="en-US" w:bidi="zh-CN"/>
              </w:rPr>
              <w:t xml:space="preserve"> </w:t>
            </w:r>
            <w:r>
              <w:rPr>
                <w:rFonts w:hint="default" w:ascii="Times New Roman" w:hAnsi="Times New Roman" w:cs="Times New Roman"/>
                <w:color w:val="auto"/>
                <w:kern w:val="0"/>
                <w:sz w:val="21"/>
                <w:szCs w:val="21"/>
                <w:highlight w:val="none"/>
                <w:u w:val="none" w:color="auto"/>
                <w:lang w:val="en-US" w:bidi="zh-CN"/>
              </w:rPr>
              <w:t>/</w:t>
            </w:r>
            <w:r>
              <w:rPr>
                <w:rFonts w:hint="eastAsia" w:cs="Times New Roman"/>
                <w:color w:val="auto"/>
                <w:kern w:val="0"/>
                <w:sz w:val="21"/>
                <w:szCs w:val="21"/>
                <w:highlight w:val="none"/>
                <w:u w:val="none" w:color="auto"/>
                <w:lang w:val="en-US" w:bidi="zh-CN"/>
              </w:rPr>
              <w:t xml:space="preserve"> </w:t>
            </w:r>
            <w:r>
              <w:rPr>
                <w:rFonts w:hint="default" w:ascii="Times New Roman" w:hAnsi="Times New Roman" w:eastAsia="宋体" w:cs="Times New Roman"/>
                <w:color w:val="auto"/>
                <w:kern w:val="0"/>
                <w:sz w:val="21"/>
                <w:szCs w:val="21"/>
                <w:highlight w:val="none"/>
                <w:u w:val="none" w:color="auto"/>
                <w:lang w:val="zh-CN" w:bidi="zh-CN"/>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6" w:hRule="atLeast"/>
        </w:trPr>
        <w:tc>
          <w:tcPr>
            <w:tcW w:w="83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重点风险</w:t>
            </w:r>
          </w:p>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防范措施</w:t>
            </w:r>
          </w:p>
        </w:tc>
        <w:tc>
          <w:tcPr>
            <w:tcW w:w="7850" w:type="dxa"/>
            <w:gridSpan w:val="18"/>
            <w:tcBorders>
              <w:tl2br w:val="nil"/>
              <w:tr2bl w:val="nil"/>
            </w:tcBorders>
            <w:vAlign w:val="center"/>
          </w:tcPr>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（1）设置消防砂、石灰粉等应急吸附物质，能对泄漏物进行有效覆盖与吸附，减缓泄漏物的挥发；</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（2）</w:t>
            </w:r>
            <w:r>
              <w:rPr>
                <w:rFonts w:hint="eastAsia" w:ascii="Times New Roman" w:hAnsi="Times New Roman" w:cs="Times New Roman"/>
                <w:color w:val="auto"/>
                <w:kern w:val="0"/>
                <w:sz w:val="21"/>
                <w:szCs w:val="21"/>
                <w:highlight w:val="none"/>
                <w:u w:val="none" w:color="auto"/>
                <w:lang w:val="zh-CN" w:bidi="zh-CN"/>
              </w:rPr>
              <w:t>硫酸罐</w:t>
            </w:r>
            <w:r>
              <w:rPr>
                <w:rFonts w:hint="default" w:ascii="Times New Roman" w:hAnsi="Times New Roman" w:eastAsia="宋体" w:cs="Times New Roman"/>
                <w:color w:val="auto"/>
                <w:kern w:val="0"/>
                <w:sz w:val="21"/>
                <w:szCs w:val="21"/>
                <w:highlight w:val="none"/>
                <w:u w:val="none" w:color="auto"/>
                <w:lang w:val="zh-CN" w:bidi="zh-CN"/>
              </w:rPr>
              <w:t>设置</w:t>
            </w:r>
            <w:r>
              <w:rPr>
                <w:rFonts w:hint="default" w:ascii="Times New Roman" w:hAnsi="Times New Roman" w:eastAsia="宋体" w:cs="Times New Roman"/>
                <w:color w:val="auto"/>
                <w:kern w:val="0"/>
                <w:sz w:val="21"/>
                <w:szCs w:val="21"/>
                <w:highlight w:val="none"/>
                <w:u w:val="none" w:color="auto"/>
                <w:lang w:val="zh-CN" w:eastAsia="zh-CN" w:bidi="zh-CN"/>
              </w:rPr>
              <w:t>温度显示报警仪</w:t>
            </w:r>
            <w:r>
              <w:rPr>
                <w:rFonts w:hint="default" w:ascii="Times New Roman" w:hAnsi="Times New Roman" w:eastAsia="宋体" w:cs="Times New Roman"/>
                <w:color w:val="auto"/>
                <w:kern w:val="0"/>
                <w:sz w:val="21"/>
                <w:szCs w:val="21"/>
                <w:highlight w:val="none"/>
                <w:u w:val="none" w:color="auto"/>
                <w:lang w:val="zh-CN" w:bidi="zh-CN"/>
              </w:rPr>
              <w:t>等，可快速发现原辅材料泄漏事故；</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（3）项目加强废气处理设备的维护和管理，确保污染物达标排放，严防废气事故排放的发生。</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eastAsia="宋体" w:cs="Times New Roman"/>
                <w:color w:val="auto"/>
                <w:kern w:val="0"/>
                <w:sz w:val="21"/>
                <w:szCs w:val="21"/>
                <w:highlight w:val="none"/>
                <w:u w:val="none" w:color="auto"/>
                <w:lang w:val="zh-CN" w:bidi="zh-CN"/>
              </w:rPr>
              <w:t>（</w:t>
            </w:r>
            <w:r>
              <w:rPr>
                <w:rFonts w:hint="default" w:ascii="Times New Roman" w:hAnsi="Times New Roman" w:eastAsia="宋体" w:cs="Times New Roman"/>
                <w:color w:val="auto"/>
                <w:kern w:val="0"/>
                <w:sz w:val="21"/>
                <w:szCs w:val="21"/>
                <w:highlight w:val="none"/>
                <w:u w:val="none" w:color="auto"/>
                <w:lang w:val="zh-CN" w:eastAsia="zh-CN" w:bidi="zh-CN"/>
              </w:rPr>
              <w:t>4</w:t>
            </w:r>
            <w:r>
              <w:rPr>
                <w:rFonts w:hint="default" w:ascii="Times New Roman" w:hAnsi="Times New Roman" w:eastAsia="宋体" w:cs="Times New Roman"/>
                <w:color w:val="auto"/>
                <w:kern w:val="0"/>
                <w:sz w:val="21"/>
                <w:szCs w:val="21"/>
                <w:highlight w:val="none"/>
                <w:u w:val="none" w:color="auto"/>
                <w:lang w:val="zh-CN" w:bidi="zh-CN"/>
              </w:rPr>
              <w:t>）</w:t>
            </w:r>
            <w:r>
              <w:rPr>
                <w:rFonts w:hint="eastAsia" w:ascii="Times New Roman" w:hAnsi="Times New Roman" w:cs="Times New Roman"/>
                <w:color w:val="auto"/>
                <w:kern w:val="0"/>
                <w:sz w:val="21"/>
                <w:szCs w:val="21"/>
                <w:highlight w:val="none"/>
                <w:u w:val="none" w:color="auto"/>
                <w:lang w:val="zh-CN" w:bidi="zh-CN"/>
              </w:rPr>
              <w:t>工作人员</w:t>
            </w:r>
            <w:r>
              <w:rPr>
                <w:rFonts w:hint="default" w:ascii="Times New Roman" w:hAnsi="Times New Roman" w:eastAsia="宋体" w:cs="Times New Roman"/>
                <w:color w:val="auto"/>
                <w:kern w:val="0"/>
                <w:sz w:val="21"/>
                <w:szCs w:val="21"/>
                <w:highlight w:val="none"/>
                <w:u w:val="none" w:color="auto"/>
                <w:lang w:val="zh-CN" w:eastAsia="zh-CN" w:bidi="zh-CN"/>
              </w:rPr>
              <w:t>定期对贮罐、接管、阀门、泵的监测、维修，特别要注意对半埋于地下的酸管的检查，防止因腐蚀穿孔而漏酸。</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eastAsia="宋体" w:cs="Times New Roman"/>
                <w:color w:val="auto"/>
                <w:kern w:val="0"/>
                <w:sz w:val="21"/>
                <w:szCs w:val="21"/>
                <w:highlight w:val="none"/>
                <w:u w:val="none" w:color="auto"/>
                <w:lang w:val="zh-CN" w:eastAsia="zh-CN" w:bidi="zh-CN"/>
              </w:rPr>
              <w:t>（5）在进出硫酸贮罐及有压力的酸管、法兰等处安装防喷挡护，防止硫酸喷出灼伤人的危险；从事硫酸生产、接触硫酸作业的人员要穿戴好防护用器（防酸工作服、防毒口罩、防护眼镜、橡胶手套、橡胶鞋、防酸帽），以全面防护。</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eastAsia="zh-CN" w:bidi="zh-CN"/>
              </w:rPr>
            </w:pPr>
            <w:r>
              <w:rPr>
                <w:rFonts w:hint="default" w:ascii="Times New Roman" w:hAnsi="Times New Roman" w:eastAsia="宋体" w:cs="Times New Roman"/>
                <w:color w:val="auto"/>
                <w:kern w:val="0"/>
                <w:sz w:val="21"/>
                <w:szCs w:val="21"/>
                <w:highlight w:val="none"/>
                <w:u w:val="none" w:color="auto"/>
                <w:lang w:val="zh-CN" w:eastAsia="zh-CN" w:bidi="zh-CN"/>
              </w:rPr>
              <w:t>（6）建立和完善危险化学品事故应急救援体系；制定和完善危险化学品事故应急救援预案，进行各个岗位的培训，定期组织进行事故应急救援演习；同时应完善硫酸储罐的安全管理措施。</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w:t>
            </w:r>
            <w:r>
              <w:rPr>
                <w:rFonts w:hint="default" w:ascii="Times New Roman" w:hAnsi="Times New Roman" w:cs="Times New Roman"/>
                <w:color w:val="auto"/>
                <w:kern w:val="0"/>
                <w:sz w:val="21"/>
                <w:szCs w:val="21"/>
                <w:highlight w:val="none"/>
                <w:u w:val="none" w:color="auto"/>
                <w:lang w:val="en-US" w:bidi="zh-CN"/>
              </w:rPr>
              <w:t>7</w:t>
            </w:r>
            <w:r>
              <w:rPr>
                <w:rFonts w:hint="default" w:ascii="Times New Roman" w:hAnsi="Times New Roman" w:cs="Times New Roman"/>
                <w:color w:val="auto"/>
                <w:kern w:val="0"/>
                <w:sz w:val="21"/>
                <w:szCs w:val="21"/>
                <w:highlight w:val="none"/>
                <w:u w:val="none" w:color="auto"/>
                <w:lang w:val="zh-CN" w:bidi="zh-CN"/>
              </w:rPr>
              <w:t>）</w:t>
            </w:r>
            <w:r>
              <w:rPr>
                <w:rFonts w:hint="eastAsia" w:ascii="Times New Roman" w:hAnsi="Times New Roman" w:cs="Times New Roman"/>
                <w:color w:val="auto"/>
                <w:kern w:val="0"/>
                <w:sz w:val="21"/>
                <w:szCs w:val="21"/>
                <w:highlight w:val="none"/>
                <w:u w:val="none" w:color="auto"/>
                <w:lang w:val="zh-CN" w:bidi="zh-CN"/>
              </w:rPr>
              <w:t>设</w:t>
            </w:r>
            <w:r>
              <w:rPr>
                <w:rFonts w:hint="default" w:ascii="Times New Roman" w:hAnsi="Times New Roman" w:eastAsia="宋体" w:cs="Times New Roman"/>
                <w:color w:val="auto"/>
                <w:kern w:val="0"/>
                <w:sz w:val="21"/>
                <w:szCs w:val="21"/>
                <w:highlight w:val="none"/>
                <w:u w:val="none" w:color="auto"/>
                <w:lang w:val="zh-CN" w:bidi="zh-CN"/>
              </w:rPr>
              <w:t>一个</w:t>
            </w:r>
            <w:r>
              <w:rPr>
                <w:rFonts w:hint="eastAsia" w:ascii="Times New Roman" w:hAnsi="Times New Roman" w:cs="Times New Roman"/>
                <w:color w:val="auto"/>
                <w:kern w:val="0"/>
                <w:sz w:val="21"/>
                <w:szCs w:val="21"/>
                <w:highlight w:val="none"/>
                <w:u w:val="none" w:color="auto"/>
                <w:lang w:val="en-US" w:eastAsia="zh-CN" w:bidi="zh-CN"/>
              </w:rPr>
              <w:t>300</w:t>
            </w:r>
            <w:r>
              <w:rPr>
                <w:rFonts w:hint="default" w:ascii="Times New Roman" w:hAnsi="Times New Roman" w:eastAsia="宋体" w:cs="Times New Roman"/>
                <w:color w:val="auto"/>
                <w:kern w:val="0"/>
                <w:sz w:val="21"/>
                <w:szCs w:val="21"/>
                <w:highlight w:val="none"/>
                <w:u w:val="none" w:color="auto"/>
                <w:lang w:val="zh-CN" w:bidi="zh-CN"/>
              </w:rPr>
              <w:t>m</w:t>
            </w:r>
            <w:r>
              <w:rPr>
                <w:rFonts w:hint="default" w:ascii="Times New Roman" w:hAnsi="Times New Roman" w:eastAsia="宋体" w:cs="Times New Roman"/>
                <w:color w:val="auto"/>
                <w:kern w:val="0"/>
                <w:sz w:val="21"/>
                <w:szCs w:val="21"/>
                <w:highlight w:val="none"/>
                <w:u w:val="none" w:color="auto"/>
                <w:vertAlign w:val="superscript"/>
                <w:lang w:val="zh-CN" w:bidi="zh-CN"/>
              </w:rPr>
              <w:t>3</w:t>
            </w:r>
            <w:r>
              <w:rPr>
                <w:rFonts w:hint="eastAsia" w:ascii="Times New Roman" w:hAnsi="Times New Roman" w:cs="Times New Roman"/>
                <w:color w:val="auto"/>
                <w:kern w:val="0"/>
                <w:sz w:val="21"/>
                <w:szCs w:val="21"/>
                <w:highlight w:val="none"/>
                <w:u w:val="none" w:color="auto"/>
                <w:lang w:val="zh-CN" w:bidi="zh-CN"/>
              </w:rPr>
              <w:t>应急池</w:t>
            </w:r>
            <w:r>
              <w:rPr>
                <w:rFonts w:hint="default" w:ascii="Times New Roman" w:hAnsi="Times New Roman" w:eastAsia="宋体" w:cs="Times New Roman"/>
                <w:color w:val="auto"/>
                <w:kern w:val="0"/>
                <w:sz w:val="21"/>
                <w:szCs w:val="21"/>
                <w:highlight w:val="none"/>
                <w:u w:val="none" w:color="auto"/>
                <w:lang w:val="zh-CN" w:bidi="zh-CN"/>
              </w:rPr>
              <w:t>，事故水池容积可以满足本项目消防用水要求及事故储水要求。</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w:t>
            </w:r>
            <w:r>
              <w:rPr>
                <w:rFonts w:hint="default" w:ascii="Times New Roman" w:hAnsi="Times New Roman" w:cs="Times New Roman"/>
                <w:color w:val="auto"/>
                <w:kern w:val="0"/>
                <w:sz w:val="21"/>
                <w:szCs w:val="21"/>
                <w:highlight w:val="none"/>
                <w:u w:val="none" w:color="auto"/>
                <w:lang w:val="en-US" w:bidi="zh-CN"/>
              </w:rPr>
              <w:t>8</w:t>
            </w:r>
            <w:r>
              <w:rPr>
                <w:rFonts w:hint="default" w:ascii="Times New Roman" w:hAnsi="Times New Roman" w:cs="Times New Roman"/>
                <w:color w:val="auto"/>
                <w:kern w:val="0"/>
                <w:sz w:val="21"/>
                <w:szCs w:val="21"/>
                <w:highlight w:val="none"/>
                <w:u w:val="none" w:color="auto"/>
                <w:lang w:val="zh-CN" w:bidi="zh-CN"/>
              </w:rPr>
              <w:t>）</w:t>
            </w:r>
            <w:r>
              <w:rPr>
                <w:rFonts w:hint="default" w:ascii="Times New Roman" w:hAnsi="Times New Roman" w:eastAsia="宋体" w:cs="Times New Roman"/>
                <w:color w:val="auto"/>
                <w:kern w:val="0"/>
                <w:sz w:val="21"/>
                <w:szCs w:val="21"/>
                <w:highlight w:val="none"/>
                <w:u w:val="none" w:color="auto"/>
                <w:lang w:val="zh-CN" w:bidi="zh-CN"/>
              </w:rPr>
              <w:t>本项目</w:t>
            </w:r>
            <w:r>
              <w:rPr>
                <w:rFonts w:hint="eastAsia" w:ascii="Times New Roman" w:hAnsi="Times New Roman" w:cs="Times New Roman"/>
                <w:color w:val="auto"/>
                <w:kern w:val="0"/>
                <w:sz w:val="21"/>
                <w:szCs w:val="21"/>
                <w:highlight w:val="none"/>
                <w:u w:val="none" w:color="auto"/>
                <w:lang w:val="zh-CN" w:eastAsia="zh-CN" w:bidi="zh-CN"/>
              </w:rPr>
              <w:t>生产厂房</w:t>
            </w:r>
            <w:r>
              <w:rPr>
                <w:rFonts w:hint="default" w:ascii="Times New Roman" w:hAnsi="Times New Roman" w:eastAsia="宋体" w:cs="Times New Roman"/>
                <w:color w:val="auto"/>
                <w:kern w:val="0"/>
                <w:sz w:val="21"/>
                <w:szCs w:val="21"/>
                <w:highlight w:val="none"/>
                <w:u w:val="none" w:color="auto"/>
                <w:lang w:val="zh-CN" w:bidi="zh-CN"/>
              </w:rPr>
              <w:t>出入口设置有漫坡及截留吸附应急物资，储罐区设有大围堰</w:t>
            </w:r>
            <w:r>
              <w:rPr>
                <w:rFonts w:hint="default" w:ascii="Times New Roman" w:hAnsi="Times New Roman" w:eastAsia="宋体" w:cs="Times New Roman"/>
                <w:color w:val="auto"/>
                <w:kern w:val="0"/>
                <w:sz w:val="21"/>
                <w:szCs w:val="21"/>
                <w:highlight w:val="none"/>
                <w:u w:val="none" w:color="auto"/>
                <w:lang w:val="zh-CN" w:eastAsia="zh-CN" w:bidi="zh-CN"/>
              </w:rPr>
              <w:t>尺寸为</w:t>
            </w:r>
            <w:r>
              <w:rPr>
                <w:rFonts w:hint="eastAsia" w:ascii="Times New Roman" w:hAnsi="Times New Roman" w:cs="Times New Roman"/>
                <w:color w:val="auto"/>
                <w:kern w:val="0"/>
                <w:sz w:val="21"/>
                <w:szCs w:val="21"/>
                <w:highlight w:val="none"/>
                <w:u w:val="none" w:color="auto"/>
                <w:lang w:val="en-US" w:eastAsia="zh-CN" w:bidi="zh-CN"/>
              </w:rPr>
              <w:t>5</w:t>
            </w:r>
            <w:r>
              <w:rPr>
                <w:rFonts w:hint="default" w:ascii="Times New Roman" w:hAnsi="Times New Roman" w:eastAsia="宋体" w:cs="Times New Roman"/>
                <w:color w:val="auto"/>
                <w:kern w:val="0"/>
                <w:sz w:val="21"/>
                <w:szCs w:val="21"/>
                <w:highlight w:val="none"/>
                <w:u w:val="none" w:color="auto"/>
                <w:lang w:val="zh-CN" w:eastAsia="zh-CN" w:bidi="zh-CN"/>
              </w:rPr>
              <w:t>m×</w:t>
            </w:r>
            <w:r>
              <w:rPr>
                <w:rFonts w:hint="eastAsia" w:ascii="Times New Roman" w:hAnsi="Times New Roman" w:cs="Times New Roman"/>
                <w:color w:val="auto"/>
                <w:kern w:val="0"/>
                <w:sz w:val="21"/>
                <w:szCs w:val="21"/>
                <w:highlight w:val="none"/>
                <w:u w:val="none" w:color="auto"/>
                <w:lang w:val="en-US" w:eastAsia="zh-CN" w:bidi="zh-CN"/>
              </w:rPr>
              <w:t>5</w:t>
            </w:r>
            <w:r>
              <w:rPr>
                <w:rFonts w:hint="default" w:ascii="Times New Roman" w:hAnsi="Times New Roman" w:eastAsia="宋体" w:cs="Times New Roman"/>
                <w:color w:val="auto"/>
                <w:kern w:val="0"/>
                <w:sz w:val="21"/>
                <w:szCs w:val="21"/>
                <w:highlight w:val="none"/>
                <w:u w:val="none" w:color="auto"/>
                <w:lang w:val="zh-CN" w:eastAsia="zh-CN" w:bidi="zh-CN"/>
              </w:rPr>
              <w:t>m×</w:t>
            </w:r>
            <w:r>
              <w:rPr>
                <w:rFonts w:hint="eastAsia" w:ascii="Times New Roman" w:hAnsi="Times New Roman" w:cs="Times New Roman"/>
                <w:color w:val="auto"/>
                <w:kern w:val="0"/>
                <w:sz w:val="21"/>
                <w:szCs w:val="21"/>
                <w:highlight w:val="none"/>
                <w:u w:val="none" w:color="auto"/>
                <w:lang w:val="en-US" w:eastAsia="zh-CN" w:bidi="zh-CN"/>
              </w:rPr>
              <w:t>1</w:t>
            </w:r>
            <w:r>
              <w:rPr>
                <w:rFonts w:hint="default" w:ascii="Times New Roman" w:hAnsi="Times New Roman" w:eastAsia="宋体" w:cs="Times New Roman"/>
                <w:color w:val="auto"/>
                <w:kern w:val="0"/>
                <w:sz w:val="21"/>
                <w:szCs w:val="21"/>
                <w:highlight w:val="none"/>
                <w:u w:val="none" w:color="auto"/>
                <w:lang w:val="zh-CN" w:eastAsia="zh-CN" w:bidi="zh-CN"/>
              </w:rPr>
              <w:t>m</w:t>
            </w:r>
            <w:r>
              <w:rPr>
                <w:rFonts w:hint="default" w:ascii="Times New Roman" w:hAnsi="Times New Roman" w:eastAsia="宋体" w:cs="Times New Roman"/>
                <w:color w:val="auto"/>
                <w:kern w:val="0"/>
                <w:sz w:val="21"/>
                <w:szCs w:val="21"/>
                <w:highlight w:val="none"/>
                <w:u w:val="none" w:color="auto"/>
                <w:lang w:val="zh-CN" w:bidi="zh-CN"/>
              </w:rPr>
              <w:t>，将事故状态下污染物控制在厂内，防止重大事故泄漏物料和污染消防水造成的环境污染。</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w:t>
            </w:r>
            <w:r>
              <w:rPr>
                <w:rFonts w:hint="default" w:ascii="Times New Roman" w:hAnsi="Times New Roman" w:cs="Times New Roman"/>
                <w:color w:val="auto"/>
                <w:kern w:val="0"/>
                <w:sz w:val="21"/>
                <w:szCs w:val="21"/>
                <w:highlight w:val="none"/>
                <w:u w:val="none" w:color="auto"/>
                <w:lang w:val="en-US" w:bidi="zh-CN"/>
              </w:rPr>
              <w:t>9</w:t>
            </w:r>
            <w:r>
              <w:rPr>
                <w:rFonts w:hint="default" w:ascii="Times New Roman" w:hAnsi="Times New Roman" w:cs="Times New Roman"/>
                <w:color w:val="auto"/>
                <w:kern w:val="0"/>
                <w:sz w:val="21"/>
                <w:szCs w:val="21"/>
                <w:highlight w:val="none"/>
                <w:u w:val="none" w:color="auto"/>
                <w:lang w:val="zh-CN" w:bidi="zh-CN"/>
              </w:rPr>
              <w:t>）</w:t>
            </w:r>
            <w:r>
              <w:rPr>
                <w:rFonts w:hint="default" w:ascii="Times New Roman" w:hAnsi="Times New Roman" w:eastAsia="宋体" w:cs="Times New Roman"/>
                <w:color w:val="auto"/>
                <w:kern w:val="0"/>
                <w:sz w:val="21"/>
                <w:szCs w:val="21"/>
                <w:highlight w:val="none"/>
                <w:u w:val="none" w:color="auto"/>
                <w:lang w:val="zh-CN" w:bidi="zh-CN"/>
              </w:rPr>
              <w:t>污水处理设施排污口设置紧急切断闸阀，可在发生事故情况下，及时关闭闸阀，避免超标废水排入</w:t>
            </w:r>
            <w:r>
              <w:rPr>
                <w:rFonts w:hint="eastAsia" w:ascii="Times New Roman" w:hAnsi="Times New Roman" w:cs="Times New Roman"/>
                <w:color w:val="auto"/>
                <w:kern w:val="0"/>
                <w:sz w:val="21"/>
                <w:szCs w:val="21"/>
                <w:highlight w:val="none"/>
                <w:u w:val="none" w:color="auto"/>
                <w:lang w:val="zh-CN" w:bidi="zh-CN"/>
              </w:rPr>
              <w:t>湘阴县第三污水处理厂</w:t>
            </w:r>
            <w:r>
              <w:rPr>
                <w:rFonts w:hint="default" w:ascii="Times New Roman" w:hAnsi="Times New Roman" w:eastAsia="宋体" w:cs="Times New Roman"/>
                <w:color w:val="auto"/>
                <w:kern w:val="0"/>
                <w:sz w:val="21"/>
                <w:szCs w:val="21"/>
                <w:highlight w:val="none"/>
                <w:u w:val="none" w:color="auto"/>
                <w:lang w:val="zh-CN" w:bidi="zh-CN"/>
              </w:rPr>
              <w:t>。</w:t>
            </w:r>
          </w:p>
          <w:p>
            <w:pPr>
              <w:autoSpaceDE w:val="0"/>
              <w:autoSpaceDN w:val="0"/>
              <w:adjustRightInd/>
              <w:snapToGrid/>
              <w:ind w:firstLine="0" w:firstLineChars="0"/>
              <w:jc w:val="left"/>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cs="Times New Roman"/>
                <w:color w:val="auto"/>
                <w:kern w:val="0"/>
                <w:sz w:val="21"/>
                <w:szCs w:val="21"/>
                <w:highlight w:val="none"/>
                <w:u w:val="none" w:color="auto"/>
                <w:lang w:val="zh-CN" w:bidi="zh-CN"/>
              </w:rPr>
              <w:t>（</w:t>
            </w:r>
            <w:r>
              <w:rPr>
                <w:rFonts w:hint="default" w:ascii="Times New Roman" w:hAnsi="Times New Roman" w:cs="Times New Roman"/>
                <w:color w:val="auto"/>
                <w:kern w:val="0"/>
                <w:sz w:val="21"/>
                <w:szCs w:val="21"/>
                <w:highlight w:val="none"/>
                <w:u w:val="none" w:color="auto"/>
                <w:lang w:val="en-US" w:bidi="zh-CN"/>
              </w:rPr>
              <w:t>10</w:t>
            </w:r>
            <w:r>
              <w:rPr>
                <w:rFonts w:hint="default" w:ascii="Times New Roman" w:hAnsi="Times New Roman" w:cs="Times New Roman"/>
                <w:color w:val="auto"/>
                <w:kern w:val="0"/>
                <w:sz w:val="21"/>
                <w:szCs w:val="21"/>
                <w:highlight w:val="none"/>
                <w:u w:val="none" w:color="auto"/>
                <w:lang w:val="zh-CN" w:bidi="zh-CN"/>
              </w:rPr>
              <w:t>）</w:t>
            </w:r>
            <w:r>
              <w:rPr>
                <w:rFonts w:hint="eastAsia" w:ascii="Times New Roman" w:hAnsi="Times New Roman" w:cs="Times New Roman"/>
                <w:color w:val="auto"/>
                <w:kern w:val="0"/>
                <w:sz w:val="21"/>
                <w:szCs w:val="21"/>
                <w:highlight w:val="none"/>
                <w:u w:val="none" w:color="auto"/>
                <w:lang w:val="zh-CN" w:bidi="zh-CN"/>
              </w:rPr>
              <w:t>污水处理设施</w:t>
            </w:r>
            <w:r>
              <w:rPr>
                <w:rFonts w:hint="default" w:ascii="Times New Roman" w:hAnsi="Times New Roman" w:eastAsia="宋体" w:cs="Times New Roman"/>
                <w:color w:val="auto"/>
                <w:kern w:val="0"/>
                <w:sz w:val="21"/>
                <w:szCs w:val="21"/>
                <w:highlight w:val="none"/>
                <w:u w:val="none" w:color="auto"/>
                <w:lang w:val="zh-CN" w:bidi="zh-CN"/>
              </w:rPr>
              <w:t>、</w:t>
            </w:r>
            <w:r>
              <w:rPr>
                <w:rFonts w:hint="eastAsia" w:ascii="Times New Roman" w:hAnsi="Times New Roman" w:cs="Times New Roman"/>
                <w:color w:val="auto"/>
                <w:kern w:val="0"/>
                <w:sz w:val="21"/>
                <w:szCs w:val="21"/>
                <w:highlight w:val="none"/>
                <w:u w:val="none" w:color="auto"/>
                <w:lang w:val="zh-CN" w:bidi="zh-CN"/>
              </w:rPr>
              <w:t>生产厂房、危废暂存间</w:t>
            </w:r>
            <w:r>
              <w:rPr>
                <w:rFonts w:hint="default" w:ascii="Times New Roman" w:hAnsi="Times New Roman" w:eastAsia="宋体" w:cs="Times New Roman"/>
                <w:color w:val="auto"/>
                <w:kern w:val="0"/>
                <w:sz w:val="21"/>
                <w:szCs w:val="21"/>
                <w:highlight w:val="none"/>
                <w:u w:val="none" w:color="auto"/>
                <w:lang w:val="zh-CN" w:bidi="zh-CN"/>
              </w:rPr>
              <w:t>等采取重点防渗措施。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5" w:hRule="atLeast"/>
        </w:trPr>
        <w:tc>
          <w:tcPr>
            <w:tcW w:w="83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评价结论与建议</w:t>
            </w:r>
          </w:p>
        </w:tc>
        <w:tc>
          <w:tcPr>
            <w:tcW w:w="7850" w:type="dxa"/>
            <w:gridSpan w:val="18"/>
            <w:tcBorders>
              <w:tl2br w:val="nil"/>
              <w:tr2bl w:val="nil"/>
            </w:tcBorders>
            <w:vAlign w:val="center"/>
          </w:tcPr>
          <w:p>
            <w:pPr>
              <w:autoSpaceDE w:val="0"/>
              <w:autoSpaceDN w:val="0"/>
              <w:adjustRightInd/>
              <w:snapToGrid/>
              <w:spacing w:line="240" w:lineRule="auto"/>
              <w:ind w:firstLine="0" w:firstLineChars="0"/>
              <w:jc w:val="both"/>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建设单位在严格落实本报告的提出各项事故防范和应急措施，加强管理的前提下，可最大限度地减少可能发生的环境风险，且一旦发生事故，也可将影响范围控制在较小程度之内，减小损失。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681" w:type="dxa"/>
            <w:gridSpan w:val="19"/>
            <w:tcBorders>
              <w:tl2br w:val="nil"/>
              <w:tr2bl w:val="nil"/>
            </w:tcBorders>
            <w:vAlign w:val="center"/>
          </w:tcPr>
          <w:p>
            <w:pPr>
              <w:autoSpaceDE w:val="0"/>
              <w:autoSpaceDN w:val="0"/>
              <w:adjustRightInd/>
              <w:snapToGrid/>
              <w:spacing w:line="240" w:lineRule="auto"/>
              <w:ind w:firstLine="0" w:firstLineChars="0"/>
              <w:rPr>
                <w:rFonts w:hint="default" w:ascii="Times New Roman" w:hAnsi="Times New Roman" w:eastAsia="宋体" w:cs="Times New Roman"/>
                <w:color w:val="auto"/>
                <w:kern w:val="0"/>
                <w:sz w:val="21"/>
                <w:szCs w:val="21"/>
                <w:highlight w:val="none"/>
                <w:u w:val="none" w:color="auto"/>
                <w:lang w:val="zh-CN" w:bidi="zh-CN"/>
              </w:rPr>
            </w:pPr>
            <w:r>
              <w:rPr>
                <w:rFonts w:hint="default" w:ascii="Times New Roman" w:hAnsi="Times New Roman" w:eastAsia="宋体" w:cs="Times New Roman"/>
                <w:color w:val="auto"/>
                <w:kern w:val="0"/>
                <w:sz w:val="21"/>
                <w:szCs w:val="21"/>
                <w:highlight w:val="none"/>
                <w:u w:val="none" w:color="auto"/>
                <w:lang w:val="zh-CN" w:bidi="zh-CN"/>
              </w:rPr>
              <w:t>注：“□”为勾选项；“_____”为填写项</w:t>
            </w:r>
          </w:p>
        </w:tc>
      </w:tr>
      <w:bookmarkEnd w:id="176"/>
    </w:tbl>
    <w:p>
      <w:pPr>
        <w:rPr>
          <w:color w:val="auto"/>
        </w:rPr>
        <w:sectPr>
          <w:footerReference r:id="rId8" w:type="default"/>
          <w:pgSz w:w="11849" w:h="16781"/>
          <w:pgMar w:top="1440" w:right="1800" w:bottom="1440" w:left="1800" w:header="567" w:footer="850" w:gutter="0"/>
          <w:pgNumType w:fmt="decimal"/>
          <w:cols w:equalWidth="0" w:num="1">
            <w:col w:w="8970"/>
          </w:cols>
          <w:rtlGutter w:val="0"/>
          <w:docGrid w:linePitch="0" w:charSpace="0"/>
        </w:sectPr>
      </w:pPr>
      <w:bookmarkStart w:id="177" w:name="_GoBack"/>
      <w:bookmarkEnd w:id="177"/>
    </w:p>
    <w:p>
      <w:pPr>
        <w:rPr>
          <w:rFonts w:hint="eastAsia" w:ascii="Times New Roman" w:hAnsi="Times New Roman" w:cs="Times New Roman"/>
          <w:b/>
          <w:bCs/>
          <w:lang w:eastAsia="zh-CN"/>
        </w:rPr>
        <w:sectPr>
          <w:pgSz w:w="11849" w:h="16781"/>
          <w:pgMar w:top="720" w:right="720" w:bottom="720" w:left="720" w:header="567" w:footer="850" w:gutter="0"/>
          <w:pgNumType w:fmt="decimal" w:start="1"/>
          <w:cols w:equalWidth="0" w:num="1">
            <w:col w:w="8970"/>
          </w:cols>
          <w:rtlGutter w:val="0"/>
          <w:docGrid w:linePitch="0" w:charSpace="0"/>
        </w:sectPr>
      </w:pPr>
    </w:p>
    <w:p>
      <w:pPr>
        <w:widowControl w:val="0"/>
        <w:autoSpaceDE w:val="0"/>
        <w:autoSpaceDN w:val="0"/>
        <w:spacing w:before="0" w:after="120" w:afterLines="0" w:afterAutospacing="0" w:line="360" w:lineRule="auto"/>
        <w:ind w:left="0" w:leftChars="0" w:right="0" w:firstLine="0" w:firstLineChars="0"/>
        <w:jc w:val="both"/>
        <w:rPr>
          <w:rFonts w:hint="eastAsia" w:eastAsia="宋体"/>
          <w:lang w:eastAsia="zh-CN"/>
        </w:rPr>
        <w:sectPr>
          <w:pgSz w:w="16781" w:h="11849" w:orient="landscape"/>
          <w:pgMar w:top="720" w:right="720" w:bottom="720" w:left="720" w:header="567" w:footer="850" w:gutter="0"/>
          <w:pgNumType w:fmt="decimal" w:start="1"/>
          <w:cols w:equalWidth="0" w:num="1">
            <w:col w:w="8970"/>
          </w:cols>
          <w:rtlGutter w:val="0"/>
          <w:docGrid w:linePitch="0" w:charSpace="0"/>
        </w:sectPr>
      </w:pPr>
    </w:p>
    <w:p>
      <w:pPr>
        <w:autoSpaceDE w:val="0"/>
        <w:autoSpaceDN w:val="0"/>
        <w:bidi w:val="0"/>
        <w:spacing w:before="0" w:after="0" w:line="360" w:lineRule="auto"/>
        <w:ind w:left="0" w:right="0"/>
        <w:rPr>
          <w:rFonts w:hint="eastAsia"/>
          <w:lang w:val="en-US" w:eastAsia="zh-CN"/>
        </w:rPr>
        <w:sectPr>
          <w:pgSz w:w="11906" w:h="16838"/>
          <w:pgMar w:top="720" w:right="720" w:bottom="720" w:left="720" w:header="851" w:footer="992" w:gutter="0"/>
          <w:cols w:space="425" w:num="1"/>
          <w:docGrid w:type="lines" w:linePitch="312" w:charSpace="0"/>
        </w:sectPr>
      </w:pPr>
    </w:p>
    <w:p>
      <w:pPr>
        <w:autoSpaceDE w:val="0"/>
        <w:autoSpaceDN w:val="0"/>
        <w:spacing w:before="0" w:after="0" w:line="360" w:lineRule="auto"/>
        <w:ind w:left="0" w:right="0"/>
        <w:jc w:val="both"/>
        <w:rPr>
          <w:rFonts w:hint="default"/>
          <w:lang w:val="en-US" w:eastAsia="zh-CN"/>
        </w:rPr>
        <w:sectPr>
          <w:pgSz w:w="11849" w:h="16781"/>
          <w:pgMar w:top="720" w:right="720" w:bottom="720" w:left="720" w:header="567" w:footer="850" w:gutter="0"/>
          <w:pgNumType w:fmt="decimal" w:start="1"/>
          <w:cols w:equalWidth="0" w:num="1">
            <w:col w:w="8970"/>
          </w:cols>
          <w:rtlGutter w:val="0"/>
          <w:docGrid w:linePitch="0" w:charSpace="0"/>
        </w:sectPr>
      </w:pPr>
    </w:p>
    <w:p>
      <w:pPr>
        <w:autoSpaceDE w:val="0"/>
        <w:autoSpaceDN w:val="0"/>
        <w:spacing w:before="0" w:after="0" w:line="360" w:lineRule="auto"/>
        <w:ind w:left="0" w:right="0"/>
        <w:jc w:val="both"/>
        <w:rPr>
          <w:rFonts w:hint="eastAsia"/>
          <w:lang w:val="en-US" w:eastAsia="zh-CN"/>
        </w:rPr>
        <w:sectPr>
          <w:pgSz w:w="16781" w:h="11849" w:orient="landscape"/>
          <w:pgMar w:top="720" w:right="720" w:bottom="720" w:left="720" w:header="567" w:footer="850" w:gutter="0"/>
          <w:pgNumType w:fmt="decimal" w:start="1"/>
          <w:cols w:equalWidth="0" w:num="1">
            <w:col w:w="8970"/>
          </w:cols>
          <w:rtlGutter w:val="0"/>
          <w:docGrid w:linePitch="0" w:charSpace="0"/>
        </w:sectPr>
      </w:pPr>
    </w:p>
    <w:p>
      <w:pPr>
        <w:rPr>
          <w:rFonts w:hint="eastAsia" w:cs="Times New Roman"/>
          <w:b/>
          <w:bCs/>
          <w:lang w:val="en-US" w:eastAsia="zh-CN"/>
        </w:rPr>
        <w:sectPr>
          <w:pgSz w:w="16781" w:h="11849" w:orient="landscape"/>
          <w:pgMar w:top="720" w:right="720" w:bottom="720" w:left="720" w:header="567" w:footer="850" w:gutter="0"/>
          <w:pgNumType w:fmt="decimal" w:start="1"/>
          <w:cols w:equalWidth="0" w:num="1">
            <w:col w:w="8970"/>
          </w:cols>
          <w:rtlGutter w:val="0"/>
          <w:docGrid w:linePitch="0" w:charSpace="0"/>
        </w:sectPr>
      </w:pPr>
    </w:p>
    <w:p>
      <w:pPr>
        <w:keepNext/>
        <w:keepLines/>
        <w:widowControl w:val="0"/>
        <w:numPr>
          <w:ilvl w:val="0"/>
          <w:numId w:val="0"/>
        </w:numPr>
        <w:autoSpaceDE w:val="0"/>
        <w:autoSpaceDN w:val="0"/>
        <w:bidi w:val="0"/>
        <w:spacing w:before="0" w:beforeAutospacing="0" w:after="0" w:line="360" w:lineRule="auto"/>
        <w:ind w:left="0" w:leftChars="0" w:right="0" w:rightChars="0" w:firstLine="0" w:firstLineChars="0"/>
        <w:jc w:val="left"/>
        <w:outlineLvl w:val="0"/>
        <w:rPr>
          <w:rFonts w:hint="eastAsia" w:eastAsia="宋体"/>
          <w:b/>
          <w:sz w:val="24"/>
          <w:highlight w:val="none"/>
          <w:lang w:eastAsia="zh-CN"/>
        </w:rPr>
        <w:sectPr>
          <w:footerReference r:id="rId9" w:type="default"/>
          <w:pgSz w:w="23811" w:h="16838" w:orient="landscape"/>
          <w:pgMar w:top="720" w:right="720" w:bottom="720" w:left="720" w:header="851" w:footer="567" w:gutter="0"/>
          <w:cols w:space="720" w:num="1"/>
          <w:docGrid w:linePitch="312" w:charSpace="0"/>
        </w:sectPr>
      </w:pPr>
      <w:r>
        <w:rPr>
          <w:rFonts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10354310</wp:posOffset>
                </wp:positionH>
                <wp:positionV relativeFrom="paragraph">
                  <wp:posOffset>8019415</wp:posOffset>
                </wp:positionV>
                <wp:extent cx="419100" cy="200025"/>
                <wp:effectExtent l="5080" t="4445" r="13970" b="5080"/>
                <wp:wrapNone/>
                <wp:docPr id="164" name="矩形 164"/>
                <wp:cNvGraphicFramePr/>
                <a:graphic xmlns:a="http://schemas.openxmlformats.org/drawingml/2006/main">
                  <a:graphicData uri="http://schemas.microsoft.com/office/word/2010/wordprocessingShape">
                    <wps:wsp>
                      <wps:cNvSpPr/>
                      <wps:spPr>
                        <a:xfrm>
                          <a:off x="0" y="0"/>
                          <a:ext cx="419100" cy="200025"/>
                        </a:xfrm>
                        <a:prstGeom prst="rect">
                          <a:avLst/>
                        </a:prstGeom>
                        <a:noFill/>
                        <a:ln w="9525" cap="flat" cmpd="sng">
                          <a:solidFill>
                            <a:srgbClr val="FFFF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15.3pt;margin-top:631.45pt;height:15.75pt;width:33pt;z-index:251666432;mso-width-relative:page;mso-height-relative:page;" filled="f" stroked="t" coordsize="21600,21600" o:gfxdata="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q7V67eAAAADwEAAA8AAAAAAAAAAQAgAAAAIgAAAGRycy9kb3du&#10;cmV2LnhtbFBLAQIUABQAAAAIAIdO4kD5Y1W9+QEAAPgDAAAOAAAAAAAAAAEAIAAAAC0BAABkcnMv&#10;ZTJvRG9jLnhtbFBLBQYAAAAABgAGAFkBAACYBQAAAAA=&#10;">
                <v:fill on="f" focussize="0,0"/>
                <v:stroke color="#FFFF00" joinstyle="miter"/>
                <v:imagedata o:title=""/>
                <o:lock v:ext="edit" aspectratio="f"/>
              </v:rect>
            </w:pict>
          </mc:Fallback>
        </mc:AlternateContent>
      </w:r>
      <w:r>
        <w:rPr>
          <w:rFonts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10354310</wp:posOffset>
                </wp:positionH>
                <wp:positionV relativeFrom="paragraph">
                  <wp:posOffset>8228965</wp:posOffset>
                </wp:positionV>
                <wp:extent cx="419100" cy="200025"/>
                <wp:effectExtent l="5080" t="4445" r="13970" b="5080"/>
                <wp:wrapNone/>
                <wp:docPr id="158" name="矩形 158"/>
                <wp:cNvGraphicFramePr/>
                <a:graphic xmlns:a="http://schemas.openxmlformats.org/drawingml/2006/main">
                  <a:graphicData uri="http://schemas.microsoft.com/office/word/2010/wordprocessingShape">
                    <wps:wsp>
                      <wps:cNvSpPr/>
                      <wps:spPr>
                        <a:xfrm>
                          <a:off x="0" y="0"/>
                          <a:ext cx="419100" cy="20002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15.3pt;margin-top:647.95pt;height:15.75pt;width:33pt;z-index:251665408;mso-width-relative:page;mso-height-relative:page;" filled="f" stroked="t" coordsize="21600,21600" o:gfxdata="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2osE3QAAAA8BAAAPAAAAAAAAAAEAIAAAACIAAABkcnMvZG93bnJl&#10;di54bWxQSwECFAAUAAAACACHTuJAqZ9r+fgBAAD4AwAADgAAAAAAAAABACAAAAAsAQAAZHJzL2Uy&#10;b0RvYy54bWxQSwUGAAAAAAYABgBZAQAAlgUAAAAA&#10;">
                <v:fill on="f" focussize="0,0"/>
                <v:stroke color="#FF0000" joinstyle="miter"/>
                <v:imagedata o:title=""/>
                <o:lock v:ext="edit" aspectratio="f"/>
              </v:rect>
            </w:pict>
          </mc:Fallback>
        </mc:AlternateContent>
      </w:r>
      <w:r>
        <w:rPr>
          <w:rFonts w:ascii="Times New Roman" w:hAnsi="Times New Roman"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6443345</wp:posOffset>
                </wp:positionH>
                <wp:positionV relativeFrom="paragraph">
                  <wp:posOffset>695325</wp:posOffset>
                </wp:positionV>
                <wp:extent cx="23495" cy="17780"/>
                <wp:effectExtent l="3175" t="3810" r="11430" b="6985"/>
                <wp:wrapNone/>
                <wp:docPr id="170" name="直接箭头连接符 170"/>
                <wp:cNvGraphicFramePr/>
                <a:graphic xmlns:a="http://schemas.openxmlformats.org/drawingml/2006/main">
                  <a:graphicData uri="http://schemas.microsoft.com/office/word/2010/wordprocessingShape">
                    <wps:wsp>
                      <wps:cNvCnPr/>
                      <wps:spPr>
                        <a:xfrm flipV="1">
                          <a:off x="0" y="0"/>
                          <a:ext cx="23495" cy="177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507.35pt;margin-top:54.75pt;height:1.4pt;width:1.85pt;z-index:251664384;mso-width-relative:page;mso-height-relative:page;" filled="f" stroked="t" coordsize="21600,21600" o:gfxdata="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7f12QAAAA0BAAAPAAAAAAAAAAEAIAAAACIA&#10;AABkcnMvZG93bnJldi54bWxQSwECFAAUAAAACACHTuJA47SSpQgCAAD8AwAADgAAAAAAAAABACAA&#10;AAAoAQAAZHJzL2Uyb0RvYy54bWxQSwUGAAAAAAYABgBZAQAAogUAAAAA&#10;">
                <v:fill on="f" focussize="0,0"/>
                <v:stroke color="#000000" joinstyle="round"/>
                <v:imagedata o:title=""/>
                <o:lock v:ext="edit" aspectratio="f"/>
              </v:shape>
            </w:pict>
          </mc:Fallback>
        </mc:AlternateContent>
      </w:r>
    </w:p>
    <w:p>
      <w:pPr>
        <w:jc w:val="both"/>
        <w:rPr>
          <w:rFonts w:hint="eastAsia" w:ascii="Times New Roman" w:hAnsi="Times New Roman" w:eastAsia="宋体" w:cs="Times New Roman"/>
          <w:b/>
          <w:sz w:val="24"/>
          <w:lang w:eastAsia="zh-CN"/>
        </w:rPr>
        <w:sectPr>
          <w:pgSz w:w="16838" w:h="11906" w:orient="landscape"/>
          <w:pgMar w:top="720" w:right="720" w:bottom="720" w:left="720" w:header="851" w:footer="851" w:gutter="0"/>
          <w:cols w:space="720" w:num="1"/>
          <w:docGrid w:linePitch="312" w:charSpace="0"/>
        </w:sectPr>
      </w:pPr>
    </w:p>
    <w:p>
      <w:pPr>
        <w:jc w:val="both"/>
        <w:rPr>
          <w:rFonts w:hint="eastAsia" w:eastAsia="宋体"/>
          <w:b/>
          <w:sz w:val="24"/>
          <w:lang w:eastAsia="zh-CN"/>
        </w:rPr>
        <w:sectPr>
          <w:pgSz w:w="11906" w:h="16838"/>
          <w:pgMar w:top="720" w:right="720" w:bottom="720" w:left="720" w:header="567" w:footer="567" w:gutter="0"/>
          <w:cols w:space="720" w:num="1"/>
          <w:docGrid w:linePitch="312" w:charSpace="0"/>
        </w:sectPr>
      </w:pPr>
    </w:p>
    <w:p>
      <w:pPr>
        <w:jc w:val="both"/>
      </w:pPr>
    </w:p>
    <w:sectPr>
      <w:pgSz w:w="11849" w:h="16781"/>
      <w:pgMar w:top="720" w:right="720" w:bottom="720" w:left="720" w:header="567" w:footer="850" w:gutter="0"/>
      <w:pgNumType w:fmt="decimal" w:start="1"/>
      <w:cols w:equalWidth="0" w:num="1">
        <w:col w:w="8970"/>
      </w:cols>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微软雅黑"/>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34"/>
    <w:family w:val="swiss"/>
    <w:pitch w:val="default"/>
    <w:sig w:usb0="80000287" w:usb1="2ACF3C50"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 w:name="方正宋三简体">
    <w:altName w:val="宋体"/>
    <w:panose1 w:val="02010601030101010101"/>
    <w:charset w:val="86"/>
    <w:family w:val="auto"/>
    <w:pitch w:val="default"/>
    <w:sig w:usb0="00000000" w:usb1="00000000" w:usb2="00000010" w:usb3="00000000" w:csb0="0004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480" w:lineRule="exact"/>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cs="Times New Roman"/>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left"/>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w:t>—</w:t>
                          </w:r>
                          <w:r>
                            <w:rPr>
                              <w:rFonts w:ascii="Times New Roman" w:hAnsi="Times New Roman" w:eastAsia="宋体" w:cs="Times New Roman"/>
                              <w:kern w:val="0"/>
                              <w:sz w:val="18"/>
                              <w:szCs w:val="20"/>
                              <w:lang w:val="en-US" w:eastAsia="zh-CN" w:bidi="ar-SA"/>
                            </w:rPr>
                            <w:fldChar w:fldCharType="begin"/>
                          </w:r>
                          <w:r>
                            <w:rPr>
                              <w:rFonts w:ascii="Times New Roman" w:hAnsi="Times New Roman" w:eastAsia="宋体" w:cs="Times New Roman"/>
                              <w:kern w:val="0"/>
                              <w:sz w:val="18"/>
                              <w:szCs w:val="20"/>
                              <w:lang w:val="en-US" w:eastAsia="zh-CN" w:bidi="ar-SA"/>
                            </w:rPr>
                            <w:instrText xml:space="preserve"> PAGE  \* MERGEFORMAT </w:instrText>
                          </w:r>
                          <w:r>
                            <w:rPr>
                              <w:rFonts w:ascii="Times New Roman" w:hAnsi="Times New Roman" w:eastAsia="宋体" w:cs="Times New Roman"/>
                              <w:kern w:val="0"/>
                              <w:sz w:val="18"/>
                              <w:szCs w:val="20"/>
                              <w:lang w:val="en-US" w:eastAsia="zh-CN" w:bidi="ar-SA"/>
                            </w:rPr>
                            <w:fldChar w:fldCharType="separate"/>
                          </w:r>
                          <w:r>
                            <w:rPr>
                              <w:rFonts w:ascii="Times New Roman" w:hAnsi="Times New Roman" w:eastAsia="宋体" w:cs="Times New Roman"/>
                              <w:kern w:val="0"/>
                              <w:sz w:val="18"/>
                              <w:szCs w:val="20"/>
                              <w:lang w:val="en-US" w:eastAsia="zh-CN" w:bidi="ar-SA"/>
                            </w:rPr>
                            <w:t>1</w:t>
                          </w:r>
                          <w:r>
                            <w:rPr>
                              <w:rFonts w:ascii="Times New Roman" w:hAnsi="Times New Roman" w:eastAsia="宋体" w:cs="Times New Roman"/>
                              <w:kern w:val="0"/>
                              <w:sz w:val="18"/>
                              <w:szCs w:val="20"/>
                              <w:lang w:val="en-US" w:eastAsia="zh-CN" w:bidi="ar-SA"/>
                            </w:rPr>
                            <w:fldChar w:fldCharType="end"/>
                          </w:r>
                          <w:r>
                            <w:rPr>
                              <w:rFonts w:ascii="Times New Roman" w:hAnsi="Times New Roman" w:eastAsia="宋体" w:cs="Times New Roman"/>
                              <w:kern w:val="0"/>
                              <w:sz w:val="18"/>
                              <w:szCs w:val="20"/>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widowControl w:val="0"/>
                      <w:snapToGrid w:val="0"/>
                      <w:jc w:val="left"/>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w:t>—</w:t>
                    </w:r>
                    <w:r>
                      <w:rPr>
                        <w:rFonts w:ascii="Times New Roman" w:hAnsi="Times New Roman" w:eastAsia="宋体" w:cs="Times New Roman"/>
                        <w:kern w:val="0"/>
                        <w:sz w:val="18"/>
                        <w:szCs w:val="20"/>
                        <w:lang w:val="en-US" w:eastAsia="zh-CN" w:bidi="ar-SA"/>
                      </w:rPr>
                      <w:fldChar w:fldCharType="begin"/>
                    </w:r>
                    <w:r>
                      <w:rPr>
                        <w:rFonts w:ascii="Times New Roman" w:hAnsi="Times New Roman" w:eastAsia="宋体" w:cs="Times New Roman"/>
                        <w:kern w:val="0"/>
                        <w:sz w:val="18"/>
                        <w:szCs w:val="20"/>
                        <w:lang w:val="en-US" w:eastAsia="zh-CN" w:bidi="ar-SA"/>
                      </w:rPr>
                      <w:instrText xml:space="preserve"> PAGE  \* MERGEFORMAT </w:instrText>
                    </w:r>
                    <w:r>
                      <w:rPr>
                        <w:rFonts w:ascii="Times New Roman" w:hAnsi="Times New Roman" w:eastAsia="宋体" w:cs="Times New Roman"/>
                        <w:kern w:val="0"/>
                        <w:sz w:val="18"/>
                        <w:szCs w:val="20"/>
                        <w:lang w:val="en-US" w:eastAsia="zh-CN" w:bidi="ar-SA"/>
                      </w:rPr>
                      <w:fldChar w:fldCharType="separate"/>
                    </w:r>
                    <w:r>
                      <w:rPr>
                        <w:rFonts w:ascii="Times New Roman" w:hAnsi="Times New Roman" w:eastAsia="宋体" w:cs="Times New Roman"/>
                        <w:kern w:val="0"/>
                        <w:sz w:val="18"/>
                        <w:szCs w:val="20"/>
                        <w:lang w:val="en-US" w:eastAsia="zh-CN" w:bidi="ar-SA"/>
                      </w:rPr>
                      <w:t>1</w:t>
                    </w:r>
                    <w:r>
                      <w:rPr>
                        <w:rFonts w:ascii="Times New Roman" w:hAnsi="Times New Roman" w:eastAsia="宋体" w:cs="Times New Roman"/>
                        <w:kern w:val="0"/>
                        <w:sz w:val="18"/>
                        <w:szCs w:val="20"/>
                        <w:lang w:val="en-US" w:eastAsia="zh-CN" w:bidi="ar-SA"/>
                      </w:rPr>
                      <w:fldChar w:fldCharType="end"/>
                    </w:r>
                    <w:r>
                      <w:rPr>
                        <w:rFonts w:ascii="Times New Roman" w:hAnsi="Times New Roman" w:eastAsia="宋体" w:cs="Times New Roman"/>
                        <w:kern w:val="0"/>
                        <w:sz w:val="18"/>
                        <w:szCs w:val="20"/>
                        <w:lang w:val="en-US" w:eastAsia="zh-CN" w:bidi="ar-SA"/>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left"/>
      <w:rPr>
        <w:rFonts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left"/>
      <w:rPr>
        <w:rFonts w:ascii="Times New Roman" w:hAnsi="Times New Roman" w:eastAsia="宋体" w:cs="Times New Roman"/>
        <w:kern w:val="0"/>
        <w:sz w:val="18"/>
        <w:szCs w:val="20"/>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w:pict>
        <v:shape id="_x0000_s3073" o:spid="_x0000_s3073" o:spt="136" type="#_x0000_t136" style="position:absolute;left:0pt;height:137pt;width:415.3pt;mso-position-horizontal:center;mso-position-horizontal-relative:margin;mso-position-vertical:center;mso-position-vertical-relative:margin;z-index:-251654144;mso-width-relative:page;mso-height-relative:page;" fillcolor="#C0C0C0" filled="t" stroked="f" coordsize="21600,21600" adj="10800">
          <v:path/>
          <v:fill on="t" opacity="32768f" focussize="0,0"/>
          <v:stroke on="f"/>
          <v:imagedata o:title=""/>
          <o:lock v:ext="edit" aspectratio="t"/>
          <v:textpath on="t" fitshape="t" fitpath="t" trim="t" xscale="f" string="严禁复制"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240" w:lineRule="atLeast"/>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A9DE6"/>
    <w:multiLevelType w:val="singleLevel"/>
    <w:tmpl w:val="8BDA9DE6"/>
    <w:lvl w:ilvl="0" w:tentative="0">
      <w:start w:val="1"/>
      <w:numFmt w:val="decimal"/>
      <w:suff w:val="nothing"/>
      <w:lvlText w:val="%1"/>
      <w:lvlJc w:val="left"/>
      <w:pPr>
        <w:ind w:left="0" w:firstLine="0"/>
      </w:pPr>
      <w:rPr>
        <w:rFonts w:hint="default"/>
      </w:rPr>
    </w:lvl>
  </w:abstractNum>
  <w:abstractNum w:abstractNumId="1">
    <w:nsid w:val="96C4B660"/>
    <w:multiLevelType w:val="singleLevel"/>
    <w:tmpl w:val="96C4B660"/>
    <w:lvl w:ilvl="0" w:tentative="0">
      <w:start w:val="1"/>
      <w:numFmt w:val="decimal"/>
      <w:suff w:val="nothing"/>
      <w:lvlText w:val="%1"/>
      <w:lvlJc w:val="left"/>
      <w:pPr>
        <w:ind w:left="0" w:firstLine="0"/>
      </w:pPr>
      <w:rPr>
        <w:rFonts w:hint="default"/>
      </w:rPr>
    </w:lvl>
  </w:abstractNum>
  <w:abstractNum w:abstractNumId="2">
    <w:nsid w:val="97A9ABDC"/>
    <w:multiLevelType w:val="multilevel"/>
    <w:tmpl w:val="97A9ABDC"/>
    <w:lvl w:ilvl="0" w:tentative="0">
      <w:start w:val="1"/>
      <w:numFmt w:val="decimal"/>
      <w:pStyle w:val="54"/>
      <w:isLgl/>
      <w:lvlText w:val="%1."/>
      <w:lvlJc w:val="left"/>
      <w:pPr>
        <w:ind w:left="0" w:leftChars="0" w:firstLine="0" w:firstLineChars="0"/>
      </w:pPr>
      <w:rPr>
        <w:rFonts w:hint="default" w:ascii="Times New Roman" w:hAnsi="Times New Roman" w:eastAsia="宋体" w:cs="宋体"/>
      </w:rPr>
    </w:lvl>
    <w:lvl w:ilvl="1" w:tentative="0">
      <w:start w:val="1"/>
      <w:numFmt w:val="decimal"/>
      <w:isLgl/>
      <w:lvlText w:val="%1.%2."/>
      <w:lvlJc w:val="left"/>
      <w:pPr>
        <w:ind w:left="993" w:hanging="993"/>
      </w:pPr>
      <w:rPr>
        <w:rFonts w:hint="default" w:ascii="Times New Roman" w:hAnsi="Times New Roman" w:eastAsia="宋体" w:cs="宋体"/>
      </w:rPr>
    </w:lvl>
    <w:lvl w:ilvl="2" w:tentative="0">
      <w:start w:val="1"/>
      <w:numFmt w:val="decimal"/>
      <w:pStyle w:val="47"/>
      <w:isLgl/>
      <w:lvlText w:val="%1.%2.%3."/>
      <w:lvlJc w:val="left"/>
      <w:pPr>
        <w:ind w:left="993" w:hanging="993"/>
      </w:pPr>
      <w:rPr>
        <w:rFonts w:hint="default" w:ascii="Times New Roman" w:hAnsi="Times New Roman" w:eastAsia="宋体" w:cs="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9D608FE6"/>
    <w:multiLevelType w:val="singleLevel"/>
    <w:tmpl w:val="9D608FE6"/>
    <w:lvl w:ilvl="0" w:tentative="0">
      <w:start w:val="1"/>
      <w:numFmt w:val="decimal"/>
      <w:suff w:val="nothing"/>
      <w:lvlText w:val="%1、"/>
      <w:lvlJc w:val="left"/>
    </w:lvl>
  </w:abstractNum>
  <w:abstractNum w:abstractNumId="4">
    <w:nsid w:val="A73D361A"/>
    <w:multiLevelType w:val="singleLevel"/>
    <w:tmpl w:val="A73D361A"/>
    <w:lvl w:ilvl="0" w:tentative="0">
      <w:start w:val="1"/>
      <w:numFmt w:val="decimal"/>
      <w:suff w:val="nothing"/>
      <w:lvlText w:val="%1"/>
      <w:lvlJc w:val="left"/>
      <w:pPr>
        <w:ind w:left="0" w:firstLine="0"/>
      </w:pPr>
      <w:rPr>
        <w:rFonts w:hint="default"/>
      </w:rPr>
    </w:lvl>
  </w:abstractNum>
  <w:abstractNum w:abstractNumId="5">
    <w:nsid w:val="A9EE8C68"/>
    <w:multiLevelType w:val="singleLevel"/>
    <w:tmpl w:val="A9EE8C68"/>
    <w:lvl w:ilvl="0" w:tentative="0">
      <w:start w:val="1"/>
      <w:numFmt w:val="decimal"/>
      <w:suff w:val="nothing"/>
      <w:lvlText w:val="%1"/>
      <w:lvlJc w:val="left"/>
      <w:pPr>
        <w:ind w:left="0" w:firstLine="0"/>
      </w:pPr>
      <w:rPr>
        <w:rFonts w:hint="default"/>
      </w:rPr>
    </w:lvl>
  </w:abstractNum>
  <w:abstractNum w:abstractNumId="6">
    <w:nsid w:val="B38D3BBC"/>
    <w:multiLevelType w:val="multilevel"/>
    <w:tmpl w:val="B38D3BBC"/>
    <w:lvl w:ilvl="0" w:tentative="0">
      <w:start w:val="1"/>
      <w:numFmt w:val="decimal"/>
      <w:isLgl/>
      <w:lvlText w:val="%1."/>
      <w:lvlJc w:val="left"/>
      <w:pPr>
        <w:ind w:left="0" w:leftChars="0" w:firstLine="0" w:firstLineChars="0"/>
      </w:pPr>
      <w:rPr>
        <w:rFonts w:hint="default" w:ascii="Times New Roman" w:hAnsi="Times New Roman" w:eastAsia="宋体" w:cs="宋体"/>
      </w:rPr>
    </w:lvl>
    <w:lvl w:ilvl="1" w:tentative="0">
      <w:start w:val="1"/>
      <w:numFmt w:val="decimal"/>
      <w:pStyle w:val="50"/>
      <w:isLgl/>
      <w:lvlText w:val="%1.%2."/>
      <w:lvlJc w:val="left"/>
      <w:pPr>
        <w:ind w:left="993" w:hanging="993"/>
      </w:pPr>
      <w:rPr>
        <w:rFonts w:hint="default" w:ascii="Times New Roman" w:hAnsi="Times New Roman" w:eastAsia="宋体" w:cs="宋体"/>
      </w:rPr>
    </w:lvl>
    <w:lvl w:ilvl="2" w:tentative="0">
      <w:start w:val="1"/>
      <w:numFmt w:val="decimal"/>
      <w:isLgl/>
      <w:lvlText w:val="%1.%2.%3."/>
      <w:lvlJc w:val="left"/>
      <w:pPr>
        <w:ind w:left="993" w:hanging="993"/>
      </w:pPr>
      <w:rPr>
        <w:rFonts w:hint="default" w:ascii="Times New Roman" w:hAnsi="Times New Roman" w:eastAsia="宋体" w:cs="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B5AE9736"/>
    <w:multiLevelType w:val="singleLevel"/>
    <w:tmpl w:val="B5AE9736"/>
    <w:lvl w:ilvl="0" w:tentative="0">
      <w:start w:val="1"/>
      <w:numFmt w:val="decimal"/>
      <w:suff w:val="nothing"/>
      <w:lvlText w:val="%1"/>
      <w:lvlJc w:val="left"/>
      <w:pPr>
        <w:ind w:left="0" w:firstLine="0"/>
      </w:pPr>
      <w:rPr>
        <w:rFonts w:hint="default"/>
      </w:rPr>
    </w:lvl>
  </w:abstractNum>
  <w:abstractNum w:abstractNumId="8">
    <w:nsid w:val="B615B625"/>
    <w:multiLevelType w:val="singleLevel"/>
    <w:tmpl w:val="B615B625"/>
    <w:lvl w:ilvl="0" w:tentative="0">
      <w:start w:val="1"/>
      <w:numFmt w:val="decimal"/>
      <w:suff w:val="nothing"/>
      <w:lvlText w:val="%1"/>
      <w:lvlJc w:val="left"/>
      <w:pPr>
        <w:ind w:left="0" w:firstLine="0"/>
      </w:pPr>
      <w:rPr>
        <w:rFonts w:hint="default"/>
      </w:rPr>
    </w:lvl>
  </w:abstractNum>
  <w:abstractNum w:abstractNumId="9">
    <w:nsid w:val="BD3766F7"/>
    <w:multiLevelType w:val="singleLevel"/>
    <w:tmpl w:val="BD3766F7"/>
    <w:lvl w:ilvl="0" w:tentative="0">
      <w:start w:val="1"/>
      <w:numFmt w:val="decimal"/>
      <w:suff w:val="nothing"/>
      <w:lvlText w:val="%1"/>
      <w:lvlJc w:val="left"/>
      <w:pPr>
        <w:ind w:left="0" w:firstLine="0"/>
      </w:pPr>
      <w:rPr>
        <w:rFonts w:hint="default"/>
      </w:rPr>
    </w:lvl>
  </w:abstractNum>
  <w:abstractNum w:abstractNumId="10">
    <w:nsid w:val="D8CE7E02"/>
    <w:multiLevelType w:val="singleLevel"/>
    <w:tmpl w:val="D8CE7E02"/>
    <w:lvl w:ilvl="0" w:tentative="0">
      <w:start w:val="1"/>
      <w:numFmt w:val="decimal"/>
      <w:suff w:val="nothing"/>
      <w:lvlText w:val="%1"/>
      <w:lvlJc w:val="left"/>
      <w:pPr>
        <w:ind w:left="0" w:firstLine="0"/>
      </w:pPr>
      <w:rPr>
        <w:rFonts w:hint="default"/>
      </w:rPr>
    </w:lvl>
  </w:abstractNum>
  <w:abstractNum w:abstractNumId="11">
    <w:nsid w:val="E6DC684F"/>
    <w:multiLevelType w:val="singleLevel"/>
    <w:tmpl w:val="E6DC684F"/>
    <w:lvl w:ilvl="0" w:tentative="0">
      <w:start w:val="1"/>
      <w:numFmt w:val="decimal"/>
      <w:suff w:val="nothing"/>
      <w:lvlText w:val="%1"/>
      <w:lvlJc w:val="left"/>
      <w:pPr>
        <w:ind w:left="0" w:firstLine="0"/>
      </w:pPr>
      <w:rPr>
        <w:rFonts w:hint="default"/>
      </w:rPr>
    </w:lvl>
  </w:abstractNum>
  <w:abstractNum w:abstractNumId="12">
    <w:nsid w:val="E74F85A9"/>
    <w:multiLevelType w:val="singleLevel"/>
    <w:tmpl w:val="E74F85A9"/>
    <w:lvl w:ilvl="0" w:tentative="0">
      <w:start w:val="1"/>
      <w:numFmt w:val="decimal"/>
      <w:suff w:val="nothing"/>
      <w:lvlText w:val="（%1）"/>
      <w:lvlJc w:val="left"/>
      <w:pPr>
        <w:ind w:left="-60" w:firstLine="0"/>
      </w:pPr>
      <w:rPr>
        <w:rFonts w:hint="default"/>
      </w:rPr>
    </w:lvl>
  </w:abstractNum>
  <w:abstractNum w:abstractNumId="13">
    <w:nsid w:val="ED51379F"/>
    <w:multiLevelType w:val="singleLevel"/>
    <w:tmpl w:val="ED51379F"/>
    <w:lvl w:ilvl="0" w:tentative="0">
      <w:start w:val="1"/>
      <w:numFmt w:val="decimal"/>
      <w:suff w:val="nothing"/>
      <w:lvlText w:val="%1"/>
      <w:lvlJc w:val="left"/>
      <w:pPr>
        <w:ind w:left="0" w:firstLine="0"/>
      </w:pPr>
      <w:rPr>
        <w:rFonts w:hint="default"/>
      </w:rPr>
    </w:lvl>
  </w:abstractNum>
  <w:abstractNum w:abstractNumId="14">
    <w:nsid w:val="F0525049"/>
    <w:multiLevelType w:val="singleLevel"/>
    <w:tmpl w:val="F0525049"/>
    <w:lvl w:ilvl="0" w:tentative="0">
      <w:start w:val="1"/>
      <w:numFmt w:val="decimal"/>
      <w:suff w:val="nothing"/>
      <w:lvlText w:val="%1"/>
      <w:lvlJc w:val="left"/>
      <w:pPr>
        <w:ind w:left="0" w:firstLine="0"/>
      </w:pPr>
      <w:rPr>
        <w:rFonts w:hint="default"/>
      </w:rPr>
    </w:lvl>
  </w:abstractNum>
  <w:abstractNum w:abstractNumId="15">
    <w:nsid w:val="FE5DB90B"/>
    <w:multiLevelType w:val="singleLevel"/>
    <w:tmpl w:val="FE5DB90B"/>
    <w:lvl w:ilvl="0" w:tentative="0">
      <w:start w:val="1"/>
      <w:numFmt w:val="decimal"/>
      <w:suff w:val="nothing"/>
      <w:lvlText w:val="（%1）"/>
      <w:lvlJc w:val="left"/>
    </w:lvl>
  </w:abstractNum>
  <w:abstractNum w:abstractNumId="16">
    <w:nsid w:val="0000002A"/>
    <w:multiLevelType w:val="multilevel"/>
    <w:tmpl w:val="0000002A"/>
    <w:lvl w:ilvl="0" w:tentative="0">
      <w:start w:val="1"/>
      <w:numFmt w:val="decimal"/>
      <w:suff w:val="space"/>
      <w:lvlText w:val="第%1章"/>
      <w:lvlJc w:val="center"/>
      <w:pPr>
        <w:ind w:left="-288" w:firstLine="288"/>
      </w:p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1843" w:firstLine="0"/>
      </w:pPr>
    </w:lvl>
    <w:lvl w:ilvl="4" w:tentative="0">
      <w:start w:val="1"/>
      <w:numFmt w:val="decimal"/>
      <w:lvlRestart w:val="2"/>
      <w:pStyle w:val="96"/>
      <w:suff w:val="space"/>
      <w:lvlText w:val="表%1.%2-%5"/>
      <w:lvlJc w:val="left"/>
      <w:pPr>
        <w:ind w:left="5246" w:firstLine="0"/>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5" w:tentative="0">
      <w:start w:val="1"/>
      <w:numFmt w:val="decimal"/>
      <w:lvlRestart w:val="2"/>
      <w:suff w:val="space"/>
      <w:lvlText w:val="图%1.%2-%6"/>
      <w:lvlJc w:val="left"/>
      <w:pPr>
        <w:ind w:left="4395" w:firstLine="0"/>
      </w:pPr>
    </w:lvl>
    <w:lvl w:ilvl="6" w:tentative="0">
      <w:start w:val="0"/>
      <w:numFmt w:val="decimal"/>
      <w:lvlText w:val="%7"/>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17">
    <w:nsid w:val="0213863C"/>
    <w:multiLevelType w:val="multilevel"/>
    <w:tmpl w:val="0213863C"/>
    <w:lvl w:ilvl="0" w:tentative="0">
      <w:start w:val="1"/>
      <w:numFmt w:val="decimal"/>
      <w:lvlText w:val="%1"/>
      <w:lvlJc w:val="left"/>
      <w:pPr>
        <w:tabs>
          <w:tab w:val="left" w:pos="432"/>
        </w:tabs>
        <w:ind w:left="432" w:hanging="432"/>
      </w:pPr>
      <w:rPr>
        <w:rFonts w:hint="default" w:ascii="Times New Roman" w:hAnsi="Times New Roman" w:eastAsia="黑体" w:cs="Times New Roman"/>
        <w:b/>
        <w:color w:val="auto"/>
        <w:sz w:val="32"/>
        <w:szCs w:val="32"/>
      </w:rPr>
    </w:lvl>
    <w:lvl w:ilvl="1" w:tentative="0">
      <w:start w:val="1"/>
      <w:numFmt w:val="decimal"/>
      <w:lvlText w:val="%1.%2"/>
      <w:lvlJc w:val="left"/>
      <w:pPr>
        <w:tabs>
          <w:tab w:val="left" w:pos="576"/>
        </w:tabs>
        <w:ind w:left="576" w:hanging="576"/>
      </w:pPr>
      <w:rPr>
        <w:rFonts w:hint="default" w:ascii="Times New Roman" w:hAnsi="Times New Roman" w:eastAsia="宋体" w:cs="Times New Roman"/>
        <w:b/>
        <w:color w:val="auto"/>
        <w:sz w:val="30"/>
        <w:szCs w:val="30"/>
      </w:rPr>
    </w:lvl>
    <w:lvl w:ilvl="2" w:tentative="0">
      <w:start w:val="1"/>
      <w:numFmt w:val="decimal"/>
      <w:lvlText w:val="%1.%2.%3"/>
      <w:lvlJc w:val="left"/>
      <w:pPr>
        <w:tabs>
          <w:tab w:val="left" w:pos="720"/>
        </w:tabs>
        <w:ind w:left="510" w:hanging="510"/>
      </w:pPr>
    </w:lvl>
    <w:lvl w:ilvl="3" w:tentative="0">
      <w:start w:val="1"/>
      <w:numFmt w:val="decimal"/>
      <w:lvlText w:val="%1.%2.%3.%4"/>
      <w:lvlJc w:val="left"/>
      <w:pPr>
        <w:tabs>
          <w:tab w:val="left" w:pos="1290"/>
        </w:tabs>
        <w:ind w:left="1770" w:hanging="864"/>
      </w:pPr>
      <w:rPr>
        <w:rFonts w:hint="default" w:ascii="Times New Roman" w:hAnsi="Times New Roman" w:cs="Times New Roman"/>
        <w:b/>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8">
    <w:nsid w:val="07FCEE42"/>
    <w:multiLevelType w:val="singleLevel"/>
    <w:tmpl w:val="07FCEE42"/>
    <w:lvl w:ilvl="0" w:tentative="0">
      <w:start w:val="1"/>
      <w:numFmt w:val="decimal"/>
      <w:suff w:val="nothing"/>
      <w:lvlText w:val="%1"/>
      <w:lvlJc w:val="left"/>
      <w:pPr>
        <w:ind w:left="0" w:firstLine="0"/>
      </w:pPr>
      <w:rPr>
        <w:rFonts w:hint="default"/>
      </w:rPr>
    </w:lvl>
  </w:abstractNum>
  <w:abstractNum w:abstractNumId="19">
    <w:nsid w:val="0C076709"/>
    <w:multiLevelType w:val="singleLevel"/>
    <w:tmpl w:val="0C076709"/>
    <w:lvl w:ilvl="0" w:tentative="0">
      <w:start w:val="1"/>
      <w:numFmt w:val="decimal"/>
      <w:suff w:val="nothing"/>
      <w:lvlText w:val="（%1）"/>
      <w:lvlJc w:val="left"/>
    </w:lvl>
  </w:abstractNum>
  <w:abstractNum w:abstractNumId="20">
    <w:nsid w:val="0DC91CEB"/>
    <w:multiLevelType w:val="multilevel"/>
    <w:tmpl w:val="0DC91CEB"/>
    <w:lvl w:ilvl="0" w:tentative="0">
      <w:start w:val="1"/>
      <w:numFmt w:val="chineseCountingThousand"/>
      <w:lvlText w:val="第%1章  "/>
      <w:lvlJc w:val="left"/>
      <w:pPr>
        <w:ind w:left="0" w:firstLine="0"/>
      </w:pPr>
      <w:rPr>
        <w:rFonts w:hint="default" w:ascii="Times New Roman" w:hAnsi="Times New Roman" w:eastAsia="宋体"/>
        <w:b/>
        <w:i w:val="0"/>
        <w:sz w:val="44"/>
      </w:rPr>
    </w:lvl>
    <w:lvl w:ilvl="1" w:tentative="0">
      <w:start w:val="1"/>
      <w:numFmt w:val="decimal"/>
      <w:isLgl/>
      <w:suff w:val="space"/>
      <w:lvlText w:val="%1.%2 "/>
      <w:lvlJc w:val="left"/>
      <w:pPr>
        <w:ind w:left="3970" w:firstLine="0"/>
      </w:pPr>
      <w:rPr>
        <w:rFonts w:hint="default" w:ascii="Times New Roman" w:hAnsi="Times New Roman" w:eastAsia="黑体"/>
        <w:b/>
        <w:i w:val="0"/>
        <w:sz w:val="36"/>
      </w:rPr>
    </w:lvl>
    <w:lvl w:ilvl="2" w:tentative="0">
      <w:start w:val="1"/>
      <w:numFmt w:val="decimal"/>
      <w:isLgl/>
      <w:suff w:val="space"/>
      <w:lvlText w:val="%1.%2.%3 "/>
      <w:lvlJc w:val="left"/>
      <w:pPr>
        <w:ind w:left="0" w:firstLine="0"/>
      </w:pPr>
      <w:rPr>
        <w:rFonts w:hint="default" w:ascii="Times New Roman" w:hAnsi="Times New Roman" w:eastAsia="黑体"/>
        <w:b/>
        <w:i w:val="0"/>
        <w:sz w:val="30"/>
      </w:rPr>
    </w:lvl>
    <w:lvl w:ilvl="3" w:tentative="0">
      <w:start w:val="1"/>
      <w:numFmt w:val="decimal"/>
      <w:isLgl/>
      <w:suff w:val="space"/>
      <w:lvlText w:val="%1.%2.%3.%4 "/>
      <w:lvlJc w:val="left"/>
      <w:pPr>
        <w:ind w:left="0" w:firstLine="0"/>
      </w:pPr>
    </w:lvl>
    <w:lvl w:ilvl="4" w:tentative="0">
      <w:start w:val="1"/>
      <w:numFmt w:val="decimal"/>
      <w:lvlRestart w:val="2"/>
      <w:pStyle w:val="104"/>
      <w:isLgl/>
      <w:suff w:val="space"/>
      <w:lvlText w:val="表 %1.%2-%5  "/>
      <w:lvlJc w:val="left"/>
      <w:pPr>
        <w:ind w:left="2694" w:firstLine="0"/>
      </w:pPr>
      <w:rPr>
        <w:rFonts w:hint="default" w:ascii="Times New Roman" w:hAnsi="Times New Roman" w:eastAsia="宋体" w:cs="Times New Roman"/>
        <w:b/>
        <w:bCs w:val="0"/>
        <w:i w:val="0"/>
        <w:iCs w:val="0"/>
        <w:caps w:val="0"/>
        <w:strike w:val="0"/>
        <w:dstrike w:val="0"/>
        <w:vanish w:val="0"/>
        <w:spacing w:val="0"/>
        <w:position w:val="0"/>
        <w:sz w:val="21"/>
        <w:u w:val="none"/>
        <w:vertAlign w:val="baseline"/>
      </w:rPr>
    </w:lvl>
    <w:lvl w:ilvl="5" w:tentative="0">
      <w:start w:val="1"/>
      <w:numFmt w:val="decimal"/>
      <w:lvlRestart w:val="2"/>
      <w:isLgl/>
      <w:suff w:val="space"/>
      <w:lvlText w:val="图 %1.%2-%6  "/>
      <w:lvlJc w:val="left"/>
      <w:pPr>
        <w:ind w:left="3545" w:firstLine="0"/>
      </w:pPr>
      <w:rPr>
        <w:rFonts w:hint="default" w:ascii="Times New Roman" w:hAnsi="Times New Roman" w:eastAsia="宋体"/>
        <w:b/>
        <w:i w:val="0"/>
        <w:color w:val="auto"/>
        <w:sz w:val="21"/>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1">
    <w:nsid w:val="215BE20B"/>
    <w:multiLevelType w:val="singleLevel"/>
    <w:tmpl w:val="215BE20B"/>
    <w:lvl w:ilvl="0" w:tentative="0">
      <w:start w:val="1"/>
      <w:numFmt w:val="decimal"/>
      <w:suff w:val="nothing"/>
      <w:lvlText w:val="%1"/>
      <w:lvlJc w:val="left"/>
      <w:pPr>
        <w:ind w:left="0" w:firstLine="0"/>
      </w:pPr>
      <w:rPr>
        <w:rFonts w:hint="default"/>
      </w:rPr>
    </w:lvl>
  </w:abstractNum>
  <w:abstractNum w:abstractNumId="22">
    <w:nsid w:val="26795304"/>
    <w:multiLevelType w:val="singleLevel"/>
    <w:tmpl w:val="26795304"/>
    <w:lvl w:ilvl="0" w:tentative="0">
      <w:start w:val="1"/>
      <w:numFmt w:val="decimal"/>
      <w:suff w:val="nothing"/>
      <w:lvlText w:val="%1"/>
      <w:lvlJc w:val="left"/>
      <w:pPr>
        <w:ind w:left="0" w:firstLine="0"/>
      </w:pPr>
      <w:rPr>
        <w:rFonts w:hint="default"/>
      </w:rPr>
    </w:lvl>
  </w:abstractNum>
  <w:abstractNum w:abstractNumId="23">
    <w:nsid w:val="33841D54"/>
    <w:multiLevelType w:val="multilevel"/>
    <w:tmpl w:val="33841D54"/>
    <w:lvl w:ilvl="0" w:tentative="0">
      <w:start w:val="1"/>
      <w:numFmt w:val="chineseCountingThousand"/>
      <w:suff w:val="nothing"/>
      <w:lvlText w:val="%1、"/>
      <w:lvlJc w:val="left"/>
      <w:pPr>
        <w:ind w:left="0" w:firstLine="0"/>
      </w:pPr>
      <w:rPr>
        <w:rFonts w:hint="default" w:ascii="Times New Roman" w:hAnsi="Times New Roman" w:eastAsia="宋体"/>
        <w:b/>
        <w:i w:val="0"/>
        <w:sz w:val="32"/>
      </w:rPr>
    </w:lvl>
    <w:lvl w:ilvl="1" w:tentative="0">
      <w:start w:val="1"/>
      <w:numFmt w:val="decimal"/>
      <w:isLgl/>
      <w:suff w:val="nothing"/>
      <w:lvlText w:val="%1.%2  "/>
      <w:lvlJc w:val="left"/>
      <w:pPr>
        <w:ind w:left="0" w:firstLine="0"/>
      </w:pPr>
      <w:rPr>
        <w:rFonts w:hint="default" w:ascii="Times New Roman" w:hAnsi="Times New Roman" w:eastAsia="黑体"/>
        <w:b/>
        <w:i w:val="0"/>
        <w:sz w:val="30"/>
      </w:rPr>
    </w:lvl>
    <w:lvl w:ilvl="2" w:tentative="0">
      <w:start w:val="1"/>
      <w:numFmt w:val="decimal"/>
      <w:isLgl/>
      <w:suff w:val="nothing"/>
      <w:lvlText w:val="%1.%2.%3  "/>
      <w:lvlJc w:val="left"/>
      <w:pPr>
        <w:ind w:left="0" w:firstLine="0"/>
      </w:pPr>
      <w:rPr>
        <w:rFonts w:hint="default" w:ascii="Times New Roman" w:hAnsi="Times New Roman" w:eastAsia="宋体"/>
        <w:b/>
        <w:i w:val="0"/>
        <w:sz w:val="28"/>
      </w:rPr>
    </w:lvl>
    <w:lvl w:ilvl="3" w:tentative="0">
      <w:start w:val="1"/>
      <w:numFmt w:val="decimal"/>
      <w:isLgl/>
      <w:suff w:val="nothing"/>
      <w:lvlText w:val="%1.%2.%3.%4  "/>
      <w:lvlJc w:val="left"/>
      <w:pPr>
        <w:ind w:left="2400" w:firstLine="0"/>
      </w:pPr>
    </w:lvl>
    <w:lvl w:ilvl="4" w:tentative="0">
      <w:start w:val="1"/>
      <w:numFmt w:val="decimal"/>
      <w:lvlRestart w:val="1"/>
      <w:pStyle w:val="119"/>
      <w:isLgl/>
      <w:suff w:val="nothing"/>
      <w:lvlText w:val="表 %1-%5   "/>
      <w:lvlJc w:val="left"/>
      <w:pPr>
        <w:ind w:left="4320" w:firstLine="0"/>
      </w:pPr>
      <w:rPr>
        <w:rFonts w:hint="default" w:ascii="Times New Roman" w:hAnsi="Times New Roman" w:eastAsia="宋体"/>
        <w:b/>
        <w:i w:val="0"/>
        <w:sz w:val="21"/>
        <w:vertAlign w:val="baseline"/>
      </w:rPr>
    </w:lvl>
    <w:lvl w:ilvl="5" w:tentative="0">
      <w:start w:val="1"/>
      <w:numFmt w:val="decimal"/>
      <w:lvlRestart w:val="1"/>
      <w:isLgl/>
      <w:suff w:val="nothing"/>
      <w:lvlText w:val="图 %1-%6   "/>
      <w:lvlJc w:val="left"/>
      <w:pPr>
        <w:ind w:left="3120" w:firstLine="0"/>
      </w:pPr>
      <w:rPr>
        <w:rFonts w:hint="default" w:ascii="Times New Roman" w:hAnsi="Times New Roman" w:eastAsia="宋体"/>
        <w:b/>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36A9A1D9"/>
    <w:multiLevelType w:val="singleLevel"/>
    <w:tmpl w:val="36A9A1D9"/>
    <w:lvl w:ilvl="0" w:tentative="0">
      <w:start w:val="1"/>
      <w:numFmt w:val="decimal"/>
      <w:suff w:val="nothing"/>
      <w:lvlText w:val="%1"/>
      <w:lvlJc w:val="left"/>
      <w:pPr>
        <w:ind w:left="0" w:firstLine="0"/>
      </w:pPr>
      <w:rPr>
        <w:rFonts w:hint="default"/>
      </w:rPr>
    </w:lvl>
  </w:abstractNum>
  <w:abstractNum w:abstractNumId="25">
    <w:nsid w:val="497EDE31"/>
    <w:multiLevelType w:val="singleLevel"/>
    <w:tmpl w:val="497EDE31"/>
    <w:lvl w:ilvl="0" w:tentative="0">
      <w:start w:val="1"/>
      <w:numFmt w:val="decimal"/>
      <w:suff w:val="nothing"/>
      <w:lvlText w:val="%1"/>
      <w:lvlJc w:val="left"/>
      <w:pPr>
        <w:ind w:left="0" w:firstLine="0"/>
      </w:pPr>
      <w:rPr>
        <w:rFonts w:hint="default"/>
      </w:rPr>
    </w:lvl>
  </w:abstractNum>
  <w:abstractNum w:abstractNumId="26">
    <w:nsid w:val="59D36B6C"/>
    <w:multiLevelType w:val="singleLevel"/>
    <w:tmpl w:val="59D36B6C"/>
    <w:lvl w:ilvl="0" w:tentative="0">
      <w:start w:val="1"/>
      <w:numFmt w:val="decimal"/>
      <w:suff w:val="nothing"/>
      <w:lvlText w:val="%1"/>
      <w:lvlJc w:val="left"/>
      <w:pPr>
        <w:ind w:left="0" w:firstLine="0"/>
      </w:pPr>
      <w:rPr>
        <w:rFonts w:hint="default"/>
      </w:rPr>
    </w:lvl>
  </w:abstractNum>
  <w:abstractNum w:abstractNumId="27">
    <w:nsid w:val="601C0C43"/>
    <w:multiLevelType w:val="singleLevel"/>
    <w:tmpl w:val="601C0C43"/>
    <w:lvl w:ilvl="0" w:tentative="0">
      <w:start w:val="1"/>
      <w:numFmt w:val="decimal"/>
      <w:suff w:val="nothing"/>
      <w:lvlText w:val="%1"/>
      <w:lvlJc w:val="left"/>
      <w:pPr>
        <w:ind w:left="0" w:firstLine="0"/>
      </w:pPr>
      <w:rPr>
        <w:rFonts w:hint="default"/>
      </w:rPr>
    </w:lvl>
  </w:abstractNum>
  <w:abstractNum w:abstractNumId="28">
    <w:nsid w:val="65E344E4"/>
    <w:multiLevelType w:val="singleLevel"/>
    <w:tmpl w:val="65E344E4"/>
    <w:lvl w:ilvl="0" w:tentative="0">
      <w:start w:val="5"/>
      <w:numFmt w:val="decimal"/>
      <w:suff w:val="nothing"/>
      <w:lvlText w:val="（%1）"/>
      <w:lvlJc w:val="left"/>
    </w:lvl>
  </w:abstractNum>
  <w:abstractNum w:abstractNumId="29">
    <w:nsid w:val="69DA0FBA"/>
    <w:multiLevelType w:val="multilevel"/>
    <w:tmpl w:val="69DA0FBA"/>
    <w:lvl w:ilvl="0" w:tentative="0">
      <w:start w:val="1"/>
      <w:numFmt w:val="decimal"/>
      <w:pStyle w:val="2"/>
      <w:suff w:val="space"/>
      <w:lvlText w:val="%1"/>
      <w:lvlJc w:val="left"/>
      <w:pPr>
        <w:ind w:left="0" w:firstLine="0"/>
      </w:pPr>
      <w:rPr>
        <w:rFonts w:hint="default" w:ascii="Times New Roman" w:hAnsi="Times New Roman" w:eastAsia="宋体"/>
        <w:b/>
        <w:i w:val="0"/>
        <w:sz w:val="32"/>
      </w:rPr>
    </w:lvl>
    <w:lvl w:ilvl="1" w:tentative="0">
      <w:start w:val="1"/>
      <w:numFmt w:val="decimal"/>
      <w:suff w:val="space"/>
      <w:lvlText w:val="%1.%2"/>
      <w:lvlJc w:val="left"/>
      <w:pPr>
        <w:ind w:left="0" w:firstLine="0"/>
      </w:pPr>
      <w:rPr>
        <w:rFonts w:hint="default" w:ascii="Times New Roman" w:hAnsi="Times New Roman" w:eastAsia="宋体"/>
        <w:b/>
        <w:i w:val="0"/>
        <w:sz w:val="28"/>
        <w:szCs w:val="28"/>
      </w:rPr>
    </w:lvl>
    <w:lvl w:ilvl="2" w:tentative="0">
      <w:start w:val="1"/>
      <w:numFmt w:val="decimal"/>
      <w:suff w:val="space"/>
      <w:lvlText w:val="%1.%2.%3"/>
      <w:lvlJc w:val="left"/>
      <w:pPr>
        <w:ind w:left="0" w:firstLine="0"/>
      </w:pPr>
      <w:rPr>
        <w:rFonts w:hint="default" w:ascii="Times New Roman" w:hAnsi="Times New Roman" w:eastAsia="宋体"/>
        <w:b/>
        <w:i w:val="0"/>
        <w:sz w:val="24"/>
        <w:szCs w:val="24"/>
        <w:lang w:val="en-US"/>
      </w:rPr>
    </w:lvl>
    <w:lvl w:ilvl="3" w:tentative="0">
      <w:start w:val="1"/>
      <w:numFmt w:val="decimal"/>
      <w:suff w:val="nothing"/>
      <w:lvlText w:val="%1.%2.%3.%4"/>
      <w:lvlJc w:val="left"/>
      <w:pPr>
        <w:ind w:left="0" w:firstLine="0"/>
      </w:pPr>
      <w:rPr>
        <w:rFonts w:hint="default" w:ascii="Times New Roman" w:hAnsi="Times New Roman" w:eastAsia="宋体"/>
        <w:b/>
        <w:i w:val="0"/>
        <w:sz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6B5AB389"/>
    <w:multiLevelType w:val="singleLevel"/>
    <w:tmpl w:val="6B5AB389"/>
    <w:lvl w:ilvl="0" w:tentative="0">
      <w:start w:val="1"/>
      <w:numFmt w:val="decimal"/>
      <w:suff w:val="nothing"/>
      <w:lvlText w:val="（%1）"/>
      <w:lvlJc w:val="left"/>
    </w:lvl>
  </w:abstractNum>
  <w:abstractNum w:abstractNumId="31">
    <w:nsid w:val="75785123"/>
    <w:multiLevelType w:val="singleLevel"/>
    <w:tmpl w:val="75785123"/>
    <w:lvl w:ilvl="0" w:tentative="0">
      <w:start w:val="5"/>
      <w:numFmt w:val="chineseCounting"/>
      <w:suff w:val="nothing"/>
      <w:lvlText w:val="%1、"/>
      <w:lvlJc w:val="left"/>
      <w:rPr>
        <w:rFonts w:hint="eastAsia"/>
      </w:rPr>
    </w:lvl>
  </w:abstractNum>
  <w:abstractNum w:abstractNumId="32">
    <w:nsid w:val="7C172CBB"/>
    <w:multiLevelType w:val="multilevel"/>
    <w:tmpl w:val="7C172CBB"/>
    <w:lvl w:ilvl="0" w:tentative="0">
      <w:start w:val="1"/>
      <w:numFmt w:val="decimal"/>
      <w:lvlText w:val="%1"/>
      <w:lvlJc w:val="left"/>
      <w:pPr>
        <w:tabs>
          <w:tab w:val="left" w:pos="432"/>
        </w:tabs>
        <w:ind w:left="432" w:hanging="432"/>
      </w:pPr>
      <w:rPr>
        <w:rFonts w:hint="default" w:ascii="Times New Roman" w:hAnsi="Times New Roman" w:eastAsia="黑体" w:cs="Times New Roman"/>
        <w:b/>
        <w:color w:val="auto"/>
        <w:sz w:val="32"/>
        <w:szCs w:val="32"/>
      </w:rPr>
    </w:lvl>
    <w:lvl w:ilvl="1" w:tentative="0">
      <w:start w:val="1"/>
      <w:numFmt w:val="decimal"/>
      <w:lvlText w:val="%1.%2"/>
      <w:lvlJc w:val="left"/>
      <w:pPr>
        <w:tabs>
          <w:tab w:val="left" w:pos="576"/>
        </w:tabs>
        <w:ind w:left="576" w:hanging="576"/>
      </w:pPr>
      <w:rPr>
        <w:rFonts w:hint="default" w:ascii="Times New Roman" w:hAnsi="Times New Roman" w:eastAsia="宋体" w:cs="Times New Roman"/>
        <w:b/>
        <w:color w:val="auto"/>
        <w:sz w:val="30"/>
        <w:szCs w:val="30"/>
      </w:rPr>
    </w:lvl>
    <w:lvl w:ilvl="2" w:tentative="0">
      <w:start w:val="1"/>
      <w:numFmt w:val="decimal"/>
      <w:lvlText w:val="%1.%2.%3"/>
      <w:lvlJc w:val="left"/>
      <w:pPr>
        <w:tabs>
          <w:tab w:val="left" w:pos="720"/>
        </w:tabs>
        <w:ind w:left="510" w:hanging="510"/>
      </w:pPr>
    </w:lvl>
    <w:lvl w:ilvl="3" w:tentative="0">
      <w:start w:val="1"/>
      <w:numFmt w:val="decimal"/>
      <w:lvlText w:val="%1.%2.%3.%4"/>
      <w:lvlJc w:val="left"/>
      <w:pPr>
        <w:tabs>
          <w:tab w:val="left" w:pos="1290"/>
        </w:tabs>
        <w:ind w:left="1770" w:hanging="864"/>
      </w:pPr>
      <w:rPr>
        <w:rFonts w:hint="default" w:ascii="Times New Roman" w:hAnsi="Times New Roman" w:cs="Times New Roman"/>
        <w:b/>
      </w:rPr>
    </w:lvl>
    <w:lvl w:ilvl="4" w:tentative="0">
      <w:start w:val="1"/>
      <w:numFmt w:val="decimal"/>
      <w:pStyle w:val="5"/>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9"/>
  </w:num>
  <w:num w:numId="2">
    <w:abstractNumId w:val="32"/>
  </w:num>
  <w:num w:numId="3">
    <w:abstractNumId w:val="2"/>
  </w:num>
  <w:num w:numId="4">
    <w:abstractNumId w:val="6"/>
  </w:num>
  <w:num w:numId="5">
    <w:abstractNumId w:val="16"/>
  </w:num>
  <w:num w:numId="6">
    <w:abstractNumId w:val="20"/>
  </w:num>
  <w:num w:numId="7">
    <w:abstractNumId w:val="23"/>
  </w:num>
  <w:num w:numId="8">
    <w:abstractNumId w:val="11"/>
  </w:num>
  <w:num w:numId="9">
    <w:abstractNumId w:val="13"/>
  </w:num>
  <w:num w:numId="10">
    <w:abstractNumId w:val="21"/>
  </w:num>
  <w:num w:numId="11">
    <w:abstractNumId w:val="0"/>
  </w:num>
  <w:num w:numId="12">
    <w:abstractNumId w:val="27"/>
  </w:num>
  <w:num w:numId="13">
    <w:abstractNumId w:val="8"/>
  </w:num>
  <w:num w:numId="14">
    <w:abstractNumId w:val="25"/>
  </w:num>
  <w:num w:numId="15">
    <w:abstractNumId w:val="18"/>
  </w:num>
  <w:num w:numId="16">
    <w:abstractNumId w:val="9"/>
  </w:num>
  <w:num w:numId="17">
    <w:abstractNumId w:val="5"/>
  </w:num>
  <w:num w:numId="18">
    <w:abstractNumId w:val="4"/>
  </w:num>
  <w:num w:numId="19">
    <w:abstractNumId w:val="22"/>
  </w:num>
  <w:num w:numId="20">
    <w:abstractNumId w:val="28"/>
  </w:num>
  <w:num w:numId="21">
    <w:abstractNumId w:val="31"/>
  </w:num>
  <w:num w:numId="22">
    <w:abstractNumId w:val="14"/>
  </w:num>
  <w:num w:numId="23">
    <w:abstractNumId w:val="7"/>
  </w:num>
  <w:num w:numId="24">
    <w:abstractNumId w:val="15"/>
  </w:num>
  <w:num w:numId="25">
    <w:abstractNumId w:val="30"/>
  </w:num>
  <w:num w:numId="26">
    <w:abstractNumId w:val="10"/>
  </w:num>
  <w:num w:numId="27">
    <w:abstractNumId w:val="24"/>
  </w:num>
  <w:num w:numId="28">
    <w:abstractNumId w:val="3"/>
  </w:num>
  <w:num w:numId="29">
    <w:abstractNumId w:val="17"/>
  </w:num>
  <w:num w:numId="30">
    <w:abstractNumId w:val="12"/>
  </w:num>
  <w:num w:numId="31">
    <w:abstractNumId w:val="26"/>
  </w:num>
  <w:num w:numId="32">
    <w:abstractNumId w:val="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jE4YTNmYTU3YjhlMGNiNTk5YTYzNzI4MjBiMjEifQ=="/>
    <w:docVar w:name="KSO_WPS_MARK_KEY" w:val="d43f9c23-efed-42f6-8177-b62d72da6789"/>
  </w:docVars>
  <w:rsids>
    <w:rsidRoot w:val="00172A27"/>
    <w:rsid w:val="00E36F4B"/>
    <w:rsid w:val="01156838"/>
    <w:rsid w:val="013D6DF4"/>
    <w:rsid w:val="017E0CD4"/>
    <w:rsid w:val="019672C4"/>
    <w:rsid w:val="01BF1C01"/>
    <w:rsid w:val="025F28B4"/>
    <w:rsid w:val="027E752A"/>
    <w:rsid w:val="02D312D0"/>
    <w:rsid w:val="03AF1619"/>
    <w:rsid w:val="03C30C20"/>
    <w:rsid w:val="03D35307"/>
    <w:rsid w:val="042303B9"/>
    <w:rsid w:val="04AC0BD2"/>
    <w:rsid w:val="054155B1"/>
    <w:rsid w:val="0570795A"/>
    <w:rsid w:val="05932547"/>
    <w:rsid w:val="067F09FA"/>
    <w:rsid w:val="068428E9"/>
    <w:rsid w:val="0717375D"/>
    <w:rsid w:val="07354962"/>
    <w:rsid w:val="074667DB"/>
    <w:rsid w:val="07691ADF"/>
    <w:rsid w:val="0774487E"/>
    <w:rsid w:val="07B23474"/>
    <w:rsid w:val="07E810C2"/>
    <w:rsid w:val="08313AFC"/>
    <w:rsid w:val="0835718F"/>
    <w:rsid w:val="083D2159"/>
    <w:rsid w:val="09521A23"/>
    <w:rsid w:val="097204B5"/>
    <w:rsid w:val="097A7FD3"/>
    <w:rsid w:val="098E5BA6"/>
    <w:rsid w:val="0A5E6996"/>
    <w:rsid w:val="0A6B5756"/>
    <w:rsid w:val="0A7648BF"/>
    <w:rsid w:val="0ABE6F8A"/>
    <w:rsid w:val="0BA24422"/>
    <w:rsid w:val="0C372AEA"/>
    <w:rsid w:val="0C384063"/>
    <w:rsid w:val="0C3923C8"/>
    <w:rsid w:val="0C4F3999"/>
    <w:rsid w:val="0CD356AD"/>
    <w:rsid w:val="0CF91A39"/>
    <w:rsid w:val="0D0632F7"/>
    <w:rsid w:val="0D2D09B4"/>
    <w:rsid w:val="0D40797F"/>
    <w:rsid w:val="0D921D8F"/>
    <w:rsid w:val="0DAC4C9C"/>
    <w:rsid w:val="0DDA1988"/>
    <w:rsid w:val="0E3E1328"/>
    <w:rsid w:val="0E793552"/>
    <w:rsid w:val="0ED77EB4"/>
    <w:rsid w:val="0EF6634E"/>
    <w:rsid w:val="0EFA4090"/>
    <w:rsid w:val="0F251568"/>
    <w:rsid w:val="0F8A6A96"/>
    <w:rsid w:val="0FE57330"/>
    <w:rsid w:val="10034F57"/>
    <w:rsid w:val="10433815"/>
    <w:rsid w:val="10461AF7"/>
    <w:rsid w:val="10634E3C"/>
    <w:rsid w:val="10B95885"/>
    <w:rsid w:val="110C314D"/>
    <w:rsid w:val="113B0990"/>
    <w:rsid w:val="116C4D6D"/>
    <w:rsid w:val="1178129C"/>
    <w:rsid w:val="11EA211D"/>
    <w:rsid w:val="12013A15"/>
    <w:rsid w:val="12C81DAF"/>
    <w:rsid w:val="12D14E64"/>
    <w:rsid w:val="12F31522"/>
    <w:rsid w:val="13252A9D"/>
    <w:rsid w:val="132A0275"/>
    <w:rsid w:val="1343776E"/>
    <w:rsid w:val="137E0D41"/>
    <w:rsid w:val="1386216F"/>
    <w:rsid w:val="13A9347A"/>
    <w:rsid w:val="13F64231"/>
    <w:rsid w:val="14101C60"/>
    <w:rsid w:val="143341CA"/>
    <w:rsid w:val="14372872"/>
    <w:rsid w:val="1459509B"/>
    <w:rsid w:val="14B96C65"/>
    <w:rsid w:val="14E6352D"/>
    <w:rsid w:val="15595CC3"/>
    <w:rsid w:val="15DB629E"/>
    <w:rsid w:val="15EF4324"/>
    <w:rsid w:val="16611A9E"/>
    <w:rsid w:val="16636121"/>
    <w:rsid w:val="167A7AEC"/>
    <w:rsid w:val="16A42C28"/>
    <w:rsid w:val="16AF39B2"/>
    <w:rsid w:val="17203604"/>
    <w:rsid w:val="172D0D7B"/>
    <w:rsid w:val="1766192C"/>
    <w:rsid w:val="17984446"/>
    <w:rsid w:val="17B87E30"/>
    <w:rsid w:val="17DE4061"/>
    <w:rsid w:val="184B25DE"/>
    <w:rsid w:val="185703AE"/>
    <w:rsid w:val="18B96636"/>
    <w:rsid w:val="198430A2"/>
    <w:rsid w:val="19B05279"/>
    <w:rsid w:val="19B516AB"/>
    <w:rsid w:val="19F32613"/>
    <w:rsid w:val="1A40779E"/>
    <w:rsid w:val="1A700E8A"/>
    <w:rsid w:val="1AA76B37"/>
    <w:rsid w:val="1AB61910"/>
    <w:rsid w:val="1AB66442"/>
    <w:rsid w:val="1AC8659D"/>
    <w:rsid w:val="1AD217DA"/>
    <w:rsid w:val="1AE94542"/>
    <w:rsid w:val="1B1120B7"/>
    <w:rsid w:val="1C556DAA"/>
    <w:rsid w:val="1C6174E0"/>
    <w:rsid w:val="1C8B4DA3"/>
    <w:rsid w:val="1CEB6221"/>
    <w:rsid w:val="1D1E0B83"/>
    <w:rsid w:val="1DB31C08"/>
    <w:rsid w:val="1DBD28C8"/>
    <w:rsid w:val="1DFE7FDF"/>
    <w:rsid w:val="1E6A5826"/>
    <w:rsid w:val="1EBD0C36"/>
    <w:rsid w:val="1EC037A8"/>
    <w:rsid w:val="1ED5371E"/>
    <w:rsid w:val="1EE87766"/>
    <w:rsid w:val="1F3B0C87"/>
    <w:rsid w:val="1F983312"/>
    <w:rsid w:val="1FAF67D1"/>
    <w:rsid w:val="1FB738D7"/>
    <w:rsid w:val="1FD71884"/>
    <w:rsid w:val="204809D3"/>
    <w:rsid w:val="20667F44"/>
    <w:rsid w:val="20D8068C"/>
    <w:rsid w:val="21331332"/>
    <w:rsid w:val="213A7D34"/>
    <w:rsid w:val="218C5B58"/>
    <w:rsid w:val="21923CAB"/>
    <w:rsid w:val="21ED1832"/>
    <w:rsid w:val="220D7B2D"/>
    <w:rsid w:val="228D26CE"/>
    <w:rsid w:val="22CF701E"/>
    <w:rsid w:val="22E70030"/>
    <w:rsid w:val="22FC5438"/>
    <w:rsid w:val="2342631E"/>
    <w:rsid w:val="23560657"/>
    <w:rsid w:val="242074B3"/>
    <w:rsid w:val="24B22511"/>
    <w:rsid w:val="24C31502"/>
    <w:rsid w:val="253D35DB"/>
    <w:rsid w:val="26151296"/>
    <w:rsid w:val="264549BC"/>
    <w:rsid w:val="26AF5518"/>
    <w:rsid w:val="273F5DCD"/>
    <w:rsid w:val="27C7706A"/>
    <w:rsid w:val="27E50702"/>
    <w:rsid w:val="27FA6A57"/>
    <w:rsid w:val="28385036"/>
    <w:rsid w:val="28773C04"/>
    <w:rsid w:val="2964687E"/>
    <w:rsid w:val="298E3082"/>
    <w:rsid w:val="29B30324"/>
    <w:rsid w:val="29C43BE2"/>
    <w:rsid w:val="29F347A8"/>
    <w:rsid w:val="2A014A46"/>
    <w:rsid w:val="2AF87086"/>
    <w:rsid w:val="2B356F3C"/>
    <w:rsid w:val="2BED3C01"/>
    <w:rsid w:val="2C622F68"/>
    <w:rsid w:val="2C6E4FA4"/>
    <w:rsid w:val="2CAB4FC2"/>
    <w:rsid w:val="2CB24FA5"/>
    <w:rsid w:val="2CB25B52"/>
    <w:rsid w:val="2CDA2E37"/>
    <w:rsid w:val="2CED40D9"/>
    <w:rsid w:val="2D086F07"/>
    <w:rsid w:val="2D5125D3"/>
    <w:rsid w:val="2D904C84"/>
    <w:rsid w:val="2D9F36F6"/>
    <w:rsid w:val="2DB1339D"/>
    <w:rsid w:val="2E073C7C"/>
    <w:rsid w:val="2E48330B"/>
    <w:rsid w:val="2E5A41FA"/>
    <w:rsid w:val="2E90421D"/>
    <w:rsid w:val="2E9E708F"/>
    <w:rsid w:val="2F231F9D"/>
    <w:rsid w:val="2F7A50F2"/>
    <w:rsid w:val="30302415"/>
    <w:rsid w:val="307120E0"/>
    <w:rsid w:val="310A47EF"/>
    <w:rsid w:val="31422806"/>
    <w:rsid w:val="316748B3"/>
    <w:rsid w:val="31BF6306"/>
    <w:rsid w:val="31E71DFA"/>
    <w:rsid w:val="32A3371B"/>
    <w:rsid w:val="32F669B1"/>
    <w:rsid w:val="3337290D"/>
    <w:rsid w:val="33C10429"/>
    <w:rsid w:val="33E5569F"/>
    <w:rsid w:val="345D29AD"/>
    <w:rsid w:val="34DE6290"/>
    <w:rsid w:val="35342CF5"/>
    <w:rsid w:val="354B4FCB"/>
    <w:rsid w:val="354C2DB1"/>
    <w:rsid w:val="355D0BD7"/>
    <w:rsid w:val="359110E9"/>
    <w:rsid w:val="35BB5F60"/>
    <w:rsid w:val="35CF15B0"/>
    <w:rsid w:val="36E6590B"/>
    <w:rsid w:val="36EF5124"/>
    <w:rsid w:val="37073168"/>
    <w:rsid w:val="37C45A7D"/>
    <w:rsid w:val="38084635"/>
    <w:rsid w:val="38322044"/>
    <w:rsid w:val="38353D70"/>
    <w:rsid w:val="38646672"/>
    <w:rsid w:val="393207ED"/>
    <w:rsid w:val="395D3A23"/>
    <w:rsid w:val="39D71C97"/>
    <w:rsid w:val="3AEC66D3"/>
    <w:rsid w:val="3B206289"/>
    <w:rsid w:val="3B372916"/>
    <w:rsid w:val="3BAC2ECD"/>
    <w:rsid w:val="3BBD1E1E"/>
    <w:rsid w:val="3BC25371"/>
    <w:rsid w:val="3BD87A0B"/>
    <w:rsid w:val="3C031D73"/>
    <w:rsid w:val="3C220E33"/>
    <w:rsid w:val="3CC14824"/>
    <w:rsid w:val="3CF60672"/>
    <w:rsid w:val="3DD7081A"/>
    <w:rsid w:val="3DE522B0"/>
    <w:rsid w:val="3E0077CE"/>
    <w:rsid w:val="3E4A3AE6"/>
    <w:rsid w:val="3EC6723B"/>
    <w:rsid w:val="3F116709"/>
    <w:rsid w:val="3FB33625"/>
    <w:rsid w:val="3FC45529"/>
    <w:rsid w:val="3FCB19B3"/>
    <w:rsid w:val="3FE059F3"/>
    <w:rsid w:val="40754A75"/>
    <w:rsid w:val="4080614E"/>
    <w:rsid w:val="40E51BFB"/>
    <w:rsid w:val="4184058B"/>
    <w:rsid w:val="419D5DD3"/>
    <w:rsid w:val="41DE354E"/>
    <w:rsid w:val="41F67E38"/>
    <w:rsid w:val="4265428D"/>
    <w:rsid w:val="426A038D"/>
    <w:rsid w:val="429A3424"/>
    <w:rsid w:val="42DF6B1E"/>
    <w:rsid w:val="43713C1A"/>
    <w:rsid w:val="437F7574"/>
    <w:rsid w:val="445B0426"/>
    <w:rsid w:val="447255E6"/>
    <w:rsid w:val="447D16DD"/>
    <w:rsid w:val="44F468B0"/>
    <w:rsid w:val="451B24EB"/>
    <w:rsid w:val="45AB3216"/>
    <w:rsid w:val="45B51C5B"/>
    <w:rsid w:val="45DD09DF"/>
    <w:rsid w:val="45E04F65"/>
    <w:rsid w:val="462B67EA"/>
    <w:rsid w:val="463B7D81"/>
    <w:rsid w:val="46A71700"/>
    <w:rsid w:val="46C264F7"/>
    <w:rsid w:val="46E92D5E"/>
    <w:rsid w:val="47176886"/>
    <w:rsid w:val="477F2642"/>
    <w:rsid w:val="488B752C"/>
    <w:rsid w:val="48A606D0"/>
    <w:rsid w:val="48DFEEEA"/>
    <w:rsid w:val="4901159C"/>
    <w:rsid w:val="4909290D"/>
    <w:rsid w:val="494E3297"/>
    <w:rsid w:val="49695393"/>
    <w:rsid w:val="49741731"/>
    <w:rsid w:val="49C6610C"/>
    <w:rsid w:val="49CB5439"/>
    <w:rsid w:val="49D449F2"/>
    <w:rsid w:val="49EB1A27"/>
    <w:rsid w:val="4A6022F2"/>
    <w:rsid w:val="4A6C2CE1"/>
    <w:rsid w:val="4AA02C72"/>
    <w:rsid w:val="4B0435C5"/>
    <w:rsid w:val="4B213460"/>
    <w:rsid w:val="4B8119DB"/>
    <w:rsid w:val="4B8E270D"/>
    <w:rsid w:val="4C10469A"/>
    <w:rsid w:val="4C49283C"/>
    <w:rsid w:val="4C560BB6"/>
    <w:rsid w:val="4D131357"/>
    <w:rsid w:val="4D437FEA"/>
    <w:rsid w:val="4DEF11DA"/>
    <w:rsid w:val="4E0B1C05"/>
    <w:rsid w:val="4E6C40C3"/>
    <w:rsid w:val="4F777EF0"/>
    <w:rsid w:val="4FA84CB6"/>
    <w:rsid w:val="4FC94E2D"/>
    <w:rsid w:val="4FF71F7A"/>
    <w:rsid w:val="5017728D"/>
    <w:rsid w:val="50FC4D2C"/>
    <w:rsid w:val="513349F0"/>
    <w:rsid w:val="513F7ED5"/>
    <w:rsid w:val="517378B1"/>
    <w:rsid w:val="51F574FD"/>
    <w:rsid w:val="52204C31"/>
    <w:rsid w:val="523F4986"/>
    <w:rsid w:val="524418B5"/>
    <w:rsid w:val="52670482"/>
    <w:rsid w:val="526F6DEC"/>
    <w:rsid w:val="527768C6"/>
    <w:rsid w:val="5281376A"/>
    <w:rsid w:val="52914A03"/>
    <w:rsid w:val="52D57180"/>
    <w:rsid w:val="52D65847"/>
    <w:rsid w:val="53664BDE"/>
    <w:rsid w:val="538F5055"/>
    <w:rsid w:val="53944645"/>
    <w:rsid w:val="53AD19C1"/>
    <w:rsid w:val="540371E4"/>
    <w:rsid w:val="54051D00"/>
    <w:rsid w:val="54544589"/>
    <w:rsid w:val="54707211"/>
    <w:rsid w:val="54CC7BFF"/>
    <w:rsid w:val="55110DB9"/>
    <w:rsid w:val="55474462"/>
    <w:rsid w:val="555A6672"/>
    <w:rsid w:val="55871BC9"/>
    <w:rsid w:val="55CA5DF2"/>
    <w:rsid w:val="55EB2B55"/>
    <w:rsid w:val="56034546"/>
    <w:rsid w:val="563E5F58"/>
    <w:rsid w:val="567C6706"/>
    <w:rsid w:val="56BC08DD"/>
    <w:rsid w:val="572528F9"/>
    <w:rsid w:val="578265B2"/>
    <w:rsid w:val="57E62F93"/>
    <w:rsid w:val="57EE3633"/>
    <w:rsid w:val="57FE685B"/>
    <w:rsid w:val="587D6765"/>
    <w:rsid w:val="59164E29"/>
    <w:rsid w:val="594C014E"/>
    <w:rsid w:val="596516D3"/>
    <w:rsid w:val="59875AED"/>
    <w:rsid w:val="59A05C1F"/>
    <w:rsid w:val="59A4136E"/>
    <w:rsid w:val="59B12682"/>
    <w:rsid w:val="59F704AB"/>
    <w:rsid w:val="5A3F3846"/>
    <w:rsid w:val="5A720744"/>
    <w:rsid w:val="5AA07889"/>
    <w:rsid w:val="5AAF2166"/>
    <w:rsid w:val="5AC32B55"/>
    <w:rsid w:val="5AEF5033"/>
    <w:rsid w:val="5AFE4D46"/>
    <w:rsid w:val="5B181B3B"/>
    <w:rsid w:val="5B2F7A9C"/>
    <w:rsid w:val="5B484E08"/>
    <w:rsid w:val="5B553A89"/>
    <w:rsid w:val="5BAA17C2"/>
    <w:rsid w:val="5BC02505"/>
    <w:rsid w:val="5C1E394F"/>
    <w:rsid w:val="5C45690F"/>
    <w:rsid w:val="5C5B500F"/>
    <w:rsid w:val="5C961BA3"/>
    <w:rsid w:val="5CC07317"/>
    <w:rsid w:val="5D253BAB"/>
    <w:rsid w:val="5D72616D"/>
    <w:rsid w:val="5D7D7D28"/>
    <w:rsid w:val="5D967907"/>
    <w:rsid w:val="5DA81B30"/>
    <w:rsid w:val="5DD85DF7"/>
    <w:rsid w:val="5E6B6423"/>
    <w:rsid w:val="5E717D4D"/>
    <w:rsid w:val="5E732579"/>
    <w:rsid w:val="5E736640"/>
    <w:rsid w:val="5EA01171"/>
    <w:rsid w:val="5ED42932"/>
    <w:rsid w:val="5EF446F3"/>
    <w:rsid w:val="5F2142EE"/>
    <w:rsid w:val="5F3E6C4E"/>
    <w:rsid w:val="5F4A2A9D"/>
    <w:rsid w:val="5F604146"/>
    <w:rsid w:val="5F611D4A"/>
    <w:rsid w:val="60076F06"/>
    <w:rsid w:val="601A5342"/>
    <w:rsid w:val="60854409"/>
    <w:rsid w:val="60FC3FF0"/>
    <w:rsid w:val="61112140"/>
    <w:rsid w:val="612C140B"/>
    <w:rsid w:val="61555712"/>
    <w:rsid w:val="6179469E"/>
    <w:rsid w:val="621C0149"/>
    <w:rsid w:val="625F075B"/>
    <w:rsid w:val="62753567"/>
    <w:rsid w:val="62B27221"/>
    <w:rsid w:val="62D443C0"/>
    <w:rsid w:val="63076D03"/>
    <w:rsid w:val="63C34B81"/>
    <w:rsid w:val="63DF57F0"/>
    <w:rsid w:val="63E336A3"/>
    <w:rsid w:val="64262FF7"/>
    <w:rsid w:val="64264155"/>
    <w:rsid w:val="64530841"/>
    <w:rsid w:val="645804B2"/>
    <w:rsid w:val="64662F25"/>
    <w:rsid w:val="64E835EB"/>
    <w:rsid w:val="64EB19C5"/>
    <w:rsid w:val="652D59E4"/>
    <w:rsid w:val="655F4CC0"/>
    <w:rsid w:val="656B0071"/>
    <w:rsid w:val="657E5750"/>
    <w:rsid w:val="65C27F27"/>
    <w:rsid w:val="65CE72E4"/>
    <w:rsid w:val="66475145"/>
    <w:rsid w:val="66523113"/>
    <w:rsid w:val="665926FC"/>
    <w:rsid w:val="669309E2"/>
    <w:rsid w:val="66D465C0"/>
    <w:rsid w:val="672A1BFE"/>
    <w:rsid w:val="67915D89"/>
    <w:rsid w:val="67A63AAF"/>
    <w:rsid w:val="67C35852"/>
    <w:rsid w:val="67F26355"/>
    <w:rsid w:val="6810626B"/>
    <w:rsid w:val="691C1682"/>
    <w:rsid w:val="6961276E"/>
    <w:rsid w:val="69655F69"/>
    <w:rsid w:val="69B35D3E"/>
    <w:rsid w:val="69B80720"/>
    <w:rsid w:val="69C75306"/>
    <w:rsid w:val="6A3015A4"/>
    <w:rsid w:val="6A9805F0"/>
    <w:rsid w:val="6AFD0583"/>
    <w:rsid w:val="6B0A32ED"/>
    <w:rsid w:val="6B0A717F"/>
    <w:rsid w:val="6BEF7AB1"/>
    <w:rsid w:val="6C075C1A"/>
    <w:rsid w:val="6C3C4515"/>
    <w:rsid w:val="6C3F024F"/>
    <w:rsid w:val="6C9205D9"/>
    <w:rsid w:val="6CBD3805"/>
    <w:rsid w:val="6CFF0F95"/>
    <w:rsid w:val="6D3F1651"/>
    <w:rsid w:val="6DCB692D"/>
    <w:rsid w:val="6E20165A"/>
    <w:rsid w:val="6E4B4084"/>
    <w:rsid w:val="6E9221A1"/>
    <w:rsid w:val="6E9E6C13"/>
    <w:rsid w:val="6EB365E5"/>
    <w:rsid w:val="6EDE6D2C"/>
    <w:rsid w:val="6EEB18B4"/>
    <w:rsid w:val="6F01097B"/>
    <w:rsid w:val="6F235519"/>
    <w:rsid w:val="6F2B1813"/>
    <w:rsid w:val="6F4162E7"/>
    <w:rsid w:val="6F7A479D"/>
    <w:rsid w:val="6F807B61"/>
    <w:rsid w:val="6F9710BD"/>
    <w:rsid w:val="6FB57CE7"/>
    <w:rsid w:val="70505567"/>
    <w:rsid w:val="70607D74"/>
    <w:rsid w:val="706E4EB9"/>
    <w:rsid w:val="70DA60AB"/>
    <w:rsid w:val="70E3031C"/>
    <w:rsid w:val="71970DBE"/>
    <w:rsid w:val="71CC4898"/>
    <w:rsid w:val="72175F68"/>
    <w:rsid w:val="72905608"/>
    <w:rsid w:val="72E523A3"/>
    <w:rsid w:val="72EB4839"/>
    <w:rsid w:val="73E309D8"/>
    <w:rsid w:val="746A4941"/>
    <w:rsid w:val="74ED5EE1"/>
    <w:rsid w:val="751167C2"/>
    <w:rsid w:val="75870269"/>
    <w:rsid w:val="75CB290D"/>
    <w:rsid w:val="75EF64CA"/>
    <w:rsid w:val="762B2E44"/>
    <w:rsid w:val="765D52FA"/>
    <w:rsid w:val="76B23731"/>
    <w:rsid w:val="76C64FAB"/>
    <w:rsid w:val="77B62D10"/>
    <w:rsid w:val="77F2450F"/>
    <w:rsid w:val="78061F7E"/>
    <w:rsid w:val="78287384"/>
    <w:rsid w:val="7836450F"/>
    <w:rsid w:val="78E72871"/>
    <w:rsid w:val="7929518A"/>
    <w:rsid w:val="79B908C3"/>
    <w:rsid w:val="79BD656A"/>
    <w:rsid w:val="7A1E01D2"/>
    <w:rsid w:val="7A680BCB"/>
    <w:rsid w:val="7A9168BB"/>
    <w:rsid w:val="7ADD5BAA"/>
    <w:rsid w:val="7B9821FF"/>
    <w:rsid w:val="7BEA676B"/>
    <w:rsid w:val="7C0622D1"/>
    <w:rsid w:val="7C1C7EBF"/>
    <w:rsid w:val="7C200578"/>
    <w:rsid w:val="7CAB70C6"/>
    <w:rsid w:val="7D122DD3"/>
    <w:rsid w:val="7D1F7C67"/>
    <w:rsid w:val="7D561D8A"/>
    <w:rsid w:val="7DC03B2C"/>
    <w:rsid w:val="7DF74740"/>
    <w:rsid w:val="7DFB18DE"/>
    <w:rsid w:val="7E520CE5"/>
    <w:rsid w:val="7EA12192"/>
    <w:rsid w:val="7EB708A3"/>
    <w:rsid w:val="7EC74905"/>
    <w:rsid w:val="7ED778CD"/>
    <w:rsid w:val="7F072FF6"/>
    <w:rsid w:val="7F746356"/>
    <w:rsid w:val="7F7B314F"/>
    <w:rsid w:val="7F8E450A"/>
    <w:rsid w:val="7F9F7D5C"/>
    <w:rsid w:val="7FD64316"/>
    <w:rsid w:val="7FDE3437"/>
    <w:rsid w:val="7FED6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iPriority="99"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semiHidden/>
    <w:qFormat/>
    <w:uiPriority w:val="9"/>
    <w:pPr>
      <w:keepNext/>
      <w:keepLines/>
      <w:numPr>
        <w:ilvl w:val="0"/>
        <w:numId w:val="1"/>
      </w:numPr>
      <w:spacing w:afterLines="0"/>
      <w:outlineLvl w:val="0"/>
    </w:pPr>
    <w:rPr>
      <w:rFonts w:ascii="Times New Roman" w:hAnsi="Times New Roman" w:eastAsia="宋体" w:cs="Times New Roman"/>
      <w:b/>
      <w:bCs/>
      <w:kern w:val="44"/>
      <w:sz w:val="32"/>
      <w:szCs w:val="36"/>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qFormat/>
    <w:uiPriority w:val="0"/>
    <w:pPr>
      <w:outlineLvl w:val="2"/>
    </w:pPr>
    <w:rPr>
      <w:b/>
      <w:bCs/>
      <w:kern w:val="0"/>
      <w:szCs w:val="32"/>
    </w:rPr>
  </w:style>
  <w:style w:type="paragraph" w:styleId="5">
    <w:name w:val="heading 5"/>
    <w:basedOn w:val="1"/>
    <w:next w:val="1"/>
    <w:semiHidden/>
    <w:unhideWhenUsed/>
    <w:qFormat/>
    <w:uiPriority w:val="0"/>
    <w:pPr>
      <w:keepNext/>
      <w:keepLines/>
      <w:numPr>
        <w:ilvl w:val="4"/>
        <w:numId w:val="2"/>
      </w:numPr>
      <w:tabs>
        <w:tab w:val="left" w:pos="0"/>
      </w:tabs>
      <w:spacing w:line="480" w:lineRule="exact"/>
      <w:ind w:left="1008" w:hanging="1008" w:firstLineChars="0"/>
      <w:outlineLvl w:val="4"/>
    </w:pPr>
    <w:rPr>
      <w:rFonts w:ascii="Times New Roman" w:hAnsi="Times New Roman" w:eastAsia="宋体"/>
      <w:b/>
      <w:bCs/>
      <w:kern w:val="2"/>
      <w:lang w:val="en-US" w:bidi="ar-SA"/>
    </w:rPr>
  </w:style>
  <w:style w:type="character" w:default="1" w:styleId="31">
    <w:name w:val="Default Paragraph Font"/>
    <w:unhideWhenUsed/>
    <w:qFormat/>
    <w:uiPriority w:val="1"/>
  </w:style>
  <w:style w:type="table" w:default="1" w:styleId="29">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qFormat/>
    <w:uiPriority w:val="0"/>
    <w:pPr>
      <w:ind w:firstLine="420"/>
    </w:pPr>
    <w:rPr>
      <w:rFonts w:ascii="Times New Roman" w:hAnsi="Times New Roman" w:eastAsia="宋体" w:cs="Times New Roman"/>
      <w:snapToGrid w:val="0"/>
      <w:kern w:val="0"/>
    </w:rPr>
  </w:style>
  <w:style w:type="paragraph" w:styleId="8">
    <w:name w:val="caption"/>
    <w:basedOn w:val="1"/>
    <w:next w:val="1"/>
    <w:qFormat/>
    <w:uiPriority w:val="0"/>
    <w:pPr>
      <w:keepNext/>
      <w:jc w:val="center"/>
    </w:pPr>
    <w:rPr>
      <w:rFonts w:ascii="宋体" w:hAnsi="宋体" w:eastAsia="宋体" w:cs="Arial"/>
    </w:rPr>
  </w:style>
  <w:style w:type="paragraph" w:styleId="9">
    <w:name w:val="annotation text"/>
    <w:basedOn w:val="1"/>
    <w:qFormat/>
    <w:uiPriority w:val="0"/>
    <w:pPr>
      <w:jc w:val="left"/>
    </w:pPr>
  </w:style>
  <w:style w:type="paragraph" w:styleId="10">
    <w:name w:val="Body Text"/>
    <w:basedOn w:val="1"/>
    <w:next w:val="11"/>
    <w:qFormat/>
    <w:uiPriority w:val="0"/>
    <w:pPr>
      <w:widowControl/>
      <w:snapToGrid w:val="0"/>
      <w:spacing w:before="60" w:after="160" w:line="259" w:lineRule="auto"/>
      <w:ind w:right="113"/>
    </w:pPr>
    <w:rPr>
      <w:kern w:val="0"/>
      <w:sz w:val="18"/>
      <w:szCs w:val="20"/>
    </w:rPr>
  </w:style>
  <w:style w:type="paragraph" w:customStyle="1" w:styleId="11">
    <w:name w:val="xl27"/>
    <w:basedOn w:val="6"/>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semiHidden/>
    <w:qFormat/>
    <w:uiPriority w:val="0"/>
    <w:pPr>
      <w:widowControl/>
      <w:snapToGrid/>
      <w:spacing w:after="120" w:line="276" w:lineRule="auto"/>
      <w:ind w:left="420" w:leftChars="200"/>
    </w:pPr>
    <w:rPr>
      <w:kern w:val="0"/>
      <w:sz w:val="22"/>
    </w:rPr>
  </w:style>
  <w:style w:type="paragraph" w:styleId="13">
    <w:name w:val="toc 5"/>
    <w:basedOn w:val="1"/>
    <w:next w:val="1"/>
    <w:qFormat/>
    <w:uiPriority w:val="0"/>
    <w:pPr>
      <w:ind w:left="1680" w:leftChars="800"/>
    </w:pPr>
  </w:style>
  <w:style w:type="paragraph" w:styleId="14">
    <w:name w:val="Plain Text"/>
    <w:basedOn w:val="1"/>
    <w:next w:val="1"/>
    <w:qFormat/>
    <w:uiPriority w:val="0"/>
    <w:pPr>
      <w:spacing w:line="440" w:lineRule="exact"/>
      <w:ind w:firstLine="425"/>
    </w:pPr>
    <w:rPr>
      <w:rFonts w:ascii="宋体" w:hAnsi="Courier New"/>
      <w:sz w:val="28"/>
    </w:rPr>
  </w:style>
  <w:style w:type="paragraph" w:styleId="15">
    <w:name w:val="Date"/>
    <w:basedOn w:val="1"/>
    <w:next w:val="1"/>
    <w:unhideWhenUsed/>
    <w:qFormat/>
    <w:uiPriority w:val="99"/>
    <w:pPr>
      <w:ind w:left="100" w:leftChars="2500"/>
    </w:pPr>
  </w:style>
  <w:style w:type="paragraph" w:styleId="16">
    <w:name w:val="Body Text Indent 2"/>
    <w:basedOn w:val="1"/>
    <w:next w:val="1"/>
    <w:qFormat/>
    <w:uiPriority w:val="0"/>
    <w:pPr>
      <w:spacing w:line="360" w:lineRule="exact"/>
      <w:ind w:firstLine="420" w:firstLineChars="200"/>
    </w:pPr>
    <w:rPr>
      <w:rFonts w:ascii="仿宋_GB2312" w:eastAsia="仿宋_GB2312"/>
    </w:rPr>
  </w:style>
  <w:style w:type="paragraph" w:styleId="17">
    <w:name w:val="endnote text"/>
    <w:basedOn w:val="1"/>
    <w:semiHidden/>
    <w:qFormat/>
    <w:uiPriority w:val="0"/>
    <w:pPr>
      <w:spacing w:line="288" w:lineRule="auto"/>
    </w:pPr>
    <w:rPr>
      <w:rFonts w:cs="宋体"/>
      <w:szCs w:val="21"/>
    </w:rPr>
  </w:style>
  <w:style w:type="paragraph" w:styleId="18">
    <w:name w:val="footer"/>
    <w:basedOn w:val="1"/>
    <w:qFormat/>
    <w:uiPriority w:val="0"/>
    <w:pPr>
      <w:tabs>
        <w:tab w:val="center" w:pos="4153"/>
        <w:tab w:val="right" w:pos="8306"/>
      </w:tabs>
      <w:snapToGrid w:val="0"/>
      <w:jc w:val="left"/>
    </w:pPr>
    <w:rPr>
      <w:kern w:val="0"/>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index heading"/>
    <w:basedOn w:val="1"/>
    <w:next w:val="22"/>
    <w:qFormat/>
    <w:uiPriority w:val="0"/>
    <w:pPr>
      <w:tabs>
        <w:tab w:val="left" w:pos="1021"/>
      </w:tabs>
      <w:spacing w:line="480" w:lineRule="exact"/>
    </w:pPr>
    <w:rPr>
      <w:rFonts w:ascii="Arial" w:hAnsi="Arial" w:eastAsia="宋体" w:cs="Arial"/>
      <w:b/>
      <w:bCs/>
      <w:sz w:val="24"/>
      <w:szCs w:val="20"/>
    </w:rPr>
  </w:style>
  <w:style w:type="paragraph" w:styleId="22">
    <w:name w:val="index 1"/>
    <w:basedOn w:val="1"/>
    <w:next w:val="1"/>
    <w:qFormat/>
    <w:uiPriority w:val="0"/>
    <w:pPr>
      <w:tabs>
        <w:tab w:val="left" w:pos="1021"/>
      </w:tabs>
      <w:spacing w:line="480" w:lineRule="exact"/>
    </w:pPr>
    <w:rPr>
      <w:rFonts w:ascii="Times New Roman" w:hAnsi="Times New Roman" w:eastAsia="宋体" w:cs="Times New Roman"/>
      <w:sz w:val="24"/>
      <w:szCs w:val="24"/>
    </w:rPr>
  </w:style>
  <w:style w:type="paragraph" w:styleId="23">
    <w:name w:val="Subtitle"/>
    <w:basedOn w:val="1"/>
    <w:next w:val="1"/>
    <w:qFormat/>
    <w:uiPriority w:val="0"/>
    <w:pPr>
      <w:spacing w:line="240" w:lineRule="auto"/>
      <w:ind w:firstLine="0" w:firstLineChars="0"/>
      <w:jc w:val="center"/>
    </w:pPr>
    <w:rPr>
      <w:rFonts w:ascii="Times New Roman" w:hAnsi="Times New Roman" w:eastAsia="宋体" w:cs="Times New Roman"/>
      <w:b/>
      <w:kern w:val="28"/>
      <w:szCs w:val="32"/>
    </w:rPr>
  </w:style>
  <w:style w:type="paragraph" w:styleId="24">
    <w:name w:val="List"/>
    <w:basedOn w:val="1"/>
    <w:qFormat/>
    <w:uiPriority w:val="0"/>
    <w:pPr>
      <w:ind w:left="200" w:hanging="200" w:hangingChars="200"/>
    </w:pPr>
    <w:rPr>
      <w:rFonts w:ascii="Calibri" w:hAnsi="Calibri"/>
    </w:rPr>
  </w:style>
  <w:style w:type="paragraph" w:styleId="2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5"/>
    <w:next w:val="1"/>
    <w:qFormat/>
    <w:uiPriority w:val="0"/>
    <w:pPr>
      <w:tabs>
        <w:tab w:val="left" w:pos="420"/>
        <w:tab w:val="clear" w:pos="0"/>
      </w:tabs>
      <w:jc w:val="left"/>
      <w:outlineLvl w:val="0"/>
    </w:pPr>
    <w:rPr>
      <w:rFonts w:ascii="Arial" w:hAnsi="Arial" w:eastAsia="宋体" w:cs="Times New Roman"/>
      <w:sz w:val="32"/>
    </w:rPr>
  </w:style>
  <w:style w:type="paragraph" w:styleId="27">
    <w:name w:val="Body Text First Indent"/>
    <w:basedOn w:val="10"/>
    <w:next w:val="1"/>
    <w:unhideWhenUsed/>
    <w:qFormat/>
    <w:uiPriority w:val="99"/>
    <w:pPr>
      <w:spacing w:line="360" w:lineRule="auto"/>
      <w:ind w:right="0" w:firstLine="720" w:firstLineChars="200"/>
    </w:pPr>
    <w:rPr>
      <w:rFonts w:ascii="Calibri" w:hAnsi="Calibri"/>
      <w:sz w:val="21"/>
    </w:rPr>
  </w:style>
  <w:style w:type="paragraph" w:styleId="28">
    <w:name w:val="Body Text First Indent 2"/>
    <w:basedOn w:val="12"/>
    <w:next w:val="1"/>
    <w:semiHidden/>
    <w:qFormat/>
    <w:uiPriority w:val="0"/>
    <w:pPr>
      <w:widowControl w:val="0"/>
      <w:spacing w:before="60" w:line="240" w:lineRule="auto"/>
      <w:ind w:left="0" w:leftChars="0" w:firstLine="210"/>
      <w:jc w:val="both"/>
    </w:pPr>
    <w:rPr>
      <w:sz w:val="18"/>
      <w:szCs w:val="24"/>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0"/>
    <w:rPr>
      <w:b/>
    </w:rPr>
  </w:style>
  <w:style w:type="character" w:styleId="33">
    <w:name w:val="Emphasis"/>
    <w:basedOn w:val="31"/>
    <w:qFormat/>
    <w:uiPriority w:val="0"/>
    <w:rPr>
      <w:i/>
    </w:rPr>
  </w:style>
  <w:style w:type="character" w:styleId="34">
    <w:name w:val="Hyperlink"/>
    <w:basedOn w:val="31"/>
    <w:qFormat/>
    <w:uiPriority w:val="0"/>
    <w:rPr>
      <w:color w:val="0000FF"/>
      <w:u w:val="single"/>
    </w:rPr>
  </w:style>
  <w:style w:type="character" w:styleId="35">
    <w:name w:val="annotation reference"/>
    <w:basedOn w:val="31"/>
    <w:qFormat/>
    <w:uiPriority w:val="0"/>
    <w:rPr>
      <w:rFonts w:ascii="Times New Roman" w:hAnsi="Times New Roman" w:eastAsia="宋体" w:cs="Times New Roman"/>
      <w:sz w:val="21"/>
    </w:rPr>
  </w:style>
  <w:style w:type="paragraph" w:customStyle="1" w:styleId="36">
    <w:name w:val="表格文字"/>
    <w:basedOn w:val="27"/>
    <w:next w:val="1"/>
    <w:qFormat/>
    <w:uiPriority w:val="0"/>
    <w:pPr>
      <w:spacing w:line="240" w:lineRule="auto"/>
      <w:ind w:firstLine="0" w:firstLineChars="0"/>
      <w:jc w:val="center"/>
    </w:pPr>
    <w:rPr>
      <w:rFonts w:ascii="Times New Roman" w:hAnsi="Times New Roman" w:eastAsia="宋体" w:cs="Times New Roman"/>
      <w:sz w:val="20"/>
    </w:rPr>
  </w:style>
  <w:style w:type="paragraph" w:customStyle="1" w:styleId="37">
    <w:name w:val="表格标题"/>
    <w:basedOn w:val="27"/>
    <w:next w:val="38"/>
    <w:qFormat/>
    <w:uiPriority w:val="0"/>
    <w:pPr>
      <w:spacing w:line="240" w:lineRule="auto"/>
      <w:ind w:firstLine="0" w:firstLineChars="0"/>
      <w:jc w:val="center"/>
    </w:pPr>
    <w:rPr>
      <w:rFonts w:eastAsia="黑体"/>
    </w:rPr>
  </w:style>
  <w:style w:type="paragraph" w:customStyle="1" w:styleId="38">
    <w:name w:val="表格内容"/>
    <w:next w:val="1"/>
    <w:qFormat/>
    <w:uiPriority w:val="0"/>
    <w:pPr>
      <w:jc w:val="center"/>
    </w:pPr>
    <w:rPr>
      <w:rFonts w:ascii="Times New Roman" w:hAnsi="Times New Roman" w:eastAsia="宋体" w:cs="Times New Roman"/>
      <w:sz w:val="21"/>
      <w:lang w:val="en-US" w:eastAsia="zh-CN" w:bidi="ar-SA"/>
    </w:rPr>
  </w:style>
  <w:style w:type="paragraph" w:customStyle="1" w:styleId="39">
    <w:name w:val="表头"/>
    <w:basedOn w:val="40"/>
    <w:qFormat/>
    <w:uiPriority w:val="0"/>
    <w:pPr>
      <w:spacing w:line="360" w:lineRule="auto"/>
    </w:pPr>
    <w:rPr>
      <w:b/>
    </w:rPr>
  </w:style>
  <w:style w:type="paragraph" w:customStyle="1" w:styleId="40">
    <w:name w:val="表中文字"/>
    <w:basedOn w:val="1"/>
    <w:qFormat/>
    <w:uiPriority w:val="0"/>
    <w:pPr>
      <w:adjustRightInd w:val="0"/>
      <w:snapToGrid w:val="0"/>
      <w:jc w:val="center"/>
    </w:pPr>
    <w:rPr>
      <w:bCs/>
      <w:sz w:val="18"/>
    </w:rPr>
  </w:style>
  <w:style w:type="paragraph" w:customStyle="1" w:styleId="41">
    <w:name w:val="T表头"/>
    <w:basedOn w:val="1"/>
    <w:qFormat/>
    <w:uiPriority w:val="0"/>
    <w:pPr>
      <w:spacing w:line="440" w:lineRule="exact"/>
      <w:jc w:val="center"/>
    </w:pPr>
    <w:rPr>
      <w:b/>
    </w:rPr>
  </w:style>
  <w:style w:type="paragraph" w:customStyle="1" w:styleId="42">
    <w:name w:val="样式 正文文本缩进 + 行距: 1.5 倍行距"/>
    <w:basedOn w:val="1"/>
    <w:qFormat/>
    <w:uiPriority w:val="0"/>
    <w:pPr>
      <w:spacing w:after="120"/>
      <w:ind w:left="90" w:leftChars="32" w:firstLine="560" w:firstLineChars="200"/>
    </w:pPr>
    <w:rPr>
      <w:rFonts w:cs="宋体"/>
    </w:rPr>
  </w:style>
  <w:style w:type="paragraph" w:customStyle="1" w:styleId="43">
    <w:name w:val="Default"/>
    <w:basedOn w:val="44"/>
    <w:qFormat/>
    <w:uiPriority w:val="0"/>
    <w:pPr>
      <w:widowControl w:val="0"/>
      <w:autoSpaceDE w:val="0"/>
      <w:autoSpaceDN w:val="0"/>
    </w:pPr>
    <w:rPr>
      <w:rFonts w:hint="eastAsia" w:ascii="仿宋_GB2312" w:hAnsi="仿宋_GB2312" w:eastAsia="仿宋_GB2312" w:cs="Times New Roman"/>
      <w:color w:val="000000"/>
      <w:sz w:val="24"/>
      <w:szCs w:val="22"/>
      <w:lang w:val="en-US" w:eastAsia="zh-CN" w:bidi="ar-SA"/>
    </w:rPr>
  </w:style>
  <w:style w:type="paragraph" w:customStyle="1" w:styleId="44">
    <w:name w:val="！正文 Alt+0"/>
    <w:basedOn w:val="1"/>
    <w:qFormat/>
    <w:uiPriority w:val="0"/>
    <w:pPr>
      <w:ind w:firstLine="200"/>
    </w:pPr>
    <w:rPr>
      <w:sz w:val="28"/>
      <w:szCs w:val="28"/>
    </w:rPr>
  </w:style>
  <w:style w:type="paragraph" w:customStyle="1" w:styleId="45">
    <w:name w:val="表格"/>
    <w:basedOn w:val="7"/>
    <w:next w:val="1"/>
    <w:qFormat/>
    <w:uiPriority w:val="0"/>
    <w:pPr>
      <w:widowControl/>
      <w:adjustRightInd w:val="0"/>
      <w:spacing w:line="240" w:lineRule="auto"/>
      <w:jc w:val="center"/>
    </w:pPr>
    <w:rPr>
      <w:rFonts w:ascii="Times New Roman" w:hAnsi="Times New Roman" w:eastAsia="宋体" w:cs="Times New Roman"/>
      <w:color w:val="FF0000"/>
      <w:kern w:val="0"/>
      <w:sz w:val="21"/>
      <w:szCs w:val="21"/>
    </w:rPr>
  </w:style>
  <w:style w:type="paragraph" w:customStyle="1" w:styleId="46">
    <w:name w:val="纯文本1"/>
    <w:basedOn w:val="1"/>
    <w:qFormat/>
    <w:uiPriority w:val="0"/>
    <w:pPr>
      <w:adjustRightInd w:val="0"/>
      <w:jc w:val="center"/>
      <w:textAlignment w:val="baseline"/>
    </w:pPr>
    <w:rPr>
      <w:rFonts w:ascii="宋体" w:hAnsi="Courier New"/>
      <w:sz w:val="24"/>
      <w:szCs w:val="20"/>
    </w:rPr>
  </w:style>
  <w:style w:type="paragraph" w:customStyle="1" w:styleId="47">
    <w:name w:val="YA-标题3"/>
    <w:basedOn w:val="1"/>
    <w:link w:val="48"/>
    <w:qFormat/>
    <w:uiPriority w:val="0"/>
    <w:pPr>
      <w:numPr>
        <w:ilvl w:val="2"/>
        <w:numId w:val="3"/>
      </w:numPr>
      <w:spacing w:line="360" w:lineRule="auto"/>
      <w:ind w:left="0" w:firstLine="0" w:firstLineChars="0"/>
      <w:outlineLvl w:val="2"/>
    </w:pPr>
    <w:rPr>
      <w:rFonts w:ascii="Times New Roman" w:hAnsi="Times New Roman" w:eastAsiaTheme="majorEastAsia"/>
      <w:b/>
      <w:sz w:val="24"/>
      <w:szCs w:val="22"/>
    </w:rPr>
  </w:style>
  <w:style w:type="character" w:customStyle="1" w:styleId="48">
    <w:name w:val="YA-标题3 Char"/>
    <w:basedOn w:val="49"/>
    <w:link w:val="47"/>
    <w:qFormat/>
    <w:uiPriority w:val="0"/>
    <w:rPr>
      <w:rFonts w:ascii="Times New Roman" w:hAnsi="Times New Roman" w:eastAsiaTheme="majorEastAsia" w:cstheme="minorBidi"/>
      <w:kern w:val="2"/>
      <w:sz w:val="24"/>
      <w:szCs w:val="22"/>
    </w:rPr>
  </w:style>
  <w:style w:type="character" w:customStyle="1" w:styleId="49">
    <w:name w:val="YA-标题2 Char"/>
    <w:basedOn w:val="31"/>
    <w:link w:val="50"/>
    <w:qFormat/>
    <w:uiPriority w:val="0"/>
    <w:rPr>
      <w:rFonts w:ascii="Times New Roman" w:hAnsi="Times New Roman" w:eastAsiaTheme="majorEastAsia" w:cstheme="minorBidi"/>
      <w:b/>
      <w:kern w:val="2"/>
      <w:sz w:val="24"/>
      <w:szCs w:val="22"/>
    </w:rPr>
  </w:style>
  <w:style w:type="paragraph" w:customStyle="1" w:styleId="50">
    <w:name w:val="YA-标题2"/>
    <w:basedOn w:val="1"/>
    <w:next w:val="51"/>
    <w:link w:val="49"/>
    <w:qFormat/>
    <w:uiPriority w:val="0"/>
    <w:pPr>
      <w:numPr>
        <w:ilvl w:val="1"/>
        <w:numId w:val="4"/>
      </w:numPr>
      <w:spacing w:afterLines="0" w:line="360" w:lineRule="auto"/>
      <w:ind w:left="0" w:firstLine="0"/>
      <w:outlineLvl w:val="1"/>
    </w:pPr>
    <w:rPr>
      <w:rFonts w:ascii="Times New Roman" w:hAnsi="Times New Roman" w:eastAsiaTheme="majorEastAsia"/>
      <w:b/>
      <w:sz w:val="24"/>
    </w:rPr>
  </w:style>
  <w:style w:type="paragraph" w:customStyle="1" w:styleId="51">
    <w:name w:val="YA-正文"/>
    <w:basedOn w:val="52"/>
    <w:qFormat/>
    <w:uiPriority w:val="0"/>
    <w:pPr>
      <w:spacing w:beforeLines="0" w:line="360" w:lineRule="auto"/>
      <w:ind w:firstLine="200" w:firstLineChars="200"/>
      <w:jc w:val="both"/>
    </w:pPr>
    <w:rPr>
      <w:rFonts w:ascii="Times New Roman" w:hAnsi="Times New Roman" w:eastAsia="宋体"/>
      <w:b w:val="0"/>
      <w:sz w:val="24"/>
    </w:rPr>
  </w:style>
  <w:style w:type="paragraph" w:customStyle="1" w:styleId="52">
    <w:name w:val="YA-表格标题"/>
    <w:basedOn w:val="53"/>
    <w:qFormat/>
    <w:uiPriority w:val="0"/>
    <w:pPr>
      <w:spacing w:beforeLines="50" w:line="360" w:lineRule="auto"/>
      <w:ind w:firstLine="0" w:firstLineChars="0"/>
      <w:jc w:val="center"/>
    </w:pPr>
    <w:rPr>
      <w:rFonts w:ascii="Times New Roman" w:hAnsi="Times New Roman" w:eastAsia="宋体" w:cs="Times New Roman"/>
      <w:b/>
      <w:sz w:val="21"/>
    </w:rPr>
  </w:style>
  <w:style w:type="paragraph" w:customStyle="1" w:styleId="53">
    <w:name w:val="表-正文"/>
    <w:basedOn w:val="1"/>
    <w:semiHidden/>
    <w:qFormat/>
    <w:uiPriority w:val="0"/>
    <w:pPr>
      <w:widowControl/>
      <w:spacing w:afterLines="0" w:line="480" w:lineRule="exact"/>
      <w:ind w:firstLine="200" w:firstLineChars="200"/>
    </w:pPr>
    <w:rPr>
      <w:rFonts w:ascii="Times New Roman" w:hAnsi="Times New Roman" w:eastAsia="宋体" w:cs="Times New Roman"/>
      <w:sz w:val="24"/>
      <w:szCs w:val="21"/>
    </w:rPr>
  </w:style>
  <w:style w:type="paragraph" w:customStyle="1" w:styleId="54">
    <w:name w:val="YA-标题1"/>
    <w:basedOn w:val="1"/>
    <w:qFormat/>
    <w:uiPriority w:val="0"/>
    <w:pPr>
      <w:numPr>
        <w:ilvl w:val="0"/>
        <w:numId w:val="3"/>
      </w:numPr>
    </w:pPr>
  </w:style>
  <w:style w:type="paragraph" w:customStyle="1" w:styleId="55">
    <w:name w:val="BGB-表格内文字"/>
    <w:basedOn w:val="1"/>
    <w:qFormat/>
    <w:uiPriority w:val="0"/>
    <w:pPr>
      <w:widowControl/>
      <w:spacing w:line="360" w:lineRule="exact"/>
      <w:jc w:val="center"/>
    </w:pPr>
    <w:rPr>
      <w:rFonts w:ascii="Times New Roman" w:hAnsi="Times New Roman" w:eastAsia="宋体" w:cs="Times New Roman"/>
      <w:bCs/>
      <w:szCs w:val="21"/>
      <w:u w:val="none"/>
      <w:lang w:bidi="ar"/>
    </w:rPr>
  </w:style>
  <w:style w:type="paragraph" w:customStyle="1" w:styleId="56">
    <w:name w:val="BGB-二级标题"/>
    <w:basedOn w:val="1"/>
    <w:link w:val="57"/>
    <w:qFormat/>
    <w:uiPriority w:val="0"/>
    <w:pPr>
      <w:spacing w:line="360" w:lineRule="auto"/>
      <w:outlineLvl w:val="9"/>
    </w:pPr>
    <w:rPr>
      <w:rFonts w:ascii="Times New Roman" w:hAnsi="Times New Roman" w:eastAsia="宋体" w:cs="宋体"/>
      <w:b/>
      <w:bCs/>
      <w:szCs w:val="21"/>
    </w:rPr>
  </w:style>
  <w:style w:type="character" w:customStyle="1" w:styleId="57">
    <w:name w:val="BGB-二级标题 Char"/>
    <w:link w:val="56"/>
    <w:qFormat/>
    <w:uiPriority w:val="0"/>
    <w:rPr>
      <w:rFonts w:ascii="Times New Roman" w:hAnsi="Times New Roman" w:eastAsia="宋体" w:cs="宋体"/>
      <w:b/>
      <w:bCs/>
      <w:szCs w:val="21"/>
    </w:rPr>
  </w:style>
  <w:style w:type="paragraph" w:customStyle="1" w:styleId="58">
    <w:name w:val="BGB-封面标题"/>
    <w:basedOn w:val="1"/>
    <w:qFormat/>
    <w:uiPriority w:val="0"/>
    <w:pPr>
      <w:jc w:val="center"/>
    </w:pPr>
    <w:rPr>
      <w:rFonts w:hint="eastAsia" w:ascii="黑体" w:hAnsi="黑体" w:eastAsia="黑体" w:cs="黑体"/>
      <w:sz w:val="72"/>
      <w:szCs w:val="72"/>
    </w:rPr>
  </w:style>
  <w:style w:type="paragraph" w:customStyle="1" w:styleId="59">
    <w:name w:val="BGB-三级标题"/>
    <w:basedOn w:val="1"/>
    <w:qFormat/>
    <w:uiPriority w:val="0"/>
    <w:pPr>
      <w:spacing w:line="360" w:lineRule="auto"/>
      <w:ind w:firstLine="420" w:firstLineChars="200"/>
      <w:outlineLvl w:val="9"/>
    </w:pPr>
    <w:rPr>
      <w:rFonts w:hint="eastAsia" w:ascii="Times New Roman" w:hAnsi="Times New Roman" w:eastAsia="宋体" w:cs="宋体"/>
      <w:b/>
      <w:bCs/>
      <w:szCs w:val="21"/>
    </w:rPr>
  </w:style>
  <w:style w:type="paragraph" w:customStyle="1" w:styleId="60">
    <w:name w:val="BGB-图表标题"/>
    <w:basedOn w:val="1"/>
    <w:link w:val="91"/>
    <w:qFormat/>
    <w:uiPriority w:val="0"/>
    <w:pPr>
      <w:spacing w:line="360" w:lineRule="auto"/>
      <w:ind w:firstLine="0" w:firstLineChars="0"/>
      <w:jc w:val="center"/>
      <w:outlineLvl w:val="9"/>
    </w:pPr>
    <w:rPr>
      <w:rFonts w:hint="eastAsia" w:ascii="Times New Roman" w:hAnsi="Times New Roman" w:eastAsia="宋体" w:cs="宋体"/>
      <w:b/>
      <w:bCs/>
      <w:szCs w:val="21"/>
    </w:rPr>
  </w:style>
  <w:style w:type="paragraph" w:customStyle="1" w:styleId="61">
    <w:name w:val="BGB-章节标题"/>
    <w:basedOn w:val="1"/>
    <w:link w:val="84"/>
    <w:qFormat/>
    <w:uiPriority w:val="0"/>
    <w:pPr>
      <w:jc w:val="center"/>
      <w:outlineLvl w:val="0"/>
    </w:pPr>
    <w:rPr>
      <w:rFonts w:hint="eastAsia" w:ascii="黑体" w:hAnsi="黑体" w:eastAsia="黑体" w:cs="黑体"/>
      <w:sz w:val="30"/>
      <w:szCs w:val="30"/>
    </w:rPr>
  </w:style>
  <w:style w:type="paragraph" w:customStyle="1" w:styleId="62">
    <w:name w:val="BGB-正文"/>
    <w:basedOn w:val="1"/>
    <w:link w:val="85"/>
    <w:qFormat/>
    <w:uiPriority w:val="0"/>
    <w:pPr>
      <w:spacing w:line="360" w:lineRule="auto"/>
      <w:ind w:firstLine="420" w:firstLineChars="200"/>
      <w:outlineLvl w:val="9"/>
    </w:pPr>
    <w:rPr>
      <w:rFonts w:ascii="Times New Roman" w:hAnsi="Times New Roman" w:eastAsia="宋体" w:cs="宋体"/>
      <w:szCs w:val="21"/>
    </w:rPr>
  </w:style>
  <w:style w:type="paragraph" w:customStyle="1" w:styleId="63">
    <w:name w:val="Normal Indent1"/>
    <w:basedOn w:val="1"/>
    <w:qFormat/>
    <w:uiPriority w:val="0"/>
  </w:style>
  <w:style w:type="paragraph" w:customStyle="1" w:styleId="64">
    <w:name w:val="Body Text1"/>
    <w:basedOn w:val="1"/>
    <w:qFormat/>
    <w:uiPriority w:val="0"/>
    <w:rPr>
      <w:rFonts w:eastAsia="Times New Roman"/>
    </w:rPr>
  </w:style>
  <w:style w:type="paragraph" w:customStyle="1" w:styleId="65">
    <w:name w:val="表格内格式"/>
    <w:basedOn w:val="38"/>
    <w:qFormat/>
    <w:uiPriority w:val="0"/>
    <w:pPr>
      <w:spacing w:line="360" w:lineRule="exact"/>
    </w:pPr>
  </w:style>
  <w:style w:type="paragraph" w:customStyle="1" w:styleId="66">
    <w:name w:val="正文-游"/>
    <w:basedOn w:val="10"/>
    <w:qFormat/>
    <w:uiPriority w:val="0"/>
    <w:pPr>
      <w:adjustRightInd w:val="0"/>
      <w:snapToGrid w:val="0"/>
      <w:spacing w:line="480" w:lineRule="exact"/>
      <w:ind w:firstLine="200" w:firstLineChars="200"/>
      <w:jc w:val="both"/>
    </w:pPr>
    <w:rPr>
      <w:rFonts w:ascii="Times New Roman" w:hAnsi="Times New Roman" w:eastAsia="宋体" w:cs="Times New Roman"/>
      <w:bCs/>
      <w:color w:val="933634"/>
      <w:sz w:val="24"/>
      <w:szCs w:val="24"/>
    </w:rPr>
  </w:style>
  <w:style w:type="paragraph" w:customStyle="1" w:styleId="67">
    <w:name w:val="四级标题"/>
    <w:basedOn w:val="15"/>
    <w:qFormat/>
    <w:uiPriority w:val="0"/>
    <w:rPr>
      <w:rFonts w:eastAsia="黑体"/>
    </w:rPr>
  </w:style>
  <w:style w:type="paragraph" w:customStyle="1" w:styleId="68">
    <w:name w:val="书-正文"/>
    <w:basedOn w:val="1"/>
    <w:qFormat/>
    <w:uiPriority w:val="0"/>
    <w:pPr>
      <w:spacing w:line="480" w:lineRule="exact"/>
      <w:ind w:firstLine="200" w:firstLineChars="200"/>
    </w:pPr>
    <w:rPr>
      <w:rFonts w:ascii="Times New Roman" w:hAnsi="Times New Roman" w:eastAsia="宋体" w:cs="Times New Roman"/>
      <w:kern w:val="0"/>
      <w:sz w:val="24"/>
      <w:szCs w:val="20"/>
    </w:rPr>
  </w:style>
  <w:style w:type="character" w:customStyle="1" w:styleId="69">
    <w:name w:val="font31"/>
    <w:basedOn w:val="31"/>
    <w:qFormat/>
    <w:uiPriority w:val="0"/>
    <w:rPr>
      <w:rFonts w:hint="eastAsia" w:ascii="宋体" w:hAnsi="宋体" w:eastAsia="宋体" w:cs="宋体"/>
      <w:b/>
      <w:bCs/>
      <w:color w:val="000000"/>
      <w:sz w:val="21"/>
      <w:szCs w:val="21"/>
      <w:u w:val="none"/>
    </w:rPr>
  </w:style>
  <w:style w:type="character" w:customStyle="1" w:styleId="70">
    <w:name w:val="font41"/>
    <w:basedOn w:val="31"/>
    <w:qFormat/>
    <w:uiPriority w:val="0"/>
    <w:rPr>
      <w:rFonts w:hint="default" w:ascii="Times New Roman" w:hAnsi="Times New Roman" w:cs="Times New Roman"/>
      <w:b/>
      <w:bCs/>
      <w:color w:val="000000"/>
      <w:sz w:val="21"/>
      <w:szCs w:val="21"/>
      <w:u w:val="none"/>
    </w:rPr>
  </w:style>
  <w:style w:type="character" w:customStyle="1" w:styleId="71">
    <w:name w:val="font51"/>
    <w:basedOn w:val="31"/>
    <w:qFormat/>
    <w:uiPriority w:val="0"/>
    <w:rPr>
      <w:rFonts w:hint="default" w:ascii="Times New Roman" w:hAnsi="Times New Roman" w:cs="Times New Roman"/>
      <w:b/>
      <w:bCs/>
      <w:color w:val="000000"/>
      <w:sz w:val="21"/>
      <w:szCs w:val="21"/>
      <w:u w:val="none"/>
      <w:vertAlign w:val="superscript"/>
    </w:rPr>
  </w:style>
  <w:style w:type="character" w:customStyle="1" w:styleId="72">
    <w:name w:val="zw1"/>
    <w:basedOn w:val="31"/>
    <w:qFormat/>
    <w:uiPriority w:val="0"/>
    <w:rPr>
      <w:rFonts w:hint="eastAsia" w:ascii="宋体" w:hAnsi="宋体" w:eastAsia="宋体"/>
      <w:sz w:val="22"/>
      <w:szCs w:val="22"/>
    </w:rPr>
  </w:style>
  <w:style w:type="paragraph" w:customStyle="1" w:styleId="73">
    <w:name w:val="报告书表格"/>
    <w:basedOn w:val="1"/>
    <w:qFormat/>
    <w:uiPriority w:val="0"/>
    <w:pPr>
      <w:adjustRightInd w:val="0"/>
      <w:spacing w:before="60" w:beforeLines="0" w:after="60" w:afterLines="0" w:line="240" w:lineRule="atLeast"/>
      <w:jc w:val="center"/>
      <w:textAlignment w:val="baseline"/>
    </w:pPr>
    <w:rPr>
      <w:kern w:val="0"/>
      <w:szCs w:val="20"/>
    </w:rPr>
  </w:style>
  <w:style w:type="paragraph" w:customStyle="1" w:styleId="74">
    <w:name w:val="xl26"/>
    <w:basedOn w:val="1"/>
    <w:qFormat/>
    <w:uiPriority w:val="0"/>
    <w:pPr>
      <w:widowControl/>
      <w:jc w:val="center"/>
      <w:textAlignment w:val="center"/>
    </w:pPr>
    <w:rPr>
      <w:kern w:val="0"/>
      <w:sz w:val="20"/>
      <w:szCs w:val="20"/>
    </w:rPr>
  </w:style>
  <w:style w:type="paragraph" w:customStyle="1" w:styleId="75">
    <w:name w:val="BGB-表内文"/>
    <w:basedOn w:val="1"/>
    <w:link w:val="86"/>
    <w:qFormat/>
    <w:uiPriority w:val="0"/>
    <w:pPr>
      <w:jc w:val="center"/>
    </w:pPr>
    <w:rPr>
      <w:rFonts w:ascii="Times New Roman" w:hAnsi="Times New Roman" w:eastAsia="宋体"/>
    </w:rPr>
  </w:style>
  <w:style w:type="paragraph" w:customStyle="1" w:styleId="76">
    <w:name w:val="HJ表中文字"/>
    <w:basedOn w:val="1"/>
    <w:qFormat/>
    <w:uiPriority w:val="0"/>
    <w:pPr>
      <w:jc w:val="center"/>
    </w:pPr>
    <w:rPr>
      <w:rFonts w:ascii="宋体" w:hAnsi="宋体"/>
      <w:szCs w:val="20"/>
    </w:rPr>
  </w:style>
  <w:style w:type="paragraph" w:customStyle="1" w:styleId="77">
    <w:name w:val="报告表正文"/>
    <w:basedOn w:val="1"/>
    <w:qFormat/>
    <w:uiPriority w:val="0"/>
    <w:pPr>
      <w:spacing w:before="0"/>
      <w:ind w:firstLine="200"/>
    </w:pPr>
    <w:rPr>
      <w:rFonts w:cs="Times New Roman"/>
      <w:szCs w:val="21"/>
      <w:lang w:val="zh-CN" w:eastAsia="zh-CN"/>
    </w:rPr>
  </w:style>
  <w:style w:type="paragraph" w:customStyle="1" w:styleId="78">
    <w:name w:val="段落"/>
    <w:basedOn w:val="1"/>
    <w:qFormat/>
    <w:uiPriority w:val="0"/>
    <w:pPr>
      <w:tabs>
        <w:tab w:val="left" w:pos="1021"/>
      </w:tabs>
      <w:adjustRightInd w:val="0"/>
      <w:snapToGrid w:val="0"/>
      <w:spacing w:line="360" w:lineRule="auto"/>
    </w:pPr>
    <w:rPr>
      <w:rFonts w:ascii="宋体" w:hAnsi="宋体"/>
      <w:sz w:val="24"/>
    </w:rPr>
  </w:style>
  <w:style w:type="paragraph" w:customStyle="1" w:styleId="79">
    <w:name w:val="Table Paragraph"/>
    <w:basedOn w:val="1"/>
    <w:qFormat/>
    <w:uiPriority w:val="1"/>
  </w:style>
  <w:style w:type="paragraph" w:customStyle="1" w:styleId="80">
    <w:name w:val="WPSOffice手动目录 1"/>
    <w:qFormat/>
    <w:uiPriority w:val="0"/>
    <w:pPr>
      <w:ind w:leftChars="0"/>
    </w:pPr>
    <w:rPr>
      <w:rFonts w:ascii="Times New Roman" w:hAnsi="Times New Roman" w:eastAsia="宋体" w:cs="Times New Roman"/>
      <w:sz w:val="20"/>
      <w:szCs w:val="20"/>
    </w:rPr>
  </w:style>
  <w:style w:type="paragraph" w:customStyle="1" w:styleId="81">
    <w:name w:val="YA-表字"/>
    <w:basedOn w:val="1"/>
    <w:qFormat/>
    <w:uiPriority w:val="0"/>
    <w:pPr>
      <w:widowControl/>
      <w:spacing w:afterLines="0" w:line="240" w:lineRule="auto"/>
      <w:jc w:val="center"/>
    </w:pPr>
    <w:rPr>
      <w:rFonts w:ascii="Times New Roman" w:hAnsi="Times New Roman"/>
      <w:kern w:val="0"/>
      <w:szCs w:val="18"/>
    </w:rPr>
  </w:style>
  <w:style w:type="character" w:customStyle="1" w:styleId="82">
    <w:name w:val="font11"/>
    <w:basedOn w:val="31"/>
    <w:qFormat/>
    <w:uiPriority w:val="0"/>
    <w:rPr>
      <w:rFonts w:ascii="宋体" w:hAnsi="宋体" w:eastAsia="宋体" w:cs="宋体"/>
      <w:color w:val="000000"/>
      <w:sz w:val="39"/>
      <w:szCs w:val="39"/>
      <w:u w:val="none"/>
    </w:rPr>
  </w:style>
  <w:style w:type="paragraph" w:customStyle="1" w:styleId="83">
    <w:name w:val="List Paragraph"/>
    <w:basedOn w:val="1"/>
    <w:qFormat/>
    <w:uiPriority w:val="1"/>
    <w:pPr>
      <w:spacing w:before="2"/>
      <w:ind w:left="1318" w:hanging="602"/>
    </w:pPr>
    <w:rPr>
      <w:rFonts w:ascii="宋体" w:hAnsi="宋体" w:eastAsia="宋体" w:cs="宋体"/>
      <w:lang w:val="zh-CN" w:eastAsia="zh-CN" w:bidi="zh-CN"/>
    </w:rPr>
  </w:style>
  <w:style w:type="character" w:customStyle="1" w:styleId="84">
    <w:name w:val="BGB-章节标题 Char"/>
    <w:link w:val="61"/>
    <w:qFormat/>
    <w:uiPriority w:val="0"/>
    <w:rPr>
      <w:rFonts w:hint="eastAsia" w:ascii="黑体" w:hAnsi="黑体" w:eastAsia="黑体" w:cs="黑体"/>
      <w:sz w:val="30"/>
      <w:szCs w:val="30"/>
    </w:rPr>
  </w:style>
  <w:style w:type="character" w:customStyle="1" w:styleId="85">
    <w:name w:val="BGB-正文 Char"/>
    <w:link w:val="62"/>
    <w:qFormat/>
    <w:uiPriority w:val="0"/>
    <w:rPr>
      <w:rFonts w:ascii="Times New Roman" w:hAnsi="Times New Roman" w:eastAsia="宋体" w:cs="宋体"/>
      <w:szCs w:val="21"/>
    </w:rPr>
  </w:style>
  <w:style w:type="character" w:customStyle="1" w:styleId="86">
    <w:name w:val="BGB-表内文 Char"/>
    <w:link w:val="75"/>
    <w:qFormat/>
    <w:uiPriority w:val="0"/>
    <w:rPr>
      <w:rFonts w:ascii="Times New Roman" w:hAnsi="Times New Roman" w:eastAsia="宋体"/>
    </w:rPr>
  </w:style>
  <w:style w:type="character" w:customStyle="1" w:styleId="87">
    <w:name w:val="font71"/>
    <w:basedOn w:val="31"/>
    <w:qFormat/>
    <w:uiPriority w:val="0"/>
    <w:rPr>
      <w:rFonts w:ascii="微软雅黑" w:hAnsi="微软雅黑" w:eastAsia="微软雅黑" w:cs="微软雅黑"/>
      <w:b/>
      <w:bCs/>
      <w:color w:val="000000"/>
      <w:sz w:val="18"/>
      <w:szCs w:val="18"/>
      <w:u w:val="none"/>
    </w:rPr>
  </w:style>
  <w:style w:type="character" w:customStyle="1" w:styleId="88">
    <w:name w:val="font81"/>
    <w:basedOn w:val="31"/>
    <w:qFormat/>
    <w:uiPriority w:val="0"/>
    <w:rPr>
      <w:rFonts w:hint="default" w:ascii="Times New Roman" w:hAnsi="Times New Roman" w:cs="Times New Roman"/>
      <w:b/>
      <w:bCs/>
      <w:color w:val="000000"/>
      <w:sz w:val="18"/>
      <w:szCs w:val="18"/>
      <w:u w:val="none"/>
    </w:rPr>
  </w:style>
  <w:style w:type="character" w:customStyle="1" w:styleId="89">
    <w:name w:val="font61"/>
    <w:basedOn w:val="31"/>
    <w:qFormat/>
    <w:uiPriority w:val="0"/>
    <w:rPr>
      <w:rFonts w:hint="eastAsia" w:ascii="宋体" w:hAnsi="宋体" w:eastAsia="宋体" w:cs="宋体"/>
      <w:color w:val="000000"/>
      <w:sz w:val="18"/>
      <w:szCs w:val="18"/>
      <w:u w:val="single"/>
    </w:rPr>
  </w:style>
  <w:style w:type="paragraph" w:customStyle="1" w:styleId="90">
    <w:name w:val="T表格"/>
    <w:basedOn w:val="1"/>
    <w:qFormat/>
    <w:uiPriority w:val="0"/>
    <w:pPr>
      <w:spacing w:line="240" w:lineRule="auto"/>
      <w:ind w:firstLine="0" w:firstLineChars="0"/>
      <w:jc w:val="center"/>
    </w:pPr>
    <w:rPr>
      <w:rFonts w:ascii="Times New Roman" w:hAnsi="Times New Roman"/>
      <w:bCs/>
      <w:sz w:val="21"/>
      <w:szCs w:val="21"/>
    </w:rPr>
  </w:style>
  <w:style w:type="character" w:customStyle="1" w:styleId="91">
    <w:name w:val="BGB-图表标题 Char"/>
    <w:link w:val="60"/>
    <w:qFormat/>
    <w:uiPriority w:val="0"/>
    <w:rPr>
      <w:rFonts w:hint="eastAsia" w:ascii="Times New Roman" w:hAnsi="Times New Roman" w:eastAsia="宋体" w:cs="宋体"/>
      <w:b/>
      <w:bCs/>
      <w:szCs w:val="21"/>
    </w:rPr>
  </w:style>
  <w:style w:type="table" w:customStyle="1" w:styleId="92">
    <w:name w:val="Table Normal"/>
    <w:unhideWhenUsed/>
    <w:qFormat/>
    <w:uiPriority w:val="0"/>
    <w:tblPr>
      <w:tblCellMar>
        <w:top w:w="0" w:type="dxa"/>
        <w:left w:w="0" w:type="dxa"/>
        <w:bottom w:w="0" w:type="dxa"/>
        <w:right w:w="0" w:type="dxa"/>
      </w:tblCellMar>
    </w:tblPr>
  </w:style>
  <w:style w:type="paragraph" w:customStyle="1" w:styleId="93">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94">
    <w:name w:val="X-N"/>
    <w:basedOn w:val="1"/>
    <w:qFormat/>
    <w:uiPriority w:val="0"/>
    <w:pPr>
      <w:adjustRightInd w:val="0"/>
      <w:jc w:val="center"/>
    </w:pPr>
    <w:rPr>
      <w:szCs w:val="21"/>
    </w:rPr>
  </w:style>
  <w:style w:type="paragraph" w:customStyle="1" w:styleId="95">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表标题"/>
    <w:basedOn w:val="1"/>
    <w:next w:val="1"/>
    <w:qFormat/>
    <w:uiPriority w:val="0"/>
    <w:pPr>
      <w:numPr>
        <w:ilvl w:val="4"/>
        <w:numId w:val="5"/>
      </w:numPr>
      <w:spacing w:beforeLines="50" w:line="240" w:lineRule="auto"/>
      <w:ind w:firstLineChars="0"/>
      <w:jc w:val="center"/>
    </w:pPr>
    <w:rPr>
      <w:rFonts w:ascii="宋体" w:hAnsi="宋体" w:eastAsia="Times New Roman"/>
      <w:b/>
      <w:bCs/>
      <w:szCs w:val="48"/>
    </w:rPr>
  </w:style>
  <w:style w:type="table" w:customStyle="1" w:styleId="97">
    <w:name w:val="网格型11"/>
    <w:basedOn w:val="29"/>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10"/>
    <w:basedOn w:val="29"/>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
    <w:name w:val="表字体"/>
    <w:basedOn w:val="1"/>
    <w:next w:val="1"/>
    <w:qFormat/>
    <w:uiPriority w:val="0"/>
    <w:pPr>
      <w:jc w:val="center"/>
    </w:pPr>
    <w:rPr>
      <w:rFonts w:ascii="Times New Roman" w:hAnsi="Times New Roman" w:eastAsia="宋体"/>
    </w:rPr>
  </w:style>
  <w:style w:type="paragraph" w:customStyle="1" w:styleId="100">
    <w:name w:val="样式 (符号) 宋体 小四 行距: 1.5 倍行距"/>
    <w:basedOn w:val="1"/>
    <w:qFormat/>
    <w:uiPriority w:val="0"/>
    <w:pPr>
      <w:spacing w:line="360" w:lineRule="auto"/>
      <w:ind w:firstLine="480" w:firstLineChars="200"/>
    </w:pPr>
    <w:rPr>
      <w:rFonts w:ascii="Calibri" w:hAnsi="宋体" w:cs="宋体"/>
      <w:sz w:val="24"/>
      <w:szCs w:val="21"/>
    </w:rPr>
  </w:style>
  <w:style w:type="paragraph" w:customStyle="1" w:styleId="101">
    <w:name w:val="_Style 6"/>
    <w:basedOn w:val="1"/>
    <w:qFormat/>
    <w:uiPriority w:val="0"/>
    <w:pPr>
      <w:spacing w:line="360" w:lineRule="auto"/>
      <w:ind w:firstLine="200" w:firstLineChars="200"/>
    </w:pPr>
  </w:style>
  <w:style w:type="paragraph" w:customStyle="1" w:styleId="102">
    <w:name w:val="1文章"/>
    <w:basedOn w:val="1"/>
    <w:qFormat/>
    <w:uiPriority w:val="0"/>
    <w:pPr>
      <w:snapToGrid w:val="0"/>
      <w:spacing w:line="360" w:lineRule="auto"/>
      <w:ind w:firstLine="573"/>
    </w:pPr>
    <w:rPr>
      <w:sz w:val="24"/>
    </w:rPr>
  </w:style>
  <w:style w:type="paragraph" w:customStyle="1" w:styleId="103">
    <w:name w:val="Table Text"/>
    <w:basedOn w:val="1"/>
    <w:semiHidden/>
    <w:qFormat/>
    <w:uiPriority w:val="0"/>
    <w:rPr>
      <w:rFonts w:ascii="宋体" w:hAnsi="宋体" w:cs="宋体"/>
      <w:sz w:val="24"/>
      <w:lang w:eastAsia="en-US"/>
    </w:rPr>
  </w:style>
  <w:style w:type="paragraph" w:customStyle="1" w:styleId="104">
    <w:name w:val="S表标题"/>
    <w:next w:val="105"/>
    <w:qFormat/>
    <w:uiPriority w:val="0"/>
    <w:pPr>
      <w:keepNext/>
      <w:keepLines/>
      <w:widowControl w:val="0"/>
      <w:numPr>
        <w:ilvl w:val="4"/>
        <w:numId w:val="6"/>
      </w:numPr>
      <w:wordWrap w:val="0"/>
      <w:spacing w:before="50" w:beforeLines="50" w:after="50" w:afterLines="50"/>
      <w:ind w:left="0"/>
      <w:jc w:val="center"/>
    </w:pPr>
    <w:rPr>
      <w:rFonts w:ascii="Times New Roman" w:hAnsi="Times New Roman" w:eastAsia="宋体" w:cs="Times New Roman"/>
      <w:b/>
      <w:kern w:val="2"/>
      <w:sz w:val="21"/>
      <w:szCs w:val="32"/>
      <w:lang w:val="en-US" w:eastAsia="zh-CN" w:bidi="ar-SA"/>
    </w:rPr>
  </w:style>
  <w:style w:type="paragraph" w:customStyle="1" w:styleId="105">
    <w:name w:val="S正文"/>
    <w:basedOn w:val="1"/>
    <w:qFormat/>
    <w:uiPriority w:val="0"/>
  </w:style>
  <w:style w:type="paragraph" w:customStyle="1" w:styleId="106">
    <w:name w:val="S表正文"/>
    <w:basedOn w:val="26"/>
    <w:qFormat/>
    <w:uiPriority w:val="0"/>
    <w:pPr>
      <w:widowControl w:val="0"/>
      <w:wordWrap w:val="0"/>
      <w:jc w:val="center"/>
    </w:pPr>
    <w:rPr>
      <w:kern w:val="2"/>
      <w:sz w:val="21"/>
      <w:szCs w:val="21"/>
      <w:lang w:val="en-US" w:eastAsia="zh-CN" w:bidi="ar-SA"/>
    </w:rPr>
  </w:style>
  <w:style w:type="paragraph" w:customStyle="1" w:styleId="107">
    <w:name w:val="T表标题"/>
    <w:next w:val="1"/>
    <w:qFormat/>
    <w:uiPriority w:val="0"/>
    <w:pPr>
      <w:numPr>
        <w:ilvl w:val="4"/>
        <w:numId w:val="0"/>
      </w:numPr>
      <w:jc w:val="center"/>
    </w:pPr>
    <w:rPr>
      <w:rFonts w:ascii="Times New Roman" w:hAnsi="Times New Roman" w:eastAsia="宋体" w:cs="Times New Roman"/>
      <w:b/>
      <w:kern w:val="2"/>
      <w:sz w:val="21"/>
      <w:szCs w:val="24"/>
      <w:lang w:val="en-US" w:eastAsia="zh-CN" w:bidi="ar-SA"/>
    </w:rPr>
  </w:style>
  <w:style w:type="paragraph" w:customStyle="1" w:styleId="108">
    <w:name w:val="T表格内文字"/>
    <w:basedOn w:val="1"/>
    <w:qFormat/>
    <w:uiPriority w:val="0"/>
    <w:pPr>
      <w:spacing w:line="240" w:lineRule="auto"/>
      <w:ind w:firstLine="0" w:firstLineChars="0"/>
      <w:jc w:val="center"/>
    </w:pPr>
    <w:rPr>
      <w:rFonts w:ascii="Times New Roman" w:hAnsi="Times New Roman"/>
      <w:sz w:val="21"/>
    </w:rPr>
  </w:style>
  <w:style w:type="paragraph" w:customStyle="1" w:styleId="109">
    <w:name w:val="段落(G)"/>
    <w:basedOn w:val="1"/>
    <w:qFormat/>
    <w:uiPriority w:val="0"/>
    <w:pPr>
      <w:tabs>
        <w:tab w:val="left" w:pos="1021"/>
        <w:tab w:val="left" w:pos="1320"/>
      </w:tabs>
      <w:spacing w:line="360" w:lineRule="auto"/>
      <w:ind w:firstLine="480" w:firstLineChars="200"/>
    </w:pPr>
    <w:rPr>
      <w:rFonts w:ascii="Calibri"/>
      <w:color w:val="000000"/>
      <w:kern w:val="24"/>
      <w:szCs w:val="24"/>
      <w:lang w:val="zh-CN"/>
    </w:rPr>
  </w:style>
  <w:style w:type="paragraph" w:customStyle="1" w:styleId="110">
    <w:name w:val="表-标题-居中加粗"/>
    <w:basedOn w:val="1"/>
    <w:qFormat/>
    <w:uiPriority w:val="0"/>
    <w:pPr>
      <w:spacing w:line="240" w:lineRule="auto"/>
      <w:ind w:firstLine="0" w:firstLineChars="0"/>
      <w:jc w:val="center"/>
    </w:pPr>
    <w:rPr>
      <w:rFonts w:ascii="Times New Roman" w:hAnsi="Times New Roman" w:eastAsia="宋体"/>
      <w:b/>
    </w:rPr>
  </w:style>
  <w:style w:type="paragraph" w:customStyle="1" w:styleId="111">
    <w:name w:val="表内文字"/>
    <w:basedOn w:val="1"/>
    <w:qFormat/>
    <w:uiPriority w:val="0"/>
    <w:pPr>
      <w:jc w:val="center"/>
    </w:pPr>
    <w:rPr>
      <w:rFonts w:ascii="Times New Roman" w:hAnsi="Times New Roman" w:eastAsia="宋体" w:cs="Times New Roman"/>
      <w:bCs/>
      <w:kern w:val="0"/>
      <w:sz w:val="22"/>
      <w:szCs w:val="22"/>
    </w:rPr>
  </w:style>
  <w:style w:type="paragraph" w:customStyle="1" w:styleId="112">
    <w:name w:val="s表格正文"/>
    <w:next w:val="1"/>
    <w:qFormat/>
    <w:uiPriority w:val="0"/>
    <w:pPr>
      <w:widowControl w:val="0"/>
      <w:spacing w:line="240" w:lineRule="auto"/>
      <w:ind w:firstLine="0" w:firstLineChars="0"/>
      <w:jc w:val="center"/>
    </w:pPr>
    <w:rPr>
      <w:rFonts w:ascii="Times New Roman" w:hAnsi="Times New Roman" w:eastAsia="宋体" w:cs="Times New Roman"/>
      <w:kern w:val="2"/>
      <w:sz w:val="21"/>
      <w:szCs w:val="24"/>
      <w:lang w:val="en-US" w:eastAsia="zh-CN" w:bidi="ar-SA"/>
    </w:rPr>
  </w:style>
  <w:style w:type="paragraph" w:customStyle="1" w:styleId="113">
    <w:name w:val="环评表格"/>
    <w:basedOn w:val="1"/>
    <w:qFormat/>
    <w:uiPriority w:val="0"/>
    <w:pPr>
      <w:spacing w:line="240" w:lineRule="auto"/>
      <w:ind w:firstLine="0" w:firstLineChars="0"/>
      <w:jc w:val="center"/>
    </w:pPr>
    <w:rPr>
      <w:kern w:val="0"/>
      <w:sz w:val="21"/>
      <w:szCs w:val="20"/>
    </w:rPr>
  </w:style>
  <w:style w:type="paragraph" w:customStyle="1" w:styleId="114">
    <w:name w:val="C表格正文"/>
    <w:basedOn w:val="115"/>
    <w:qFormat/>
    <w:uiPriority w:val="0"/>
    <w:pPr>
      <w:wordWrap w:val="0"/>
    </w:pPr>
    <w:rPr>
      <w:rFonts w:ascii="Times New Roman" w:hAnsi="Times New Roman" w:eastAsia="宋体" w:cs="Times New Roman"/>
      <w:color w:val="auto"/>
    </w:rPr>
  </w:style>
  <w:style w:type="paragraph" w:customStyle="1" w:styleId="115">
    <w:name w:val="表格正文"/>
    <w:basedOn w:val="1"/>
    <w:next w:val="1"/>
    <w:qFormat/>
    <w:uiPriority w:val="0"/>
    <w:pPr>
      <w:spacing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16">
    <w:name w:val="我的正文"/>
    <w:basedOn w:val="1"/>
    <w:qFormat/>
    <w:uiPriority w:val="0"/>
    <w:pPr>
      <w:spacing w:line="360" w:lineRule="auto"/>
      <w:ind w:firstLine="200" w:firstLineChars="200"/>
    </w:pPr>
    <w:rPr>
      <w:sz w:val="24"/>
    </w:rPr>
  </w:style>
  <w:style w:type="paragraph" w:customStyle="1" w:styleId="117">
    <w:name w:val="Default2"/>
    <w:next w:val="1"/>
    <w:qFormat/>
    <w:uiPriority w:val="0"/>
    <w:pPr>
      <w:widowControl w:val="0"/>
      <w:autoSpaceDE w:val="0"/>
      <w:autoSpaceDN w:val="0"/>
      <w:adjustRightInd w:val="0"/>
    </w:pPr>
    <w:rPr>
      <w:rFonts w:ascii="黑体" w:hAnsi="Times New Roman" w:eastAsia="Times New Roman" w:cs="黑体"/>
      <w:color w:val="000000"/>
      <w:kern w:val="0"/>
      <w:sz w:val="24"/>
      <w:szCs w:val="24"/>
      <w:lang w:val="en-US" w:eastAsia="zh-TW" w:bidi="ar-SA"/>
    </w:rPr>
  </w:style>
  <w:style w:type="character" w:customStyle="1" w:styleId="118">
    <w:name w:val="font21"/>
    <w:basedOn w:val="31"/>
    <w:qFormat/>
    <w:uiPriority w:val="0"/>
    <w:rPr>
      <w:rFonts w:hint="default" w:ascii="Times New Roman" w:hAnsi="Times New Roman" w:cs="Times New Roman"/>
      <w:color w:val="000000"/>
      <w:sz w:val="21"/>
      <w:szCs w:val="21"/>
      <w:u w:val="none"/>
    </w:rPr>
  </w:style>
  <w:style w:type="paragraph" w:customStyle="1" w:styleId="119">
    <w:name w:val="C表标题"/>
    <w:next w:val="1"/>
    <w:qFormat/>
    <w:uiPriority w:val="0"/>
    <w:pPr>
      <w:numPr>
        <w:ilvl w:val="4"/>
        <w:numId w:val="7"/>
      </w:numPr>
      <w:spacing w:before="120" w:after="120"/>
      <w:ind w:left="0"/>
      <w:jc w:val="center"/>
    </w:pPr>
    <w:rPr>
      <w:rFonts w:ascii="Times New Roman" w:hAnsi="Times New Roman" w:eastAsia="宋体" w:cs="Times New Roman"/>
      <w:b/>
      <w:kern w:val="2"/>
      <w:sz w:val="21"/>
      <w:szCs w:val="24"/>
      <w:lang w:val="en-US" w:eastAsia="zh-CN" w:bidi="ar-SA"/>
    </w:rPr>
  </w:style>
  <w:style w:type="paragraph" w:customStyle="1" w:styleId="120">
    <w:name w:val="C正文"/>
    <w:qFormat/>
    <w:uiPriority w:val="0"/>
    <w:pPr>
      <w:widowControl w:val="0"/>
      <w:wordWrap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121">
    <w:name w:val="A0正文"/>
    <w:qFormat/>
    <w:uiPriority w:val="0"/>
    <w:pPr>
      <w:widowControl w:val="0"/>
      <w:spacing w:line="360" w:lineRule="auto"/>
      <w:ind w:firstLine="200" w:firstLineChars="200"/>
      <w:jc w:val="both"/>
    </w:pPr>
    <w:rPr>
      <w:rFonts w:ascii="Times New Roman" w:hAnsi="Times New Roman" w:eastAsia="宋体" w:cs="Times New Roman"/>
      <w:kern w:val="2"/>
      <w:sz w:val="24"/>
      <w:szCs w:val="20"/>
      <w:lang w:val="zh-CN" w:eastAsia="zh-CN" w:bidi="ar-SA"/>
    </w:rPr>
  </w:style>
  <w:style w:type="paragraph" w:customStyle="1" w:styleId="122">
    <w:name w:val="正文 2 字符"/>
    <w:qFormat/>
    <w:uiPriority w:val="0"/>
    <w:pPr>
      <w:widowControl w:val="0"/>
      <w:spacing w:before="0" w:beforeLines="0" w:after="0" w:afterLines="0"/>
      <w:ind w:left="0" w:firstLine="480" w:firstLineChars="200"/>
      <w:jc w:val="both"/>
    </w:pPr>
    <w:rPr>
      <w:rFonts w:ascii="Times New Roman" w:hAnsi="Times New Roman" w:eastAsia="宋体" w:cs="Times New Roman"/>
      <w:kern w:val="2"/>
      <w:sz w:val="21"/>
      <w:szCs w:val="20"/>
      <w:lang w:val="en-US" w:eastAsia="zh-CN" w:bidi="ar-SA"/>
    </w:rPr>
  </w:style>
  <w:style w:type="table" w:customStyle="1" w:styleId="123">
    <w:name w:val="网格型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4">
    <w:name w:val="环龙公司文本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wmf"/><Relationship Id="rId48" Type="http://schemas.openxmlformats.org/officeDocument/2006/relationships/oleObject" Target="embeddings/oleObject9.bin"/><Relationship Id="rId47" Type="http://schemas.openxmlformats.org/officeDocument/2006/relationships/image" Target="media/image29.png"/><Relationship Id="rId46" Type="http://schemas.openxmlformats.org/officeDocument/2006/relationships/image" Target="media/image28.wmf"/><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jpe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emf"/><Relationship Id="rId28" Type="http://schemas.openxmlformats.org/officeDocument/2006/relationships/oleObject" Target="embeddings/oleObject8.bin"/><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oleObject" Target="embeddings/oleObject7.bin"/><Relationship Id="rId24" Type="http://schemas.openxmlformats.org/officeDocument/2006/relationships/image" Target="media/image8.emf"/><Relationship Id="rId23" Type="http://schemas.openxmlformats.org/officeDocument/2006/relationships/oleObject" Target="embeddings/oleObject6.bin"/><Relationship Id="rId22" Type="http://schemas.openxmlformats.org/officeDocument/2006/relationships/image" Target="media/image7.emf"/><Relationship Id="rId21" Type="http://schemas.openxmlformats.org/officeDocument/2006/relationships/oleObject" Target="embeddings/oleObject5.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237</Pages>
  <Words>90293</Words>
  <Characters>106204</Characters>
  <Lines>0</Lines>
  <Paragraphs>0</Paragraphs>
  <TotalTime>6</TotalTime>
  <ScaleCrop>false</ScaleCrop>
  <LinksUpToDate>false</LinksUpToDate>
  <CharactersWithSpaces>106279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2021-01-07T14:14:00Z</dcterms:created>
  <dc:creator>Administrator</dc:creator>
  <cp:lastModifiedBy>十指紧扣*^_^*</cp:lastModifiedBy>
  <cp:lastPrinted>2024-07-04T07:09:00Z</cp:lastPrinted>
  <dcterms:modified xsi:type="dcterms:W3CDTF">2024-09-23T07:08:10Z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0946392AAB724D5286884A225B5A8C27_13</vt:lpwstr>
  </property>
</Properties>
</file>