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u w:val="none" w:color="auto"/>
        </w:rPr>
      </w:pPr>
    </w:p>
    <w:p>
      <w:pPr>
        <w:rPr>
          <w:rFonts w:ascii="仿宋_GB2312" w:hAnsi="仿宋_GB2312" w:eastAsia="仿宋_GB2312" w:cs="仿宋_GB2312"/>
          <w:color w:val="auto"/>
          <w:sz w:val="36"/>
          <w:szCs w:val="36"/>
          <w:u w:val="none" w:color="auto"/>
        </w:rPr>
      </w:pPr>
    </w:p>
    <w:p>
      <w:pPr>
        <w:rPr>
          <w:rFonts w:ascii="仿宋_GB2312" w:hAnsi="仿宋_GB2312" w:eastAsia="仿宋_GB2312" w:cs="仿宋_GB2312"/>
          <w:color w:val="auto"/>
          <w:sz w:val="36"/>
          <w:szCs w:val="36"/>
          <w:u w:val="none" w:color="auto"/>
        </w:rPr>
      </w:pPr>
    </w:p>
    <w:p>
      <w:pPr>
        <w:rPr>
          <w:rFonts w:ascii="仿宋_GB2312" w:hAnsi="仿宋_GB2312" w:eastAsia="仿宋_GB2312" w:cs="仿宋_GB2312"/>
          <w:color w:val="auto"/>
          <w:sz w:val="36"/>
          <w:szCs w:val="36"/>
          <w:u w:val="none" w:color="auto"/>
        </w:rPr>
      </w:pPr>
    </w:p>
    <w:p>
      <w:pPr>
        <w:rPr>
          <w:rFonts w:hint="eastAsia" w:ascii="仿宋_GB2312" w:hAnsi="仿宋_GB2312" w:eastAsia="仿宋_GB2312" w:cs="仿宋_GB2312"/>
          <w:color w:val="auto"/>
          <w:sz w:val="36"/>
          <w:szCs w:val="36"/>
          <w:u w:val="none" w:color="auto"/>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_GBK" w:eastAsia="方正小标宋_GBK"/>
          <w:bCs/>
          <w:color w:val="auto"/>
          <w:sz w:val="72"/>
          <w:szCs w:val="72"/>
          <w:u w:val="none" w:color="auto"/>
        </w:rPr>
      </w:pPr>
      <w:r>
        <w:rPr>
          <w:rFonts w:hint="eastAsia" w:ascii="方正小标宋_GBK" w:eastAsia="方正小标宋_GBK"/>
          <w:bCs/>
          <w:color w:val="auto"/>
          <w:sz w:val="72"/>
          <w:szCs w:val="72"/>
          <w:u w:val="none" w:color="auto"/>
        </w:rPr>
        <w:t>建设项目环境影响报告表</w:t>
      </w:r>
    </w:p>
    <w:p>
      <w:pPr>
        <w:adjustRightInd w:val="0"/>
        <w:snapToGrid w:val="0"/>
        <w:spacing w:before="192" w:beforeLines="80"/>
        <w:jc w:val="center"/>
        <w:rPr>
          <w:rFonts w:hint="eastAsia" w:ascii="楷体_GB2312" w:eastAsia="楷体_GB2312"/>
          <w:bCs/>
          <w:color w:val="auto"/>
          <w:sz w:val="48"/>
          <w:szCs w:val="48"/>
          <w:u w:val="none" w:color="auto"/>
        </w:rPr>
      </w:pPr>
      <w:r>
        <w:rPr>
          <w:rFonts w:hint="eastAsia" w:ascii="楷体_GB2312" w:eastAsia="楷体_GB2312"/>
          <w:bCs/>
          <w:color w:val="auto"/>
          <w:sz w:val="48"/>
          <w:szCs w:val="48"/>
          <w:u w:val="none" w:color="auto"/>
        </w:rPr>
        <w:t>（污染影响类）</w:t>
      </w:r>
    </w:p>
    <w:p>
      <w:pPr>
        <w:adjustRightInd w:val="0"/>
        <w:snapToGrid w:val="0"/>
        <w:spacing w:line="288" w:lineRule="auto"/>
        <w:jc w:val="both"/>
        <w:outlineLvl w:val="9"/>
        <w:rPr>
          <w:rFonts w:ascii="华文仿宋" w:hAnsi="华文仿宋" w:eastAsia="华文仿宋" w:cs="华文仿宋"/>
          <w:color w:val="auto"/>
          <w:kern w:val="44"/>
          <w:sz w:val="44"/>
          <w:szCs w:val="44"/>
          <w:u w:val="none" w:color="auto"/>
        </w:rPr>
      </w:pPr>
    </w:p>
    <w:p>
      <w:pPr>
        <w:jc w:val="both"/>
        <w:rPr>
          <w:rFonts w:eastAsia="仿宋"/>
          <w:color w:val="auto"/>
          <w:sz w:val="52"/>
          <w:szCs w:val="52"/>
          <w:u w:val="none" w:color="auto"/>
        </w:rPr>
      </w:pPr>
    </w:p>
    <w:p>
      <w:pPr>
        <w:rPr>
          <w:rFonts w:eastAsia="仿宋"/>
          <w:color w:val="auto"/>
          <w:sz w:val="44"/>
          <w:szCs w:val="44"/>
          <w:u w:val="none" w:color="auto"/>
        </w:rPr>
      </w:pPr>
    </w:p>
    <w:p>
      <w:pPr>
        <w:rPr>
          <w:rFonts w:eastAsia="仿宋"/>
          <w:color w:val="auto"/>
          <w:sz w:val="44"/>
          <w:szCs w:val="44"/>
          <w:u w:val="none" w:color="auto"/>
        </w:rPr>
      </w:pPr>
    </w:p>
    <w:p>
      <w:pPr>
        <w:rPr>
          <w:rFonts w:eastAsia="仿宋"/>
          <w:color w:val="auto"/>
          <w:sz w:val="44"/>
          <w:szCs w:val="44"/>
          <w:u w:val="none" w:color="auto"/>
        </w:rPr>
      </w:pPr>
    </w:p>
    <w:p>
      <w:pPr>
        <w:rPr>
          <w:rFonts w:eastAsia="仿宋"/>
          <w:color w:val="auto"/>
          <w:sz w:val="44"/>
          <w:szCs w:val="44"/>
          <w:u w:val="none" w:color="auto"/>
        </w:rPr>
      </w:pPr>
    </w:p>
    <w:p>
      <w:pPr>
        <w:adjustRightInd w:val="0"/>
        <w:snapToGrid w:val="0"/>
        <w:spacing w:line="288" w:lineRule="auto"/>
        <w:ind w:firstLine="1040"/>
        <w:rPr>
          <w:rFonts w:hint="eastAsia" w:ascii="仿宋_GB2312" w:eastAsia="仿宋_GB2312"/>
          <w:color w:val="auto"/>
          <w:sz w:val="36"/>
          <w:szCs w:val="36"/>
          <w:u w:val="none" w:color="auto"/>
          <w:lang w:eastAsia="zh-CN"/>
        </w:rPr>
      </w:pPr>
      <w:r>
        <w:rPr>
          <w:rFonts w:hint="eastAsia" w:ascii="仿宋_GB2312" w:eastAsia="仿宋_GB2312"/>
          <w:color w:val="auto"/>
          <w:sz w:val="36"/>
          <w:szCs w:val="36"/>
          <w:u w:val="none" w:color="auto"/>
        </w:rPr>
        <w:t>项目名称：</w:t>
      </w:r>
      <w:r>
        <w:rPr>
          <w:rFonts w:hint="eastAsia" w:ascii="仿宋_GB2312" w:eastAsia="仿宋_GB2312"/>
          <w:color w:val="auto"/>
          <w:sz w:val="36"/>
          <w:szCs w:val="36"/>
          <w:u w:val="none" w:color="auto"/>
          <w:lang w:eastAsia="zh-CN"/>
        </w:rPr>
        <w:t>湘阴县人民医院医疗副中心（二期）</w:t>
      </w:r>
    </w:p>
    <w:p>
      <w:pPr>
        <w:adjustRightInd w:val="0"/>
        <w:snapToGrid w:val="0"/>
        <w:spacing w:line="288" w:lineRule="auto"/>
        <w:ind w:firstLine="2858" w:firstLineChars="794"/>
        <w:rPr>
          <w:rFonts w:hint="default" w:ascii="仿宋_GB2312" w:eastAsia="仿宋_GB2312"/>
          <w:color w:val="auto"/>
          <w:sz w:val="36"/>
          <w:szCs w:val="36"/>
          <w:u w:val="none" w:color="auto"/>
          <w:lang w:val="en-US" w:eastAsia="zh-CN"/>
        </w:rPr>
      </w:pPr>
      <w:r>
        <w:rPr>
          <w:rFonts w:hint="eastAsia" w:ascii="仿宋_GB2312" w:eastAsia="仿宋_GB2312"/>
          <w:color w:val="auto"/>
          <w:sz w:val="36"/>
          <w:szCs w:val="36"/>
          <w:u w:val="none" w:color="auto"/>
          <w:lang w:eastAsia="zh-CN"/>
        </w:rPr>
        <w:t>东塘卫生院分中心</w:t>
      </w:r>
      <w:r>
        <w:rPr>
          <w:rFonts w:hint="eastAsia" w:ascii="仿宋_GB2312" w:eastAsia="仿宋_GB2312"/>
          <w:color w:val="auto"/>
          <w:sz w:val="36"/>
          <w:szCs w:val="36"/>
          <w:u w:val="none" w:color="auto"/>
          <w:lang w:val="en-US" w:eastAsia="zh-CN"/>
        </w:rPr>
        <w:t>建设项目</w:t>
      </w:r>
    </w:p>
    <w:p>
      <w:pPr>
        <w:adjustRightInd w:val="0"/>
        <w:snapToGrid w:val="0"/>
        <w:spacing w:line="288" w:lineRule="auto"/>
        <w:ind w:firstLine="1040"/>
        <w:rPr>
          <w:rFonts w:hint="eastAsia" w:ascii="仿宋_GB2312" w:eastAsia="仿宋_GB2312"/>
          <w:color w:val="auto"/>
          <w:sz w:val="36"/>
          <w:szCs w:val="36"/>
          <w:u w:val="none" w:color="auto"/>
          <w:lang w:eastAsia="zh-CN"/>
        </w:rPr>
      </w:pPr>
      <w:r>
        <w:rPr>
          <w:rFonts w:hint="eastAsia" w:ascii="仿宋_GB2312" w:eastAsia="仿宋_GB2312"/>
          <w:color w:val="auto"/>
          <w:sz w:val="36"/>
          <w:szCs w:val="36"/>
          <w:u w:val="none" w:color="auto"/>
        </w:rPr>
        <w:t>建设单位（盖章）：</w:t>
      </w:r>
      <w:r>
        <w:rPr>
          <w:rFonts w:hint="eastAsia" w:ascii="仿宋_GB2312" w:eastAsia="仿宋_GB2312"/>
          <w:color w:val="auto"/>
          <w:sz w:val="36"/>
          <w:szCs w:val="36"/>
          <w:u w:val="none" w:color="auto"/>
          <w:lang w:val="en-US" w:eastAsia="zh-CN"/>
        </w:rPr>
        <w:t xml:space="preserve">湘阴县东塘中心卫生院  </w:t>
      </w:r>
    </w:p>
    <w:p>
      <w:pPr>
        <w:adjustRightInd w:val="0"/>
        <w:snapToGrid w:val="0"/>
        <w:spacing w:line="288" w:lineRule="auto"/>
        <w:ind w:firstLine="1040"/>
        <w:rPr>
          <w:rFonts w:hint="default" w:ascii="仿宋_GB2312" w:eastAsia="仿宋_GB2312"/>
          <w:color w:val="auto"/>
          <w:sz w:val="36"/>
          <w:szCs w:val="36"/>
          <w:u w:val="none" w:color="auto"/>
          <w:lang w:val="en-US" w:eastAsia="zh-CN"/>
        </w:rPr>
      </w:pPr>
      <w:r>
        <w:rPr>
          <w:rFonts w:hint="eastAsia" w:ascii="仿宋_GB2312" w:eastAsia="仿宋_GB2312"/>
          <w:color w:val="auto"/>
          <w:sz w:val="36"/>
          <w:szCs w:val="36"/>
          <w:u w:val="none" w:color="auto"/>
        </w:rPr>
        <w:t>编制日期：</w:t>
      </w:r>
      <w:r>
        <w:rPr>
          <w:rFonts w:hint="eastAsia" w:ascii="仿宋_GB2312" w:eastAsia="仿宋_GB2312"/>
          <w:color w:val="auto"/>
          <w:sz w:val="36"/>
          <w:szCs w:val="36"/>
          <w:u w:val="none" w:color="auto"/>
          <w:lang w:val="en-US" w:eastAsia="zh-CN"/>
        </w:rPr>
        <w:t xml:space="preserve">        二〇二四年十月        </w:t>
      </w:r>
    </w:p>
    <w:p>
      <w:pPr>
        <w:adjustRightInd w:val="0"/>
        <w:snapToGrid w:val="0"/>
        <w:spacing w:line="288" w:lineRule="auto"/>
        <w:rPr>
          <w:rFonts w:ascii="仿宋_GB2312" w:eastAsia="仿宋_GB2312"/>
          <w:color w:val="auto"/>
          <w:sz w:val="36"/>
          <w:szCs w:val="36"/>
          <w:u w:val="none" w:color="auto"/>
        </w:rPr>
      </w:pPr>
      <w:bookmarkStart w:id="0" w:name="_Hlk57884087"/>
    </w:p>
    <w:p>
      <w:pPr>
        <w:adjustRightInd w:val="0"/>
        <w:snapToGrid w:val="0"/>
        <w:spacing w:line="288" w:lineRule="auto"/>
        <w:rPr>
          <w:rFonts w:ascii="仿宋_GB2312" w:eastAsia="仿宋_GB2312"/>
          <w:color w:val="auto"/>
          <w:sz w:val="36"/>
          <w:szCs w:val="36"/>
          <w:u w:val="none" w:color="auto"/>
        </w:rPr>
      </w:pPr>
    </w:p>
    <w:p>
      <w:pPr>
        <w:adjustRightInd w:val="0"/>
        <w:snapToGrid w:val="0"/>
        <w:spacing w:line="288" w:lineRule="auto"/>
        <w:rPr>
          <w:rFonts w:ascii="仿宋_GB2312" w:eastAsia="仿宋_GB2312"/>
          <w:color w:val="auto"/>
          <w:sz w:val="36"/>
          <w:szCs w:val="36"/>
          <w:u w:val="none" w:color="auto"/>
        </w:rPr>
      </w:pPr>
    </w:p>
    <w:p>
      <w:pPr>
        <w:adjustRightInd w:val="0"/>
        <w:snapToGrid w:val="0"/>
        <w:spacing w:line="288" w:lineRule="auto"/>
        <w:rPr>
          <w:rFonts w:hint="eastAsia" w:ascii="仿宋_GB2312" w:eastAsia="仿宋_GB2312"/>
          <w:color w:val="auto"/>
          <w:sz w:val="36"/>
          <w:szCs w:val="36"/>
          <w:u w:val="none" w:color="auto"/>
        </w:rPr>
      </w:pPr>
    </w:p>
    <w:p>
      <w:pPr>
        <w:adjustRightInd w:val="0"/>
        <w:snapToGrid w:val="0"/>
        <w:spacing w:line="288" w:lineRule="auto"/>
        <w:rPr>
          <w:rFonts w:hint="eastAsia" w:ascii="仿宋_GB2312" w:eastAsia="仿宋_GB2312"/>
          <w:color w:val="auto"/>
          <w:sz w:val="36"/>
          <w:szCs w:val="36"/>
          <w:u w:val="none" w:color="auto"/>
        </w:rPr>
      </w:pPr>
    </w:p>
    <w:bookmarkEnd w:id="0"/>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hint="eastAsia" w:ascii="楷体_GB2312" w:eastAsia="楷体_GB2312"/>
          <w:color w:val="auto"/>
          <w:sz w:val="36"/>
          <w:szCs w:val="36"/>
          <w:u w:val="none" w:color="auto"/>
        </w:rPr>
      </w:pPr>
      <w:r>
        <w:rPr>
          <w:rFonts w:hint="eastAsia" w:ascii="楷体_GB2312" w:eastAsia="楷体_GB2312"/>
          <w:color w:val="auto"/>
          <w:sz w:val="36"/>
          <w:szCs w:val="36"/>
          <w:u w:val="none" w:color="auto"/>
        </w:rPr>
        <w:t>中华人民共和国生态环境部制</w:t>
      </w:r>
    </w:p>
    <w:p>
      <w:pPr>
        <w:adjustRightInd w:val="0"/>
        <w:snapToGrid w:val="0"/>
        <w:spacing w:line="288" w:lineRule="auto"/>
        <w:ind w:left="0" w:leftChars="0" w:firstLine="0" w:firstLineChars="0"/>
        <w:rPr>
          <w:rFonts w:ascii="仿宋_GB2312" w:eastAsia="仿宋_GB2312"/>
          <w:color w:val="auto"/>
          <w:sz w:val="36"/>
          <w:szCs w:val="36"/>
          <w:u w:val="none" w:color="auto"/>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pPr>
        <w:adjustRightInd w:val="0"/>
        <w:snapToGrid w:val="0"/>
        <w:spacing w:after="62" w:afterLines="20" w:line="240" w:lineRule="auto"/>
        <w:jc w:val="center"/>
        <w:rPr>
          <w:rFonts w:ascii="宋体" w:hAnsi="宋体" w:eastAsia="宋体"/>
          <w:b/>
          <w:bCs/>
          <w:color w:val="auto"/>
          <w:sz w:val="36"/>
          <w:szCs w:val="44"/>
          <w:u w:val="none" w:color="auto"/>
        </w:rPr>
      </w:pPr>
      <w:r>
        <w:rPr>
          <w:rFonts w:ascii="宋体" w:hAnsi="宋体" w:eastAsia="宋体"/>
          <w:b/>
          <w:bCs/>
          <w:color w:val="auto"/>
          <w:sz w:val="36"/>
          <w:szCs w:val="44"/>
          <w:u w:val="none" w:color="auto"/>
        </w:rPr>
        <w:t>目</w:t>
      </w:r>
      <w:r>
        <w:rPr>
          <w:rFonts w:hint="eastAsia" w:ascii="宋体" w:hAnsi="宋体" w:eastAsia="宋体"/>
          <w:b/>
          <w:bCs/>
          <w:color w:val="auto"/>
          <w:sz w:val="36"/>
          <w:szCs w:val="44"/>
          <w:u w:val="none" w:color="auto"/>
          <w:lang w:val="en-US" w:eastAsia="zh-CN"/>
        </w:rPr>
        <w:t xml:space="preserve">   </w:t>
      </w:r>
      <w:r>
        <w:rPr>
          <w:rFonts w:ascii="宋体" w:hAnsi="宋体" w:eastAsia="宋体"/>
          <w:b/>
          <w:bCs/>
          <w:color w:val="auto"/>
          <w:sz w:val="36"/>
          <w:szCs w:val="44"/>
          <w:u w:val="none" w:color="auto"/>
        </w:rPr>
        <w:t>录</w:t>
      </w:r>
    </w:p>
    <w:p>
      <w:pPr>
        <w:spacing w:before="0" w:beforeLines="0" w:after="0" w:afterLines="0" w:line="240" w:lineRule="auto"/>
        <w:ind w:left="0" w:leftChars="0" w:right="0" w:rightChars="0" w:firstLine="0" w:firstLineChars="0"/>
        <w:jc w:val="center"/>
        <w:rPr>
          <w:rFonts w:ascii="宋体" w:hAnsi="宋体" w:eastAsia="宋体"/>
          <w:b/>
          <w:bCs/>
          <w:color w:val="auto"/>
          <w:sz w:val="36"/>
          <w:szCs w:val="44"/>
          <w:u w:val="none" w:color="auto"/>
        </w:rPr>
      </w:pPr>
    </w:p>
    <w:p>
      <w:pPr>
        <w:pStyle w:val="17"/>
        <w:tabs>
          <w:tab w:val="right" w:leader="dot" w:pos="8844"/>
        </w:tabs>
        <w:rPr>
          <w:color w:val="auto"/>
        </w:rPr>
      </w:pPr>
      <w:r>
        <w:rPr>
          <w:rFonts w:hint="default" w:ascii="Times New Roman" w:hAnsi="Times New Roman" w:eastAsia="宋体" w:cs="Times New Roman"/>
          <w:color w:val="auto"/>
          <w:sz w:val="28"/>
          <w:szCs w:val="28"/>
          <w:u w:val="none" w:color="auto"/>
        </w:rPr>
        <w:fldChar w:fldCharType="begin"/>
      </w:r>
      <w:r>
        <w:rPr>
          <w:rFonts w:hint="default" w:ascii="Times New Roman" w:hAnsi="Times New Roman" w:eastAsia="宋体" w:cs="Times New Roman"/>
          <w:color w:val="auto"/>
          <w:sz w:val="28"/>
          <w:szCs w:val="28"/>
          <w:u w:val="none" w:color="auto"/>
        </w:rPr>
        <w:instrText xml:space="preserve">TOC \o "1-1" \h \u </w:instrText>
      </w:r>
      <w:r>
        <w:rPr>
          <w:rFonts w:hint="default" w:ascii="Times New Roman" w:hAnsi="Times New Roman" w:eastAsia="宋体" w:cs="Times New Roman"/>
          <w:color w:val="auto"/>
          <w:sz w:val="28"/>
          <w:szCs w:val="28"/>
          <w:u w:val="none" w:color="auto"/>
        </w:rPr>
        <w:fldChar w:fldCharType="separate"/>
      </w:r>
      <w:r>
        <w:rPr>
          <w:rFonts w:hint="default" w:ascii="Times New Roman" w:hAnsi="Times New Roman" w:eastAsia="宋体" w:cs="Times New Roman"/>
          <w:color w:val="auto"/>
          <w:szCs w:val="28"/>
          <w:u w:val="none" w:color="auto"/>
        </w:rPr>
        <w:fldChar w:fldCharType="begin"/>
      </w:r>
      <w:r>
        <w:rPr>
          <w:rFonts w:hint="default" w:ascii="Times New Roman" w:hAnsi="Times New Roman" w:eastAsia="宋体" w:cs="Times New Roman"/>
          <w:color w:val="auto"/>
          <w:szCs w:val="28"/>
        </w:rPr>
        <w:instrText xml:space="preserve"> HYPERLINK \l _Toc8278 </w:instrText>
      </w:r>
      <w:r>
        <w:rPr>
          <w:rFonts w:hint="default" w:ascii="Times New Roman" w:hAnsi="Times New Roman" w:eastAsia="宋体" w:cs="Times New Roman"/>
          <w:color w:val="auto"/>
          <w:szCs w:val="28"/>
        </w:rPr>
        <w:fldChar w:fldCharType="separate"/>
      </w:r>
      <w:r>
        <w:rPr>
          <w:rFonts w:hint="eastAsia" w:ascii="黑体" w:hAnsi="黑体" w:eastAsia="黑体"/>
          <w:snapToGrid w:val="0"/>
          <w:color w:val="auto"/>
          <w:szCs w:val="30"/>
        </w:rPr>
        <w:t>一、建设项目基本情况</w:t>
      </w:r>
      <w:r>
        <w:rPr>
          <w:color w:val="auto"/>
        </w:rPr>
        <w:tab/>
      </w:r>
      <w:r>
        <w:rPr>
          <w:color w:val="auto"/>
        </w:rPr>
        <w:fldChar w:fldCharType="begin"/>
      </w:r>
      <w:r>
        <w:rPr>
          <w:color w:val="auto"/>
        </w:rPr>
        <w:instrText xml:space="preserve"> PAGEREF _Toc8278 \h </w:instrText>
      </w:r>
      <w:r>
        <w:rPr>
          <w:color w:val="auto"/>
        </w:rPr>
        <w:fldChar w:fldCharType="separate"/>
      </w:r>
      <w:r>
        <w:rPr>
          <w:color w:val="auto"/>
        </w:rPr>
        <w:t>1</w:t>
      </w:r>
      <w:r>
        <w:rPr>
          <w:color w:val="auto"/>
        </w:rPr>
        <w:fldChar w:fldCharType="end"/>
      </w:r>
      <w:r>
        <w:rPr>
          <w:rFonts w:hint="default" w:ascii="Times New Roman" w:hAnsi="Times New Roman" w:eastAsia="宋体" w:cs="Times New Roman"/>
          <w:color w:val="auto"/>
          <w:szCs w:val="28"/>
          <w:u w:val="none" w:color="auto"/>
        </w:rPr>
        <w:fldChar w:fldCharType="end"/>
      </w:r>
    </w:p>
    <w:p>
      <w:pPr>
        <w:pStyle w:val="17"/>
        <w:tabs>
          <w:tab w:val="right" w:leader="dot" w:pos="8844"/>
        </w:tabs>
        <w:rPr>
          <w:color w:val="auto"/>
        </w:rPr>
      </w:pPr>
      <w:r>
        <w:rPr>
          <w:rFonts w:hint="default" w:ascii="Times New Roman" w:hAnsi="Times New Roman" w:eastAsia="宋体" w:cs="Times New Roman"/>
          <w:color w:val="auto"/>
          <w:szCs w:val="28"/>
          <w:u w:val="none" w:color="auto"/>
        </w:rPr>
        <w:fldChar w:fldCharType="begin"/>
      </w:r>
      <w:r>
        <w:rPr>
          <w:rFonts w:hint="default" w:ascii="Times New Roman" w:hAnsi="Times New Roman" w:eastAsia="宋体" w:cs="Times New Roman"/>
          <w:color w:val="auto"/>
          <w:szCs w:val="28"/>
        </w:rPr>
        <w:instrText xml:space="preserve"> HYPERLINK \l _Toc12229 </w:instrText>
      </w:r>
      <w:r>
        <w:rPr>
          <w:rFonts w:hint="default" w:ascii="Times New Roman" w:hAnsi="Times New Roman" w:eastAsia="宋体" w:cs="Times New Roman"/>
          <w:color w:val="auto"/>
          <w:szCs w:val="28"/>
        </w:rPr>
        <w:fldChar w:fldCharType="separate"/>
      </w:r>
      <w:r>
        <w:rPr>
          <w:rFonts w:hint="eastAsia" w:ascii="黑体" w:hAnsi="黑体" w:eastAsia="黑体"/>
          <w:snapToGrid w:val="0"/>
          <w:color w:val="auto"/>
          <w:szCs w:val="30"/>
        </w:rPr>
        <w:t>二、建设</w:t>
      </w:r>
      <w:r>
        <w:rPr>
          <w:rFonts w:hint="eastAsia" w:ascii="黑体" w:hAnsi="黑体" w:eastAsia="黑体" w:cs="Times New Roman"/>
          <w:snapToGrid w:val="0"/>
          <w:color w:val="auto"/>
          <w:szCs w:val="30"/>
        </w:rPr>
        <w:t>项目</w:t>
      </w:r>
      <w:r>
        <w:rPr>
          <w:rFonts w:hint="eastAsia" w:ascii="黑体" w:hAnsi="黑体" w:eastAsia="黑体"/>
          <w:snapToGrid w:val="0"/>
          <w:color w:val="auto"/>
          <w:szCs w:val="30"/>
        </w:rPr>
        <w:t>工程分析</w:t>
      </w:r>
      <w:r>
        <w:rPr>
          <w:color w:val="auto"/>
        </w:rPr>
        <w:tab/>
      </w:r>
      <w:r>
        <w:rPr>
          <w:color w:val="auto"/>
        </w:rPr>
        <w:fldChar w:fldCharType="begin"/>
      </w:r>
      <w:r>
        <w:rPr>
          <w:color w:val="auto"/>
        </w:rPr>
        <w:instrText xml:space="preserve"> PAGEREF _Toc12229 \h </w:instrText>
      </w:r>
      <w:r>
        <w:rPr>
          <w:color w:val="auto"/>
        </w:rPr>
        <w:fldChar w:fldCharType="separate"/>
      </w:r>
      <w:r>
        <w:rPr>
          <w:color w:val="auto"/>
        </w:rPr>
        <w:t>7</w:t>
      </w:r>
      <w:r>
        <w:rPr>
          <w:color w:val="auto"/>
        </w:rPr>
        <w:fldChar w:fldCharType="end"/>
      </w:r>
      <w:r>
        <w:rPr>
          <w:rFonts w:hint="default" w:ascii="Times New Roman" w:hAnsi="Times New Roman" w:eastAsia="宋体" w:cs="Times New Roman"/>
          <w:color w:val="auto"/>
          <w:szCs w:val="28"/>
          <w:u w:val="none" w:color="auto"/>
        </w:rPr>
        <w:fldChar w:fldCharType="end"/>
      </w:r>
    </w:p>
    <w:p>
      <w:pPr>
        <w:pStyle w:val="17"/>
        <w:tabs>
          <w:tab w:val="right" w:leader="dot" w:pos="8844"/>
        </w:tabs>
        <w:rPr>
          <w:color w:val="auto"/>
        </w:rPr>
      </w:pPr>
      <w:r>
        <w:rPr>
          <w:rFonts w:hint="default" w:ascii="Times New Roman" w:hAnsi="Times New Roman" w:eastAsia="宋体" w:cs="Times New Roman"/>
          <w:color w:val="auto"/>
          <w:szCs w:val="28"/>
          <w:u w:val="none" w:color="auto"/>
        </w:rPr>
        <w:fldChar w:fldCharType="begin"/>
      </w:r>
      <w:r>
        <w:rPr>
          <w:rFonts w:hint="default" w:ascii="Times New Roman" w:hAnsi="Times New Roman" w:eastAsia="宋体" w:cs="Times New Roman"/>
          <w:color w:val="auto"/>
          <w:szCs w:val="28"/>
        </w:rPr>
        <w:instrText xml:space="preserve"> HYPERLINK \l _Toc20626 </w:instrText>
      </w:r>
      <w:r>
        <w:rPr>
          <w:rFonts w:hint="default" w:ascii="Times New Roman" w:hAnsi="Times New Roman" w:eastAsia="宋体" w:cs="Times New Roman"/>
          <w:color w:val="auto"/>
          <w:szCs w:val="28"/>
        </w:rPr>
        <w:fldChar w:fldCharType="separate"/>
      </w:r>
      <w:r>
        <w:rPr>
          <w:rFonts w:hint="eastAsia" w:ascii="黑体" w:hAnsi="黑体" w:eastAsia="黑体"/>
          <w:snapToGrid w:val="0"/>
          <w:color w:val="auto"/>
          <w:szCs w:val="30"/>
        </w:rPr>
        <w:t>三、区域环境质量现状、环境保护目标及评价标准</w:t>
      </w:r>
      <w:r>
        <w:rPr>
          <w:color w:val="auto"/>
        </w:rPr>
        <w:tab/>
      </w:r>
      <w:r>
        <w:rPr>
          <w:color w:val="auto"/>
        </w:rPr>
        <w:fldChar w:fldCharType="begin"/>
      </w:r>
      <w:r>
        <w:rPr>
          <w:color w:val="auto"/>
        </w:rPr>
        <w:instrText xml:space="preserve"> PAGEREF _Toc20626 \h </w:instrText>
      </w:r>
      <w:r>
        <w:rPr>
          <w:color w:val="auto"/>
        </w:rPr>
        <w:fldChar w:fldCharType="separate"/>
      </w:r>
      <w:r>
        <w:rPr>
          <w:color w:val="auto"/>
        </w:rPr>
        <w:t>22</w:t>
      </w:r>
      <w:r>
        <w:rPr>
          <w:color w:val="auto"/>
        </w:rPr>
        <w:fldChar w:fldCharType="end"/>
      </w:r>
      <w:r>
        <w:rPr>
          <w:rFonts w:hint="default" w:ascii="Times New Roman" w:hAnsi="Times New Roman" w:eastAsia="宋体" w:cs="Times New Roman"/>
          <w:color w:val="auto"/>
          <w:szCs w:val="28"/>
          <w:u w:val="none" w:color="auto"/>
        </w:rPr>
        <w:fldChar w:fldCharType="end"/>
      </w:r>
    </w:p>
    <w:p>
      <w:pPr>
        <w:pStyle w:val="17"/>
        <w:tabs>
          <w:tab w:val="right" w:leader="dot" w:pos="8844"/>
        </w:tabs>
        <w:rPr>
          <w:color w:val="auto"/>
        </w:rPr>
      </w:pPr>
      <w:r>
        <w:rPr>
          <w:rFonts w:hint="default" w:ascii="Times New Roman" w:hAnsi="Times New Roman" w:eastAsia="宋体" w:cs="Times New Roman"/>
          <w:color w:val="auto"/>
          <w:szCs w:val="28"/>
          <w:u w:val="none" w:color="auto"/>
        </w:rPr>
        <w:fldChar w:fldCharType="begin"/>
      </w:r>
      <w:r>
        <w:rPr>
          <w:rFonts w:hint="default" w:ascii="Times New Roman" w:hAnsi="Times New Roman" w:eastAsia="宋体" w:cs="Times New Roman"/>
          <w:color w:val="auto"/>
          <w:szCs w:val="28"/>
        </w:rPr>
        <w:instrText xml:space="preserve"> HYPERLINK \l _Toc24144 </w:instrText>
      </w:r>
      <w:r>
        <w:rPr>
          <w:rFonts w:hint="default" w:ascii="Times New Roman" w:hAnsi="Times New Roman" w:eastAsia="宋体" w:cs="Times New Roman"/>
          <w:color w:val="auto"/>
          <w:szCs w:val="28"/>
        </w:rPr>
        <w:fldChar w:fldCharType="separate"/>
      </w:r>
      <w:r>
        <w:rPr>
          <w:rFonts w:hint="eastAsia" w:ascii="黑体" w:hAnsi="黑体" w:eastAsia="黑体"/>
          <w:snapToGrid w:val="0"/>
          <w:color w:val="auto"/>
          <w:szCs w:val="30"/>
        </w:rPr>
        <w:t>四、主要</w:t>
      </w:r>
      <w:r>
        <w:rPr>
          <w:rFonts w:hint="eastAsia" w:ascii="黑体" w:hAnsi="黑体" w:eastAsia="黑体" w:cs="Times New Roman"/>
          <w:snapToGrid w:val="0"/>
          <w:color w:val="auto"/>
          <w:szCs w:val="30"/>
        </w:rPr>
        <w:t>环境</w:t>
      </w:r>
      <w:r>
        <w:rPr>
          <w:rFonts w:hint="eastAsia" w:ascii="黑体" w:hAnsi="黑体" w:eastAsia="黑体"/>
          <w:snapToGrid w:val="0"/>
          <w:color w:val="auto"/>
          <w:szCs w:val="30"/>
        </w:rPr>
        <w:t>影响和保护措施</w:t>
      </w:r>
      <w:r>
        <w:rPr>
          <w:color w:val="auto"/>
        </w:rPr>
        <w:tab/>
      </w:r>
      <w:r>
        <w:rPr>
          <w:color w:val="auto"/>
        </w:rPr>
        <w:fldChar w:fldCharType="begin"/>
      </w:r>
      <w:r>
        <w:rPr>
          <w:color w:val="auto"/>
        </w:rPr>
        <w:instrText xml:space="preserve"> PAGEREF _Toc24144 \h </w:instrText>
      </w:r>
      <w:r>
        <w:rPr>
          <w:color w:val="auto"/>
        </w:rPr>
        <w:fldChar w:fldCharType="separate"/>
      </w:r>
      <w:r>
        <w:rPr>
          <w:color w:val="auto"/>
        </w:rPr>
        <w:t>28</w:t>
      </w:r>
      <w:r>
        <w:rPr>
          <w:color w:val="auto"/>
        </w:rPr>
        <w:fldChar w:fldCharType="end"/>
      </w:r>
      <w:r>
        <w:rPr>
          <w:rFonts w:hint="default" w:ascii="Times New Roman" w:hAnsi="Times New Roman" w:eastAsia="宋体" w:cs="Times New Roman"/>
          <w:color w:val="auto"/>
          <w:szCs w:val="28"/>
          <w:u w:val="none" w:color="auto"/>
        </w:rPr>
        <w:fldChar w:fldCharType="end"/>
      </w:r>
    </w:p>
    <w:p>
      <w:pPr>
        <w:pStyle w:val="17"/>
        <w:tabs>
          <w:tab w:val="right" w:leader="dot" w:pos="8844"/>
        </w:tabs>
        <w:rPr>
          <w:color w:val="auto"/>
        </w:rPr>
      </w:pPr>
      <w:r>
        <w:rPr>
          <w:rFonts w:hint="default" w:ascii="Times New Roman" w:hAnsi="Times New Roman" w:eastAsia="宋体" w:cs="Times New Roman"/>
          <w:color w:val="auto"/>
          <w:szCs w:val="28"/>
          <w:u w:val="none" w:color="auto"/>
        </w:rPr>
        <w:fldChar w:fldCharType="begin"/>
      </w:r>
      <w:r>
        <w:rPr>
          <w:rFonts w:hint="default" w:ascii="Times New Roman" w:hAnsi="Times New Roman" w:eastAsia="宋体" w:cs="Times New Roman"/>
          <w:color w:val="auto"/>
          <w:szCs w:val="28"/>
        </w:rPr>
        <w:instrText xml:space="preserve"> HYPERLINK \l _Toc3157 </w:instrText>
      </w:r>
      <w:r>
        <w:rPr>
          <w:rFonts w:hint="default" w:ascii="Times New Roman" w:hAnsi="Times New Roman" w:eastAsia="宋体" w:cs="Times New Roman"/>
          <w:color w:val="auto"/>
          <w:szCs w:val="28"/>
        </w:rPr>
        <w:fldChar w:fldCharType="separate"/>
      </w:r>
      <w:r>
        <w:rPr>
          <w:rFonts w:hint="eastAsia" w:ascii="黑体" w:hAnsi="黑体" w:eastAsia="黑体"/>
          <w:snapToGrid w:val="0"/>
          <w:color w:val="auto"/>
          <w:szCs w:val="30"/>
        </w:rPr>
        <w:t>五、环境保护</w:t>
      </w:r>
      <w:r>
        <w:rPr>
          <w:rFonts w:hint="eastAsia" w:ascii="黑体" w:hAnsi="黑体" w:eastAsia="黑体" w:cs="Times New Roman"/>
          <w:snapToGrid w:val="0"/>
          <w:color w:val="auto"/>
          <w:szCs w:val="30"/>
        </w:rPr>
        <w:t>措施</w:t>
      </w:r>
      <w:r>
        <w:rPr>
          <w:rFonts w:hint="eastAsia" w:ascii="黑体" w:hAnsi="黑体" w:eastAsia="黑体"/>
          <w:snapToGrid w:val="0"/>
          <w:color w:val="auto"/>
          <w:szCs w:val="30"/>
        </w:rPr>
        <w:t>监督检查清单</w:t>
      </w:r>
      <w:r>
        <w:rPr>
          <w:color w:val="auto"/>
        </w:rPr>
        <w:tab/>
      </w:r>
      <w:r>
        <w:rPr>
          <w:color w:val="auto"/>
        </w:rPr>
        <w:fldChar w:fldCharType="begin"/>
      </w:r>
      <w:r>
        <w:rPr>
          <w:color w:val="auto"/>
        </w:rPr>
        <w:instrText xml:space="preserve"> PAGEREF _Toc3157 \h </w:instrText>
      </w:r>
      <w:r>
        <w:rPr>
          <w:color w:val="auto"/>
        </w:rPr>
        <w:fldChar w:fldCharType="separate"/>
      </w:r>
      <w:r>
        <w:rPr>
          <w:color w:val="auto"/>
        </w:rPr>
        <w:t>55</w:t>
      </w:r>
      <w:r>
        <w:rPr>
          <w:color w:val="auto"/>
        </w:rPr>
        <w:fldChar w:fldCharType="end"/>
      </w:r>
      <w:r>
        <w:rPr>
          <w:rFonts w:hint="default" w:ascii="Times New Roman" w:hAnsi="Times New Roman" w:eastAsia="宋体" w:cs="Times New Roman"/>
          <w:color w:val="auto"/>
          <w:szCs w:val="28"/>
          <w:u w:val="none" w:color="auto"/>
        </w:rPr>
        <w:fldChar w:fldCharType="end"/>
      </w:r>
    </w:p>
    <w:p>
      <w:pPr>
        <w:pStyle w:val="17"/>
        <w:tabs>
          <w:tab w:val="right" w:leader="dot" w:pos="8844"/>
        </w:tabs>
        <w:rPr>
          <w:color w:val="auto"/>
        </w:rPr>
      </w:pPr>
      <w:r>
        <w:rPr>
          <w:rFonts w:hint="default" w:ascii="Times New Roman" w:hAnsi="Times New Roman" w:eastAsia="宋体" w:cs="Times New Roman"/>
          <w:color w:val="auto"/>
          <w:szCs w:val="28"/>
          <w:u w:val="none" w:color="auto"/>
        </w:rPr>
        <w:fldChar w:fldCharType="begin"/>
      </w:r>
      <w:r>
        <w:rPr>
          <w:rFonts w:hint="default" w:ascii="Times New Roman" w:hAnsi="Times New Roman" w:eastAsia="宋体" w:cs="Times New Roman"/>
          <w:color w:val="auto"/>
          <w:szCs w:val="28"/>
        </w:rPr>
        <w:instrText xml:space="preserve"> HYPERLINK \l _Toc17788 </w:instrText>
      </w:r>
      <w:r>
        <w:rPr>
          <w:rFonts w:hint="default" w:ascii="Times New Roman" w:hAnsi="Times New Roman" w:eastAsia="宋体" w:cs="Times New Roman"/>
          <w:color w:val="auto"/>
          <w:szCs w:val="28"/>
        </w:rPr>
        <w:fldChar w:fldCharType="separate"/>
      </w:r>
      <w:r>
        <w:rPr>
          <w:rFonts w:hint="eastAsia" w:ascii="黑体" w:hAnsi="黑体" w:eastAsia="黑体"/>
          <w:snapToGrid w:val="0"/>
          <w:color w:val="auto"/>
          <w:szCs w:val="30"/>
        </w:rPr>
        <w:t>六、</w:t>
      </w:r>
      <w:r>
        <w:rPr>
          <w:rFonts w:hint="eastAsia" w:ascii="黑体" w:hAnsi="黑体" w:eastAsia="黑体" w:cs="Times New Roman"/>
          <w:snapToGrid w:val="0"/>
          <w:color w:val="auto"/>
          <w:szCs w:val="30"/>
        </w:rPr>
        <w:t>结论</w:t>
      </w:r>
      <w:r>
        <w:rPr>
          <w:color w:val="auto"/>
        </w:rPr>
        <w:tab/>
      </w:r>
      <w:r>
        <w:rPr>
          <w:color w:val="auto"/>
        </w:rPr>
        <w:fldChar w:fldCharType="begin"/>
      </w:r>
      <w:r>
        <w:rPr>
          <w:color w:val="auto"/>
        </w:rPr>
        <w:instrText xml:space="preserve"> PAGEREF _Toc17788 \h </w:instrText>
      </w:r>
      <w:r>
        <w:rPr>
          <w:color w:val="auto"/>
        </w:rPr>
        <w:fldChar w:fldCharType="separate"/>
      </w:r>
      <w:r>
        <w:rPr>
          <w:color w:val="auto"/>
        </w:rPr>
        <w:t>58</w:t>
      </w:r>
      <w:r>
        <w:rPr>
          <w:color w:val="auto"/>
        </w:rPr>
        <w:fldChar w:fldCharType="end"/>
      </w:r>
      <w:r>
        <w:rPr>
          <w:rFonts w:hint="default" w:ascii="Times New Roman" w:hAnsi="Times New Roman" w:eastAsia="宋体" w:cs="Times New Roman"/>
          <w:color w:val="auto"/>
          <w:szCs w:val="28"/>
          <w:u w:val="none" w:color="auto"/>
        </w:rPr>
        <w:fldChar w:fldCharType="end"/>
      </w:r>
    </w:p>
    <w:p>
      <w:pPr>
        <w:adjustRightInd w:val="0"/>
        <w:snapToGrid w:val="0"/>
        <w:spacing w:line="360" w:lineRule="auto"/>
        <w:ind w:left="0" w:leftChars="0" w:firstLine="0" w:firstLineChars="0"/>
        <w:jc w:val="center"/>
        <w:rPr>
          <w:color w:val="auto"/>
          <w:u w:val="none" w:color="auto"/>
        </w:rPr>
        <w:sectPr>
          <w:head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hint="default" w:ascii="Times New Roman" w:hAnsi="Times New Roman" w:eastAsia="宋体" w:cs="Times New Roman"/>
          <w:color w:val="auto"/>
          <w:szCs w:val="28"/>
          <w:u w:val="none" w:color="auto"/>
        </w:rPr>
        <w:fldChar w:fldCharType="end"/>
      </w:r>
    </w:p>
    <w:p>
      <w:pPr>
        <w:pStyle w:val="18"/>
        <w:jc w:val="left"/>
        <w:outlineLvl w:val="0"/>
        <w:rPr>
          <w:rFonts w:hint="eastAsia" w:ascii="黑体" w:hAnsi="黑体" w:eastAsia="黑体"/>
          <w:snapToGrid w:val="0"/>
          <w:color w:val="auto"/>
          <w:sz w:val="30"/>
          <w:szCs w:val="30"/>
          <w:u w:val="none" w:color="auto"/>
        </w:rPr>
      </w:pPr>
      <w:bookmarkStart w:id="1" w:name="_Toc8278"/>
      <w:r>
        <w:rPr>
          <w:rFonts w:hint="eastAsia" w:ascii="黑体" w:hAnsi="黑体" w:eastAsia="黑体"/>
          <w:snapToGrid w:val="0"/>
          <w:color w:val="auto"/>
          <w:sz w:val="30"/>
          <w:szCs w:val="30"/>
          <w:u w:val="none" w:color="auto"/>
        </w:rPr>
        <w:t>一、建设项目基本情况</w:t>
      </w:r>
      <w:bookmarkEnd w:id="1"/>
    </w:p>
    <w:tbl>
      <w:tblPr>
        <w:tblStyle w:val="20"/>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23"/>
        <w:gridCol w:w="2696"/>
        <w:gridCol w:w="1944"/>
        <w:gridCol w:w="29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名称</w:t>
            </w:r>
          </w:p>
        </w:tc>
        <w:tc>
          <w:tcPr>
            <w:tcW w:w="7547" w:type="dxa"/>
            <w:gridSpan w:val="3"/>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eastAsia="zh-CN"/>
              </w:rPr>
              <w:t>湘阴县人民医院医疗副中心（二期）东塘卫生院分中心建设项目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项目代码</w:t>
            </w:r>
          </w:p>
        </w:tc>
        <w:tc>
          <w:tcPr>
            <w:tcW w:w="7547" w:type="dxa"/>
            <w:gridSpan w:val="3"/>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2207-430624-04-01-168882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建设单位</w:t>
            </w:r>
          </w:p>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联系人</w:t>
            </w:r>
          </w:p>
        </w:tc>
        <w:tc>
          <w:tcPr>
            <w:tcW w:w="2696" w:type="dxa"/>
            <w:noWrap w:val="0"/>
            <w:vAlign w:val="center"/>
          </w:tcPr>
          <w:p>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吴**</w:t>
            </w:r>
            <w:bookmarkStart w:id="14" w:name="_GoBack"/>
            <w:bookmarkEnd w:id="14"/>
          </w:p>
        </w:tc>
        <w:tc>
          <w:tcPr>
            <w:tcW w:w="1944" w:type="dxa"/>
            <w:noWrap w:val="0"/>
            <w:vAlign w:val="center"/>
          </w:tcPr>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联系方式</w:t>
            </w:r>
          </w:p>
        </w:tc>
        <w:tc>
          <w:tcPr>
            <w:tcW w:w="2907" w:type="dxa"/>
            <w:noWrap w:val="0"/>
            <w:vAlign w:val="center"/>
          </w:tcPr>
          <w:p>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1387409****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建设地点</w:t>
            </w:r>
          </w:p>
        </w:tc>
        <w:tc>
          <w:tcPr>
            <w:tcW w:w="7547" w:type="dxa"/>
            <w:gridSpan w:val="3"/>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湖南</w:t>
            </w:r>
            <w:r>
              <w:rPr>
                <w:rFonts w:hint="default" w:ascii="Times New Roman" w:hAnsi="Times New Roman" w:cs="Times New Roman"/>
                <w:color w:val="auto"/>
                <w:sz w:val="24"/>
                <w:szCs w:val="24"/>
                <w:u w:val="none" w:color="auto"/>
              </w:rPr>
              <w:t>省</w:t>
            </w:r>
            <w:r>
              <w:rPr>
                <w:rFonts w:hint="default" w:ascii="Times New Roman" w:hAnsi="Times New Roman" w:cs="Times New Roman"/>
                <w:color w:val="auto"/>
                <w:sz w:val="24"/>
                <w:szCs w:val="24"/>
                <w:u w:val="none" w:color="auto"/>
                <w:lang w:val="en-US" w:eastAsia="zh-CN"/>
              </w:rPr>
              <w:t>岳阳</w:t>
            </w:r>
            <w:r>
              <w:rPr>
                <w:rFonts w:hint="default" w:ascii="Times New Roman" w:hAnsi="Times New Roman" w:cs="Times New Roman"/>
                <w:color w:val="auto"/>
                <w:sz w:val="24"/>
                <w:szCs w:val="24"/>
                <w:u w:val="none" w:color="auto"/>
              </w:rPr>
              <w:t>市</w:t>
            </w:r>
            <w:r>
              <w:rPr>
                <w:rFonts w:hint="default" w:ascii="Times New Roman" w:hAnsi="Times New Roman" w:cs="Times New Roman"/>
                <w:color w:val="auto"/>
                <w:sz w:val="24"/>
                <w:szCs w:val="24"/>
                <w:u w:val="none" w:color="auto"/>
                <w:lang w:val="en-US" w:eastAsia="zh-CN"/>
              </w:rPr>
              <w:t>湘阴</w:t>
            </w:r>
            <w:r>
              <w:rPr>
                <w:rFonts w:hint="default" w:ascii="Times New Roman" w:hAnsi="Times New Roman" w:cs="Times New Roman"/>
                <w:color w:val="auto"/>
                <w:sz w:val="24"/>
                <w:szCs w:val="24"/>
                <w:u w:val="none" w:color="auto"/>
              </w:rPr>
              <w:t>县</w:t>
            </w:r>
            <w:r>
              <w:rPr>
                <w:rFonts w:hint="eastAsia" w:ascii="Times New Roman" w:hAnsi="Times New Roman" w:cs="Times New Roman"/>
                <w:color w:val="auto"/>
                <w:sz w:val="24"/>
                <w:szCs w:val="24"/>
                <w:u w:val="none" w:color="auto"/>
                <w:lang w:val="en-US" w:eastAsia="zh-CN"/>
              </w:rPr>
              <w:t>东塘镇文卫路1号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地理坐标</w:t>
            </w:r>
          </w:p>
        </w:tc>
        <w:tc>
          <w:tcPr>
            <w:tcW w:w="7547" w:type="dxa"/>
            <w:gridSpan w:val="3"/>
            <w:noWrap w:val="0"/>
            <w:vAlign w:val="center"/>
          </w:tcPr>
          <w:p>
            <w:pPr>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东经112</w:t>
            </w:r>
            <w:r>
              <w:rPr>
                <w:rFonts w:hint="default" w:ascii="Times New Roman" w:hAnsi="Times New Roman" w:cs="Times New Roman"/>
                <w:color w:val="auto"/>
                <w:sz w:val="24"/>
                <w:szCs w:val="24"/>
                <w:u w:val="none" w:color="auto"/>
              </w:rPr>
              <w:t>度</w:t>
            </w:r>
            <w:r>
              <w:rPr>
                <w:rFonts w:hint="default" w:ascii="Times New Roman" w:hAnsi="Times New Roman" w:cs="Times New Roman"/>
                <w:color w:val="auto"/>
                <w:sz w:val="24"/>
                <w:szCs w:val="24"/>
                <w:u w:val="none" w:color="auto"/>
                <w:lang w:val="en-US" w:eastAsia="zh-CN"/>
              </w:rPr>
              <w:t>5</w:t>
            </w:r>
            <w:r>
              <w:rPr>
                <w:rFonts w:hint="eastAsia" w:ascii="Times New Roman" w:hAnsi="Times New Roman"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分</w:t>
            </w:r>
            <w:r>
              <w:rPr>
                <w:rFonts w:hint="eastAsia" w:ascii="Times New Roman" w:hAnsi="Times New Roman" w:cs="Times New Roman"/>
                <w:color w:val="auto"/>
                <w:sz w:val="24"/>
                <w:szCs w:val="24"/>
                <w:u w:val="none" w:color="auto"/>
                <w:lang w:val="en-US" w:eastAsia="zh-CN"/>
              </w:rPr>
              <w:t>45.304</w:t>
            </w:r>
            <w:r>
              <w:rPr>
                <w:rFonts w:hint="default" w:ascii="Times New Roman" w:hAnsi="Times New Roman" w:cs="Times New Roman"/>
                <w:color w:val="auto"/>
                <w:sz w:val="24"/>
                <w:szCs w:val="24"/>
                <w:u w:val="none" w:color="auto"/>
              </w:rPr>
              <w:t>秒，</w:t>
            </w:r>
            <w:r>
              <w:rPr>
                <w:rFonts w:hint="default" w:ascii="Times New Roman" w:hAnsi="Times New Roman" w:cs="Times New Roman"/>
                <w:color w:val="auto"/>
                <w:sz w:val="24"/>
                <w:szCs w:val="24"/>
                <w:u w:val="none" w:color="auto"/>
                <w:lang w:val="en-US" w:eastAsia="zh-CN"/>
              </w:rPr>
              <w:t>北纬28</w:t>
            </w:r>
            <w:r>
              <w:rPr>
                <w:rFonts w:hint="default" w:ascii="Times New Roman" w:hAnsi="Times New Roman" w:cs="Times New Roman"/>
                <w:color w:val="auto"/>
                <w:sz w:val="24"/>
                <w:szCs w:val="24"/>
                <w:u w:val="none" w:color="auto"/>
              </w:rPr>
              <w:t>度</w:t>
            </w:r>
            <w:r>
              <w:rPr>
                <w:rFonts w:hint="default" w:ascii="Times New Roman" w:hAnsi="Times New Roman" w:cs="Times New Roman"/>
                <w:color w:val="auto"/>
                <w:sz w:val="24"/>
                <w:szCs w:val="24"/>
                <w:u w:val="none" w:color="auto"/>
                <w:lang w:val="en-US" w:eastAsia="zh-CN"/>
              </w:rPr>
              <w:t>4</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分</w:t>
            </w:r>
            <w:r>
              <w:rPr>
                <w:rFonts w:hint="eastAsia" w:ascii="Times New Roman" w:hAnsi="Times New Roman" w:cs="Times New Roman"/>
                <w:color w:val="auto"/>
                <w:sz w:val="24"/>
                <w:szCs w:val="24"/>
                <w:u w:val="none" w:color="auto"/>
                <w:lang w:val="en-US" w:eastAsia="zh-CN"/>
              </w:rPr>
              <w:t>40.018</w:t>
            </w:r>
            <w:r>
              <w:rPr>
                <w:rFonts w:hint="default" w:ascii="Times New Roman" w:hAnsi="Times New Roman" w:cs="Times New Roman"/>
                <w:color w:val="auto"/>
                <w:sz w:val="24"/>
                <w:szCs w:val="24"/>
                <w:u w:val="none" w:color="auto"/>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国民经济行业类别</w:t>
            </w:r>
          </w:p>
        </w:tc>
        <w:tc>
          <w:tcPr>
            <w:tcW w:w="2696" w:type="dxa"/>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Q8423乡镇卫生院</w:t>
            </w:r>
          </w:p>
        </w:tc>
        <w:tc>
          <w:tcPr>
            <w:tcW w:w="1944" w:type="dxa"/>
            <w:noWrap w:val="0"/>
            <w:vAlign w:val="center"/>
          </w:tcPr>
          <w:p>
            <w:pPr>
              <w:adjustRightInd w:val="0"/>
              <w:snapToGrid w:val="0"/>
              <w:jc w:val="center"/>
              <w:rPr>
                <w:rFonts w:hint="default" w:ascii="Times New Roman" w:hAnsi="Times New Roman" w:cs="Times New Roman"/>
                <w:color w:val="auto"/>
                <w:sz w:val="24"/>
                <w:szCs w:val="24"/>
                <w:u w:val="none" w:color="auto"/>
              </w:rPr>
            </w:pPr>
            <w:bookmarkStart w:id="2" w:name="_Hlk49843745"/>
            <w:r>
              <w:rPr>
                <w:rFonts w:hint="default" w:ascii="Times New Roman" w:hAnsi="Times New Roman" w:cs="Times New Roman"/>
                <w:color w:val="auto"/>
                <w:sz w:val="24"/>
                <w:szCs w:val="24"/>
                <w:u w:val="none" w:color="auto"/>
              </w:rPr>
              <w:t>建设项目</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行业类别</w:t>
            </w:r>
            <w:bookmarkEnd w:id="2"/>
          </w:p>
        </w:tc>
        <w:tc>
          <w:tcPr>
            <w:tcW w:w="2907" w:type="dxa"/>
            <w:noWrap w:val="0"/>
            <w:vAlign w:val="center"/>
          </w:tcPr>
          <w:p>
            <w:pPr>
              <w:adjustRightInd w:val="0"/>
              <w:snapToGrid w:val="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四十九、卫生84，108、基层医疗卫生服务842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建设性质</w:t>
            </w:r>
          </w:p>
        </w:tc>
        <w:tc>
          <w:tcPr>
            <w:tcW w:w="2696" w:type="dxa"/>
            <w:noWrap w:val="0"/>
            <w:vAlign w:val="center"/>
          </w:tcPr>
          <w:p>
            <w:pPr>
              <w:jc w:val="left"/>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新建（迁建）</w:t>
            </w:r>
          </w:p>
          <w:p>
            <w:pPr>
              <w:jc w:val="left"/>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改建</w:t>
            </w:r>
          </w:p>
          <w:p>
            <w:pPr>
              <w:jc w:val="left"/>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扩建</w:t>
            </w:r>
          </w:p>
          <w:p>
            <w:pPr>
              <w:jc w:val="left"/>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技术改造</w:t>
            </w:r>
          </w:p>
        </w:tc>
        <w:tc>
          <w:tcPr>
            <w:tcW w:w="1944" w:type="dxa"/>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申报情形</w:t>
            </w:r>
          </w:p>
        </w:tc>
        <w:tc>
          <w:tcPr>
            <w:tcW w:w="2907" w:type="dxa"/>
            <w:noWrap w:val="0"/>
            <w:vAlign w:val="center"/>
          </w:tcPr>
          <w:p>
            <w:pPr>
              <w:jc w:val="left"/>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首次申报项目</w:t>
            </w:r>
          </w:p>
          <w:p>
            <w:pPr>
              <w:jc w:val="left"/>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不予批准后再次申报项目</w:t>
            </w:r>
          </w:p>
          <w:p>
            <w:pPr>
              <w:jc w:val="left"/>
              <w:rPr>
                <w:rFonts w:hint="default" w:ascii="Times New Roman" w:hAnsi="Times New Roman" w:eastAsia="宋体" w:cs="Times New Roman"/>
                <w:color w:val="auto"/>
                <w:sz w:val="24"/>
                <w:szCs w:val="24"/>
                <w:u w:val="none" w:color="auto"/>
                <w:lang w:eastAsia="zh-CN"/>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超五年重新审核项目</w:t>
            </w:r>
          </w:p>
          <w:p>
            <w:pPr>
              <w:jc w:val="left"/>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项目审批（核准/备案）部门（选填）</w:t>
            </w:r>
          </w:p>
        </w:tc>
        <w:tc>
          <w:tcPr>
            <w:tcW w:w="2696" w:type="dxa"/>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湘阴县发展和改革局</w:t>
            </w:r>
          </w:p>
        </w:tc>
        <w:tc>
          <w:tcPr>
            <w:tcW w:w="1944" w:type="dxa"/>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项目审批（核准/</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备案）文号（选填）</w:t>
            </w:r>
          </w:p>
        </w:tc>
        <w:tc>
          <w:tcPr>
            <w:tcW w:w="2907" w:type="dxa"/>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湘阴发改审【2022】101号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总投资</w:t>
            </w:r>
          </w:p>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（万元）</w:t>
            </w:r>
          </w:p>
        </w:tc>
        <w:tc>
          <w:tcPr>
            <w:tcW w:w="2696" w:type="dxa"/>
            <w:noWrap w:val="0"/>
            <w:vAlign w:val="center"/>
          </w:tcPr>
          <w:p>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4000</w:t>
            </w:r>
          </w:p>
        </w:tc>
        <w:tc>
          <w:tcPr>
            <w:tcW w:w="194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环保投资（万元）</w:t>
            </w:r>
          </w:p>
        </w:tc>
        <w:tc>
          <w:tcPr>
            <w:tcW w:w="2907" w:type="dxa"/>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70.1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环保投资占比（%）</w:t>
            </w:r>
          </w:p>
        </w:tc>
        <w:tc>
          <w:tcPr>
            <w:tcW w:w="2696" w:type="dxa"/>
            <w:noWrap w:val="0"/>
            <w:vAlign w:val="center"/>
          </w:tcPr>
          <w:p>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1.5</w:t>
            </w:r>
          </w:p>
        </w:tc>
        <w:tc>
          <w:tcPr>
            <w:tcW w:w="194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施工工期</w:t>
            </w:r>
          </w:p>
        </w:tc>
        <w:tc>
          <w:tcPr>
            <w:tcW w:w="2907" w:type="dxa"/>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18月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2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是否开工建设</w:t>
            </w:r>
          </w:p>
        </w:tc>
        <w:tc>
          <w:tcPr>
            <w:tcW w:w="2696" w:type="dxa"/>
            <w:noWrap w:val="0"/>
            <w:vAlign w:val="center"/>
          </w:tcPr>
          <w:p>
            <w:pPr>
              <w:adjustRightInd w:val="0"/>
              <w:snapToGrid w:val="0"/>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否</w:t>
            </w:r>
          </w:p>
          <w:p>
            <w:pPr>
              <w:adjustRightInd w:val="0"/>
              <w:snapToGrid w:val="0"/>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是：</w:t>
            </w:r>
          </w:p>
        </w:tc>
        <w:tc>
          <w:tcPr>
            <w:tcW w:w="194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pacing w:val="-6"/>
                <w:sz w:val="24"/>
                <w:szCs w:val="24"/>
                <w:u w:val="none" w:color="auto"/>
              </w:rPr>
            </w:pPr>
            <w:r>
              <w:rPr>
                <w:rFonts w:hint="default" w:ascii="Times New Roman" w:hAnsi="Times New Roman" w:cs="Times New Roman"/>
                <w:color w:val="auto"/>
                <w:spacing w:val="-6"/>
                <w:sz w:val="24"/>
                <w:szCs w:val="24"/>
                <w:u w:val="none" w:color="auto"/>
              </w:rPr>
              <w:t>用地（用海）</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pacing w:val="-6"/>
                <w:sz w:val="24"/>
                <w:szCs w:val="24"/>
                <w:u w:val="none" w:color="auto"/>
              </w:rPr>
              <w:t>面积（m</w:t>
            </w:r>
            <w:r>
              <w:rPr>
                <w:rFonts w:hint="default" w:ascii="Times New Roman" w:hAnsi="Times New Roman" w:cs="Times New Roman"/>
                <w:color w:val="auto"/>
                <w:spacing w:val="-6"/>
                <w:sz w:val="24"/>
                <w:szCs w:val="24"/>
                <w:u w:val="none" w:color="auto"/>
                <w:vertAlign w:val="superscript"/>
              </w:rPr>
              <w:t>2</w:t>
            </w:r>
            <w:r>
              <w:rPr>
                <w:rFonts w:hint="default" w:ascii="Times New Roman" w:hAnsi="Times New Roman" w:cs="Times New Roman"/>
                <w:color w:val="auto"/>
                <w:spacing w:val="-6"/>
                <w:sz w:val="24"/>
                <w:szCs w:val="24"/>
                <w:u w:val="none" w:color="auto"/>
              </w:rPr>
              <w:t>）</w:t>
            </w:r>
          </w:p>
        </w:tc>
        <w:tc>
          <w:tcPr>
            <w:tcW w:w="2907" w:type="dxa"/>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6300.08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3" w:type="dxa"/>
            <w:noWrap w:val="0"/>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专项评价设置情况</w:t>
            </w:r>
          </w:p>
        </w:tc>
        <w:tc>
          <w:tcPr>
            <w:tcW w:w="7547" w:type="dxa"/>
            <w:gridSpan w:val="3"/>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cs="Times New Roman"/>
                <w:color w:val="auto"/>
                <w:kern w:val="0"/>
                <w:sz w:val="24"/>
                <w:szCs w:val="24"/>
                <w:u w:val="none" w:color="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3" w:type="dxa"/>
            <w:noWrap w:val="0"/>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rPr>
              <w:t>规划情况</w:t>
            </w:r>
          </w:p>
        </w:tc>
        <w:tc>
          <w:tcPr>
            <w:tcW w:w="7547" w:type="dxa"/>
            <w:gridSpan w:val="3"/>
            <w:noWrap w:val="0"/>
            <w:vAlign w:val="center"/>
          </w:tcPr>
          <w:p>
            <w:pPr>
              <w:autoSpaceDE w:val="0"/>
              <w:autoSpaceDN w:val="0"/>
              <w:adjustRightInd w:val="0"/>
              <w:snapToGrid w:val="0"/>
              <w:jc w:val="left"/>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cs="Times New Roman"/>
                <w:color w:val="auto"/>
                <w:sz w:val="24"/>
                <w:szCs w:val="24"/>
                <w:u w:val="none" w:color="auto"/>
              </w:rPr>
              <w:t>规划</w:t>
            </w:r>
            <w:r>
              <w:rPr>
                <w:rFonts w:hint="default" w:ascii="Times New Roman" w:hAnsi="Times New Roman" w:cs="Times New Roman"/>
                <w:color w:val="auto"/>
                <w:sz w:val="24"/>
                <w:szCs w:val="24"/>
                <w:u w:val="none" w:color="auto"/>
                <w:lang w:val="en-US" w:eastAsia="zh-CN"/>
              </w:rPr>
              <w:t>名称：</w:t>
            </w:r>
            <w:r>
              <w:rPr>
                <w:rFonts w:hint="default" w:ascii="Times New Roman" w:hAnsi="Times New Roman" w:eastAsia="宋体" w:cs="Times New Roman"/>
                <w:color w:val="auto"/>
                <w:kern w:val="0"/>
                <w:sz w:val="24"/>
                <w:szCs w:val="24"/>
                <w:u w:val="none" w:color="auto"/>
                <w:lang w:val="en-US" w:eastAsia="zh-CN"/>
              </w:rPr>
              <w:t>湘阴县卫生健康“十四五”专项规划</w:t>
            </w:r>
          </w:p>
          <w:p>
            <w:pPr>
              <w:autoSpaceDE w:val="0"/>
              <w:autoSpaceDN w:val="0"/>
              <w:adjustRightInd w:val="0"/>
              <w:snapToGrid w:val="0"/>
              <w:jc w:val="left"/>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审批机关：湘阴县发展和改革局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3" w:type="dxa"/>
            <w:noWrap w:val="0"/>
            <w:vAlign w:val="center"/>
          </w:tcPr>
          <w:p>
            <w:pPr>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rPr>
              <w:t>规划环境影响评价情况</w:t>
            </w:r>
          </w:p>
        </w:tc>
        <w:tc>
          <w:tcPr>
            <w:tcW w:w="7547" w:type="dxa"/>
            <w:gridSpan w:val="3"/>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cs="Times New Roman"/>
                <w:color w:val="auto"/>
                <w:kern w:val="0"/>
                <w:sz w:val="24"/>
                <w:szCs w:val="24"/>
                <w:u w:val="none" w:color="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23" w:type="dxa"/>
            <w:noWrap w:val="0"/>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规划及规划环境影响评价符合性分析</w:t>
            </w:r>
          </w:p>
        </w:tc>
        <w:tc>
          <w:tcPr>
            <w:tcW w:w="7547" w:type="dxa"/>
            <w:gridSpan w:val="3"/>
            <w:noWrap w:val="0"/>
            <w:vAlign w:val="center"/>
          </w:tcPr>
          <w:p>
            <w:pPr>
              <w:autoSpaceDE w:val="0"/>
              <w:autoSpaceDN w:val="0"/>
              <w:adjustRightInd w:val="0"/>
              <w:snapToGrid w:val="0"/>
              <w:spacing w:line="360" w:lineRule="auto"/>
              <w:jc w:val="both"/>
              <w:rPr>
                <w:rFonts w:hint="default" w:ascii="Times New Roman" w:hAnsi="Times New Roman" w:cs="Times New Roman"/>
                <w:b/>
                <w:bCs/>
                <w:color w:val="auto"/>
                <w:kern w:val="0"/>
                <w:sz w:val="24"/>
                <w:szCs w:val="24"/>
                <w:u w:val="none" w:color="auto"/>
              </w:rPr>
            </w:pPr>
            <w:r>
              <w:rPr>
                <w:rFonts w:hint="default" w:ascii="Times New Roman" w:hAnsi="Times New Roman" w:cs="Times New Roman"/>
                <w:b/>
                <w:bCs/>
                <w:color w:val="auto"/>
                <w:kern w:val="0"/>
                <w:sz w:val="24"/>
                <w:szCs w:val="24"/>
                <w:u w:val="none" w:color="auto"/>
              </w:rPr>
              <w:t>1.1项目建设与《湘阴县卫生健康“十四五”专项规划》相符性分析</w:t>
            </w:r>
          </w:p>
          <w:p>
            <w:pPr>
              <w:autoSpaceDE w:val="0"/>
              <w:autoSpaceDN w:val="0"/>
              <w:adjustRightInd w:val="0"/>
              <w:snapToGrid w:val="0"/>
              <w:spacing w:line="360" w:lineRule="auto"/>
              <w:ind w:firstLine="480"/>
              <w:jc w:val="left"/>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根据《湘阴县卫生健康“十四五”专项规划》，规划总体布局包括医院规划布局、专业公共卫生机构规划布局、基层医疗卫生机构规划布局、医养结合机构规划布局、托育机构规划布局等，其中基层医疗卫生机构规划布局为：湘阴县卫生健康“十四五”专项规划拟对服务人口较多的区域，采取扩建、迁建或者新增社区卫生服务中心的方式布局基层医疗卫生机构。根据服务人口需求，在社区卫生服务中心（乡镇卫生院）设置相应床位，提升基层公共卫生和监测预警能力。按照基层医疗卫生机构“六位一体”职能，依托服务半径大、服务人口多的金龙镇中心卫生院、</w:t>
            </w:r>
            <w:r>
              <w:rPr>
                <w:rFonts w:hint="eastAsia" w:ascii="Times New Roman" w:hAnsi="Times New Roman" w:cs="Times New Roman"/>
                <w:color w:val="auto"/>
                <w:kern w:val="0"/>
                <w:sz w:val="24"/>
                <w:szCs w:val="24"/>
                <w:highlight w:val="none"/>
                <w:u w:val="none" w:color="auto"/>
                <w:lang w:eastAsia="zh-CN"/>
              </w:rPr>
              <w:t>东塘中心</w:t>
            </w:r>
            <w:r>
              <w:rPr>
                <w:rFonts w:hint="default" w:ascii="Times New Roman" w:hAnsi="Times New Roman" w:cs="Times New Roman"/>
                <w:color w:val="auto"/>
                <w:kern w:val="0"/>
                <w:sz w:val="24"/>
                <w:szCs w:val="24"/>
                <w:highlight w:val="none"/>
                <w:u w:val="none" w:color="auto"/>
              </w:rPr>
              <w:t>卫生院、鹤龙湖镇中心卫生院、新泉镇中心卫生院、岭北镇中心卫生院、南湖中心卫生院、湘滨镇中心卫生院7家中心卫生院，统筹建设一批县域医疗卫生副中心；依托县城社区卫生服务中心建设文星街道社区</w:t>
            </w:r>
            <w:r>
              <w:rPr>
                <w:rFonts w:hint="default" w:ascii="Times New Roman" w:hAnsi="Times New Roman" w:cs="Times New Roman"/>
                <w:b w:val="0"/>
                <w:bCs w:val="0"/>
                <w:color w:val="auto"/>
                <w:kern w:val="0"/>
                <w:sz w:val="24"/>
                <w:szCs w:val="24"/>
                <w:highlight w:val="none"/>
                <w:u w:val="none" w:color="auto"/>
              </w:rPr>
              <w:t>医院。继续推进乡镇卫生院、行政村卫生室标准化建设，支</w:t>
            </w:r>
            <w:r>
              <w:rPr>
                <w:rFonts w:hint="default" w:ascii="Times New Roman" w:hAnsi="Times New Roman" w:cs="Times New Roman"/>
                <w:color w:val="auto"/>
                <w:kern w:val="0"/>
                <w:sz w:val="24"/>
                <w:szCs w:val="24"/>
                <w:highlight w:val="none"/>
                <w:u w:val="none" w:color="auto"/>
              </w:rPr>
              <w:t>持建设个体诊所基层医疗卫生机构的设置，不受规划布局限制，实行市场调节的管理方式。打造智慧医疗，鼓励县级医院与省三甲医院建立紧密型医联体，县级医院与乡镇卫生院建立医共体，打通基层医疗“最后一公里”，建立乡村一体化管理，将卫生室纳入卫生院统一管理。提升服务能力，加大人才引进力度，并逐步输送人才到三甲医院进修、培训。</w:t>
            </w:r>
          </w:p>
          <w:p>
            <w:pPr>
              <w:autoSpaceDE w:val="0"/>
              <w:autoSpaceDN w:val="0"/>
              <w:adjustRightInd w:val="0"/>
              <w:snapToGrid w:val="0"/>
              <w:spacing w:line="360" w:lineRule="auto"/>
              <w:ind w:firstLine="480"/>
              <w:jc w:val="left"/>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根据上述可知本项目在基层医疗卫生机构规划布局里，本项目能为当地群众提供优质、高效的医疗服务，大大提高了</w:t>
            </w:r>
            <w:r>
              <w:rPr>
                <w:rFonts w:hint="eastAsia" w:ascii="Times New Roman" w:hAnsi="Times New Roman" w:cs="Times New Roman"/>
                <w:color w:val="auto"/>
                <w:kern w:val="0"/>
                <w:sz w:val="24"/>
                <w:szCs w:val="24"/>
                <w:highlight w:val="none"/>
                <w:u w:val="none" w:color="auto"/>
                <w:lang w:val="en-US" w:eastAsia="zh-CN"/>
              </w:rPr>
              <w:t>东塘中心</w:t>
            </w:r>
            <w:r>
              <w:rPr>
                <w:rFonts w:hint="default" w:ascii="Times New Roman" w:hAnsi="Times New Roman" w:cs="Times New Roman"/>
                <w:color w:val="auto"/>
                <w:kern w:val="0"/>
                <w:sz w:val="24"/>
                <w:szCs w:val="24"/>
                <w:highlight w:val="none"/>
                <w:u w:val="none" w:color="auto"/>
              </w:rPr>
              <w:t>的医疗卫生水平。</w:t>
            </w:r>
          </w:p>
          <w:p>
            <w:pPr>
              <w:autoSpaceDE w:val="0"/>
              <w:autoSpaceDN w:val="0"/>
              <w:adjustRightInd w:val="0"/>
              <w:snapToGrid w:val="0"/>
              <w:spacing w:line="360" w:lineRule="auto"/>
              <w:ind w:firstLine="480"/>
              <w:jc w:val="left"/>
              <w:rPr>
                <w:rFonts w:hint="default" w:ascii="Times New Roman" w:hAnsi="Times New Roman" w:cs="Times New Roman"/>
                <w:color w:val="auto"/>
                <w:kern w:val="0"/>
                <w:sz w:val="24"/>
                <w:szCs w:val="24"/>
                <w:highlight w:val="none"/>
                <w:u w:val="none" w:color="auto"/>
                <w:lang w:val="en-US" w:eastAsia="zh-CN"/>
              </w:rPr>
            </w:pPr>
            <w:r>
              <w:rPr>
                <w:rFonts w:hint="eastAsia" w:ascii="Times New Roman" w:hAnsi="Times New Roman" w:cs="Times New Roman"/>
                <w:color w:val="auto"/>
                <w:kern w:val="0"/>
                <w:sz w:val="24"/>
                <w:szCs w:val="24"/>
                <w:highlight w:val="none"/>
                <w:u w:val="none" w:color="auto"/>
                <w:lang w:val="en-US" w:eastAsia="zh-CN"/>
              </w:rPr>
              <w:t>本项目属于《湘阴县卫生健康“十四五”专项规划》中7家中心卫生院之一，符合打通基层医疗“最后一公里”、建立乡村一体化管理、将卫生室纳入卫生院统一管理情况。</w:t>
            </w:r>
          </w:p>
          <w:p>
            <w:pPr>
              <w:autoSpaceDE w:val="0"/>
              <w:autoSpaceDN w:val="0"/>
              <w:adjustRightInd w:val="0"/>
              <w:snapToGrid w:val="0"/>
              <w:spacing w:line="360" w:lineRule="auto"/>
              <w:ind w:firstLine="480"/>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highlight w:val="none"/>
                <w:u w:val="none" w:color="auto"/>
              </w:rPr>
              <w:t>因此本项目建设符合《湘阴县卫生健康“十四五”专项规划》。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23" w:type="dxa"/>
            <w:noWrap w:val="0"/>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其他符合性分析</w:t>
            </w:r>
          </w:p>
        </w:tc>
        <w:tc>
          <w:tcPr>
            <w:tcW w:w="7547" w:type="dxa"/>
            <w:gridSpan w:val="3"/>
            <w:noWrap w:val="0"/>
            <w:vAlign w:val="center"/>
          </w:tcPr>
          <w:p>
            <w:pPr>
              <w:autoSpaceDE w:val="0"/>
              <w:autoSpaceDN w:val="0"/>
              <w:adjustRightInd w:val="0"/>
              <w:snapToGrid w:val="0"/>
              <w:spacing w:line="360" w:lineRule="auto"/>
              <w:jc w:val="left"/>
              <w:rPr>
                <w:rFonts w:hint="default" w:ascii="Times New Roman" w:hAnsi="Times New Roman" w:cs="Times New Roman"/>
                <w:b/>
                <w:bCs/>
                <w:color w:val="auto"/>
                <w:kern w:val="0"/>
                <w:sz w:val="24"/>
                <w:szCs w:val="24"/>
                <w:u w:val="none" w:color="auto"/>
              </w:rPr>
            </w:pPr>
            <w:r>
              <w:rPr>
                <w:rFonts w:hint="default" w:ascii="Times New Roman" w:hAnsi="Times New Roman" w:cs="Times New Roman"/>
                <w:b/>
                <w:bCs/>
                <w:color w:val="auto"/>
                <w:kern w:val="0"/>
                <w:sz w:val="24"/>
                <w:szCs w:val="24"/>
                <w:u w:val="none" w:color="auto"/>
              </w:rPr>
              <w:t>1.2产业政策符合性分析</w:t>
            </w:r>
          </w:p>
          <w:p>
            <w:pPr>
              <w:autoSpaceDE w:val="0"/>
              <w:autoSpaceDN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u w:val="none" w:color="auto"/>
              </w:rPr>
            </w:pPr>
            <w:r>
              <w:rPr>
                <w:rFonts w:hint="default" w:ascii="Times New Roman" w:hAnsi="Times New Roman" w:eastAsia="宋体" w:cs="Times New Roman"/>
                <w:color w:val="auto"/>
                <w:kern w:val="0"/>
                <w:sz w:val="24"/>
                <w:szCs w:val="24"/>
                <w:highlight w:val="none"/>
                <w:u w:val="none" w:color="auto"/>
              </w:rPr>
              <w:t>本项目属于基层医疗卫生服务，根据中华人民共和国国家发展和改革委员会令（第29号）</w:t>
            </w:r>
            <w:r>
              <w:rPr>
                <w:rFonts w:hint="eastAsia" w:ascii="Times New Roman" w:hAnsi="Times New Roman" w:eastAsia="宋体" w:cs="Times New Roman"/>
                <w:color w:val="auto"/>
                <w:kern w:val="0"/>
                <w:sz w:val="24"/>
                <w:szCs w:val="24"/>
                <w:highlight w:val="none"/>
                <w:u w:val="none" w:color="auto"/>
                <w:lang w:val="en-US" w:eastAsia="zh-CN"/>
              </w:rPr>
              <w:t>《产业结构调整指导目录（2024 年本）》</w:t>
            </w:r>
            <w:r>
              <w:rPr>
                <w:rFonts w:hint="default" w:ascii="Times New Roman" w:hAnsi="Times New Roman" w:eastAsia="宋体" w:cs="Times New Roman"/>
                <w:color w:val="auto"/>
                <w:kern w:val="0"/>
                <w:sz w:val="24"/>
                <w:szCs w:val="24"/>
                <w:highlight w:val="none"/>
                <w:u w:val="none" w:color="auto"/>
              </w:rPr>
              <w:t>，本项目属于“鼓励类”第三十</w:t>
            </w:r>
            <w:r>
              <w:rPr>
                <w:rFonts w:hint="default" w:ascii="Times New Roman" w:hAnsi="Times New Roman" w:eastAsia="宋体" w:cs="Times New Roman"/>
                <w:color w:val="auto"/>
                <w:kern w:val="0"/>
                <w:sz w:val="24"/>
                <w:szCs w:val="24"/>
                <w:highlight w:val="none"/>
                <w:u w:val="none" w:color="auto"/>
                <w:lang w:val="en-US" w:eastAsia="zh-CN"/>
              </w:rPr>
              <w:t>七</w:t>
            </w:r>
            <w:r>
              <w:rPr>
                <w:rFonts w:hint="default" w:ascii="Times New Roman" w:hAnsi="Times New Roman" w:eastAsia="宋体" w:cs="Times New Roman"/>
                <w:color w:val="auto"/>
                <w:kern w:val="0"/>
                <w:sz w:val="24"/>
                <w:szCs w:val="24"/>
                <w:highlight w:val="none"/>
                <w:u w:val="none" w:color="auto"/>
              </w:rPr>
              <w:t>条：卫生健康中的“医疗卫生服务设施建设”的范畴。因此本项目的建设符合国家产业政策。</w:t>
            </w:r>
          </w:p>
          <w:p>
            <w:pPr>
              <w:autoSpaceDE w:val="0"/>
              <w:autoSpaceDN w:val="0"/>
              <w:adjustRightInd w:val="0"/>
              <w:snapToGrid w:val="0"/>
              <w:spacing w:line="360" w:lineRule="auto"/>
              <w:jc w:val="left"/>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1.3“三线一单”符合性分析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（1）生态保护红线</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根据《生态保护红线划定指南（环办生态〔2017〕48号）》，2018年7月26日，湖南省生态环境厅（原湖南省环保厅）印发了《湖南省生态保护红线》。全省生态保护红线空间格局为“一湖三山四水”：“一湖”为洞庭湖（主要包括东洞庭湖、南洞庭湖、横岭湖、西洞庭湖等自然保护区和长江岸线），“三山”为武陵-雪峰山脉、罗霄-幕阜山脉、南岭山脉，“四水”为湘资沅澧（湘江、资水、沅江、澧水）的源头区及重要水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根据岳阳市生态红线图，本项目不在岳阳市生态保护红线范围内。</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环境</w:t>
            </w:r>
            <w:r>
              <w:rPr>
                <w:rFonts w:hint="default" w:ascii="Times New Roman" w:hAnsi="Times New Roman" w:eastAsia="宋体" w:cs="Times New Roman"/>
                <w:color w:val="auto"/>
                <w:kern w:val="0"/>
                <w:sz w:val="24"/>
                <w:szCs w:val="24"/>
                <w:u w:val="none" w:color="auto"/>
              </w:rPr>
              <w:t>质量</w:t>
            </w:r>
            <w:r>
              <w:rPr>
                <w:rFonts w:hint="default" w:ascii="Times New Roman" w:hAnsi="Times New Roman" w:cs="Times New Roman"/>
                <w:color w:val="auto"/>
                <w:kern w:val="0"/>
                <w:sz w:val="24"/>
                <w:szCs w:val="24"/>
                <w:u w:val="none" w:color="auto"/>
              </w:rPr>
              <w:t>底线</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本次环评以资料</w:t>
            </w:r>
            <w:r>
              <w:rPr>
                <w:rFonts w:hint="default" w:ascii="Times New Roman" w:hAnsi="Times New Roman" w:eastAsia="宋体" w:cs="Times New Roman"/>
                <w:color w:val="auto"/>
                <w:kern w:val="0"/>
                <w:sz w:val="24"/>
                <w:szCs w:val="24"/>
                <w:u w:val="none" w:color="auto"/>
              </w:rPr>
              <w:t>收集</w:t>
            </w:r>
            <w:r>
              <w:rPr>
                <w:rFonts w:hint="default" w:ascii="Times New Roman" w:hAnsi="Times New Roman" w:cs="Times New Roman"/>
                <w:color w:val="auto"/>
                <w:kern w:val="0"/>
                <w:sz w:val="24"/>
                <w:szCs w:val="24"/>
                <w:u w:val="none" w:color="auto"/>
              </w:rPr>
              <w:t>的方式，对项目所在区域的环境质量现状进行评价。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根据岳阳市生态环境局湘阴分局发布的202</w:t>
            </w:r>
            <w:r>
              <w:rPr>
                <w:rFonts w:hint="eastAsia" w:cs="Times New Roman"/>
                <w:color w:val="auto"/>
                <w:kern w:val="0"/>
                <w:sz w:val="24"/>
                <w:szCs w:val="24"/>
                <w:highlight w:val="none"/>
                <w:u w:val="none" w:color="auto"/>
                <w:lang w:val="en-US" w:eastAsia="zh-CN"/>
              </w:rPr>
              <w:t>3</w:t>
            </w:r>
            <w:r>
              <w:rPr>
                <w:rFonts w:hint="default" w:ascii="Times New Roman" w:hAnsi="Times New Roman" w:cs="Times New Roman"/>
                <w:color w:val="auto"/>
                <w:kern w:val="0"/>
                <w:sz w:val="24"/>
                <w:szCs w:val="24"/>
                <w:highlight w:val="none"/>
                <w:u w:val="none" w:color="auto"/>
              </w:rPr>
              <w:t>年1-12月常规监测数据可知，湘阴县SO</w:t>
            </w:r>
            <w:r>
              <w:rPr>
                <w:rFonts w:hint="default" w:ascii="Times New Roman" w:hAnsi="Times New Roman" w:cs="Times New Roman"/>
                <w:color w:val="auto"/>
                <w:kern w:val="0"/>
                <w:sz w:val="24"/>
                <w:szCs w:val="24"/>
                <w:highlight w:val="none"/>
                <w:u w:val="none" w:color="auto"/>
                <w:vertAlign w:val="subscript"/>
              </w:rPr>
              <w:t>2</w:t>
            </w:r>
            <w:r>
              <w:rPr>
                <w:rFonts w:hint="default" w:ascii="Times New Roman" w:hAnsi="Times New Roman" w:cs="Times New Roman"/>
                <w:color w:val="auto"/>
                <w:kern w:val="0"/>
                <w:sz w:val="24"/>
                <w:szCs w:val="24"/>
                <w:highlight w:val="none"/>
                <w:u w:val="none" w:color="auto"/>
              </w:rPr>
              <w:t>、NO</w:t>
            </w:r>
            <w:r>
              <w:rPr>
                <w:rFonts w:hint="default" w:ascii="Times New Roman" w:hAnsi="Times New Roman" w:cs="Times New Roman"/>
                <w:color w:val="auto"/>
                <w:kern w:val="0"/>
                <w:sz w:val="24"/>
                <w:szCs w:val="24"/>
                <w:highlight w:val="none"/>
                <w:u w:val="none" w:color="auto"/>
                <w:vertAlign w:val="subscript"/>
              </w:rPr>
              <w:t>2</w:t>
            </w:r>
            <w:r>
              <w:rPr>
                <w:rFonts w:hint="default" w:ascii="Times New Roman" w:hAnsi="Times New Roman" w:cs="Times New Roman"/>
                <w:color w:val="auto"/>
                <w:kern w:val="0"/>
                <w:sz w:val="24"/>
                <w:szCs w:val="24"/>
                <w:highlight w:val="none"/>
                <w:u w:val="none" w:color="auto"/>
              </w:rPr>
              <w:t>、PM</w:t>
            </w:r>
            <w:r>
              <w:rPr>
                <w:rFonts w:hint="default" w:ascii="Times New Roman" w:hAnsi="Times New Roman" w:cs="Times New Roman"/>
                <w:color w:val="auto"/>
                <w:kern w:val="0"/>
                <w:sz w:val="24"/>
                <w:szCs w:val="24"/>
                <w:highlight w:val="none"/>
                <w:u w:val="none" w:color="auto"/>
                <w:vertAlign w:val="subscript"/>
              </w:rPr>
              <w:t>10</w:t>
            </w:r>
            <w:r>
              <w:rPr>
                <w:rFonts w:hint="default" w:ascii="Times New Roman" w:hAnsi="Times New Roman" w:cs="Times New Roman"/>
                <w:color w:val="auto"/>
                <w:kern w:val="0"/>
                <w:sz w:val="24"/>
                <w:szCs w:val="24"/>
                <w:highlight w:val="none"/>
                <w:u w:val="none" w:color="auto"/>
              </w:rPr>
              <w:t>、PM</w:t>
            </w:r>
            <w:r>
              <w:rPr>
                <w:rFonts w:hint="default" w:ascii="Times New Roman" w:hAnsi="Times New Roman" w:cs="Times New Roman"/>
                <w:color w:val="auto"/>
                <w:kern w:val="0"/>
                <w:sz w:val="24"/>
                <w:szCs w:val="24"/>
                <w:highlight w:val="none"/>
                <w:u w:val="none" w:color="auto"/>
                <w:vertAlign w:val="subscript"/>
              </w:rPr>
              <w:t>2.5</w:t>
            </w:r>
            <w:r>
              <w:rPr>
                <w:rFonts w:hint="default" w:ascii="Times New Roman" w:hAnsi="Times New Roman" w:cs="Times New Roman"/>
                <w:color w:val="auto"/>
                <w:kern w:val="0"/>
                <w:sz w:val="24"/>
                <w:szCs w:val="24"/>
                <w:highlight w:val="none"/>
                <w:u w:val="none" w:color="auto"/>
              </w:rPr>
              <w:t>年平均质量浓度和CO第95百分位数日平均质量浓度、O</w:t>
            </w:r>
            <w:r>
              <w:rPr>
                <w:rFonts w:hint="default" w:ascii="Times New Roman" w:hAnsi="Times New Roman" w:cs="Times New Roman"/>
                <w:color w:val="auto"/>
                <w:kern w:val="0"/>
                <w:sz w:val="24"/>
                <w:szCs w:val="24"/>
                <w:highlight w:val="none"/>
                <w:u w:val="none" w:color="auto"/>
                <w:vertAlign w:val="subscript"/>
              </w:rPr>
              <w:t>3</w:t>
            </w:r>
            <w:r>
              <w:rPr>
                <w:rFonts w:hint="default" w:ascii="Times New Roman" w:hAnsi="Times New Roman" w:cs="Times New Roman"/>
                <w:color w:val="auto"/>
                <w:kern w:val="0"/>
                <w:sz w:val="24"/>
                <w:szCs w:val="24"/>
                <w:highlight w:val="none"/>
                <w:u w:val="none" w:color="auto"/>
              </w:rPr>
              <w:t>第90百分位数最大8小时平均质量浓度均可达到《环境空气质量标准》（GB3095-2012）中二级标准。由此可知，项目所在区域为环境空气质量达标区。本项目废气主要为污水处理站恶臭，采用地埋式</w:t>
            </w:r>
            <w:r>
              <w:rPr>
                <w:rFonts w:hint="default" w:ascii="Times New Roman" w:hAnsi="Times New Roman" w:cs="Times New Roman"/>
                <w:color w:val="auto"/>
                <w:kern w:val="0"/>
                <w:sz w:val="24"/>
                <w:szCs w:val="24"/>
                <w:highlight w:val="none"/>
                <w:u w:val="none" w:color="auto"/>
                <w:lang w:eastAsia="zh-CN"/>
              </w:rPr>
              <w:t>污水处理系统</w:t>
            </w:r>
            <w:r>
              <w:rPr>
                <w:rFonts w:hint="default" w:ascii="Times New Roman" w:hAnsi="Times New Roman" w:cs="Times New Roman"/>
                <w:color w:val="auto"/>
                <w:kern w:val="0"/>
                <w:sz w:val="24"/>
                <w:szCs w:val="24"/>
                <w:highlight w:val="none"/>
                <w:u w:val="none" w:color="auto"/>
              </w:rPr>
              <w:t>，恶臭产生量小，不会导致当地的区域环境空气质量下降，区域环境质量基本能维持现状。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本次评价</w:t>
            </w:r>
            <w:r>
              <w:rPr>
                <w:rFonts w:hint="eastAsia" w:ascii="Times New Roman" w:hAnsi="Times New Roman" w:eastAsia="宋体" w:cs="Times New Roman"/>
                <w:color w:val="auto"/>
                <w:sz w:val="24"/>
                <w:szCs w:val="24"/>
                <w:u w:val="none" w:color="auto"/>
                <w:lang w:val="en-US" w:eastAsia="zh-CN"/>
              </w:rPr>
              <w:t>收集了</w:t>
            </w:r>
            <w:r>
              <w:rPr>
                <w:rFonts w:hint="eastAsia" w:ascii="Times New Roman" w:hAnsi="Times New Roman" w:eastAsia="宋体" w:cs="Times New Roman"/>
                <w:color w:val="auto"/>
                <w:sz w:val="24"/>
                <w:szCs w:val="24"/>
                <w:highlight w:val="none"/>
                <w:u w:val="none" w:color="auto"/>
                <w:lang w:val="en-US" w:eastAsia="zh-CN"/>
              </w:rPr>
              <w:t>湖南省生态环境厅在其网站上发布的2023年1-</w:t>
            </w:r>
            <w:r>
              <w:rPr>
                <w:rFonts w:hint="eastAsia" w:cs="Times New Roman"/>
                <w:color w:val="auto"/>
                <w:sz w:val="24"/>
                <w:szCs w:val="24"/>
                <w:highlight w:val="none"/>
                <w:u w:val="none" w:color="auto"/>
                <w:lang w:val="en-US" w:eastAsia="zh-CN"/>
              </w:rPr>
              <w:t>12</w:t>
            </w:r>
            <w:r>
              <w:rPr>
                <w:rFonts w:hint="eastAsia" w:ascii="Times New Roman" w:hAnsi="Times New Roman" w:eastAsia="宋体" w:cs="Times New Roman"/>
                <w:color w:val="auto"/>
                <w:sz w:val="24"/>
                <w:szCs w:val="24"/>
                <w:highlight w:val="none"/>
                <w:u w:val="none" w:color="auto"/>
                <w:lang w:val="en-US" w:eastAsia="zh-CN"/>
              </w:rPr>
              <w:t>月份湖南省地表水水质状况中湘阴县</w:t>
            </w:r>
            <w:r>
              <w:rPr>
                <w:rFonts w:hint="eastAsia" w:ascii="Times New Roman" w:hAnsi="Times New Roman" w:eastAsia="宋体" w:cs="Times New Roman"/>
                <w:color w:val="auto"/>
                <w:sz w:val="24"/>
                <w:szCs w:val="24"/>
                <w:u w:val="none" w:color="auto"/>
                <w:lang w:val="en-US" w:eastAsia="zh-CN"/>
              </w:rPr>
              <w:t>境内</w:t>
            </w:r>
            <w:r>
              <w:rPr>
                <w:rFonts w:hint="default" w:ascii="Times New Roman" w:hAnsi="Times New Roman" w:eastAsia="宋体" w:cs="Times New Roman"/>
                <w:color w:val="auto"/>
                <w:sz w:val="24"/>
                <w:szCs w:val="24"/>
                <w:u w:val="none" w:color="auto"/>
                <w:lang w:val="en-US" w:eastAsia="zh-CN"/>
              </w:rPr>
              <w:t>屈原湘江取水口</w:t>
            </w:r>
            <w:r>
              <w:rPr>
                <w:rFonts w:hint="eastAsia" w:ascii="Times New Roman" w:hAnsi="Times New Roman" w:eastAsia="宋体" w:cs="Times New Roman"/>
                <w:color w:val="auto"/>
                <w:sz w:val="24"/>
                <w:szCs w:val="24"/>
                <w:u w:val="none" w:color="auto"/>
                <w:lang w:val="en-US" w:eastAsia="zh-CN"/>
              </w:rPr>
              <w:t>断面</w:t>
            </w:r>
            <w:r>
              <w:rPr>
                <w:rFonts w:hint="eastAsia" w:ascii="Times New Roman" w:hAnsi="Times New Roman" w:eastAsia="宋体" w:cs="Times New Roman"/>
                <w:color w:val="auto"/>
                <w:sz w:val="24"/>
                <w:szCs w:val="24"/>
                <w:highlight w:val="none"/>
                <w:u w:val="none" w:color="auto"/>
                <w:lang w:val="en-US" w:eastAsia="zh-CN"/>
              </w:rPr>
              <w:t>水质状况</w:t>
            </w:r>
            <w:r>
              <w:rPr>
                <w:rFonts w:hint="default" w:ascii="Times New Roman" w:hAnsi="Times New Roman" w:cs="Times New Roman"/>
                <w:color w:val="auto"/>
                <w:kern w:val="0"/>
                <w:sz w:val="24"/>
                <w:szCs w:val="24"/>
                <w:highlight w:val="none"/>
                <w:u w:val="none" w:color="auto"/>
              </w:rPr>
              <w:t>。根据</w:t>
            </w:r>
            <w:r>
              <w:rPr>
                <w:rFonts w:hint="eastAsia" w:ascii="Times New Roman" w:hAnsi="Times New Roman" w:cs="Times New Roman"/>
                <w:color w:val="auto"/>
                <w:kern w:val="0"/>
                <w:sz w:val="24"/>
                <w:szCs w:val="24"/>
                <w:highlight w:val="none"/>
                <w:u w:val="none" w:color="auto"/>
                <w:lang w:val="en-US" w:eastAsia="zh-CN"/>
              </w:rPr>
              <w:t>结果可知，</w:t>
            </w:r>
            <w:r>
              <w:rPr>
                <w:rFonts w:hint="eastAsia" w:ascii="Times New Roman" w:hAnsi="Times New Roman" w:eastAsia="宋体" w:cs="Times New Roman"/>
                <w:color w:val="auto"/>
                <w:sz w:val="24"/>
                <w:szCs w:val="24"/>
                <w:highlight w:val="none"/>
                <w:u w:val="none" w:color="auto"/>
                <w:lang w:val="en-US" w:eastAsia="zh-CN"/>
              </w:rPr>
              <w:t>湘阴县</w:t>
            </w:r>
            <w:r>
              <w:rPr>
                <w:rFonts w:hint="eastAsia" w:ascii="Times New Roman" w:hAnsi="Times New Roman" w:eastAsia="宋体" w:cs="Times New Roman"/>
                <w:color w:val="auto"/>
                <w:sz w:val="24"/>
                <w:szCs w:val="24"/>
                <w:u w:val="none" w:color="auto"/>
                <w:lang w:val="en-US" w:eastAsia="zh-CN"/>
              </w:rPr>
              <w:t>境内</w:t>
            </w:r>
            <w:r>
              <w:rPr>
                <w:rFonts w:hint="default" w:ascii="Times New Roman" w:hAnsi="Times New Roman" w:eastAsia="宋体" w:cs="Times New Roman"/>
                <w:color w:val="auto"/>
                <w:sz w:val="24"/>
                <w:szCs w:val="24"/>
                <w:u w:val="none" w:color="auto"/>
                <w:lang w:val="en-US" w:eastAsia="zh-CN"/>
              </w:rPr>
              <w:t>屈原湘江取水口</w:t>
            </w:r>
            <w:r>
              <w:rPr>
                <w:rFonts w:hint="eastAsia" w:ascii="Times New Roman" w:hAnsi="Times New Roman" w:eastAsia="宋体" w:cs="Times New Roman"/>
                <w:color w:val="auto"/>
                <w:sz w:val="24"/>
                <w:szCs w:val="24"/>
                <w:u w:val="none" w:color="auto"/>
                <w:lang w:val="en-US" w:eastAsia="zh-CN"/>
              </w:rPr>
              <w:t>断面</w:t>
            </w:r>
            <w:r>
              <w:rPr>
                <w:rFonts w:hint="eastAsia" w:ascii="Times New Roman" w:hAnsi="Times New Roman" w:cs="Times New Roman"/>
                <w:color w:val="auto"/>
                <w:kern w:val="0"/>
                <w:sz w:val="24"/>
                <w:szCs w:val="24"/>
                <w:highlight w:val="none"/>
                <w:u w:val="none" w:color="auto"/>
                <w:lang w:val="en-US" w:eastAsia="zh-CN"/>
              </w:rPr>
              <w:t>水质较好</w:t>
            </w:r>
            <w:r>
              <w:rPr>
                <w:rFonts w:hint="default" w:ascii="Times New Roman" w:hAnsi="Times New Roman" w:cs="Times New Roman"/>
                <w:color w:val="auto"/>
                <w:kern w:val="0"/>
                <w:sz w:val="24"/>
                <w:szCs w:val="24"/>
                <w:highlight w:val="none"/>
                <w:u w:val="none" w:color="auto"/>
              </w:rPr>
              <w:t>。本项目运营期产生的医疗废水经</w:t>
            </w:r>
            <w:r>
              <w:rPr>
                <w:rFonts w:hint="default" w:ascii="Times New Roman" w:hAnsi="Times New Roman" w:cs="Times New Roman"/>
                <w:color w:val="auto"/>
                <w:kern w:val="0"/>
                <w:sz w:val="24"/>
                <w:szCs w:val="24"/>
                <w:highlight w:val="none"/>
                <w:u w:val="none" w:color="auto"/>
                <w:lang w:val="en-US" w:eastAsia="zh-CN"/>
              </w:rPr>
              <w:t>地埋式污水处理站</w:t>
            </w:r>
            <w:r>
              <w:rPr>
                <w:rFonts w:hint="default" w:ascii="Times New Roman" w:hAnsi="Times New Roman" w:cs="Times New Roman"/>
                <w:color w:val="auto"/>
                <w:kern w:val="0"/>
                <w:sz w:val="24"/>
                <w:szCs w:val="24"/>
                <w:highlight w:val="none"/>
                <w:u w:val="none" w:color="auto"/>
              </w:rPr>
              <w:t>处理后排入</w:t>
            </w:r>
            <w:r>
              <w:rPr>
                <w:rFonts w:hint="default" w:ascii="Times New Roman" w:hAnsi="Times New Roman" w:cs="Times New Roman"/>
                <w:color w:val="auto"/>
                <w:kern w:val="0"/>
                <w:sz w:val="24"/>
                <w:szCs w:val="24"/>
                <w:highlight w:val="none"/>
                <w:u w:val="none" w:color="auto"/>
                <w:lang w:eastAsia="zh-CN"/>
              </w:rPr>
              <w:t>湘阴县</w:t>
            </w:r>
            <w:r>
              <w:rPr>
                <w:rFonts w:hint="eastAsia" w:ascii="Times New Roman" w:hAnsi="Times New Roman" w:cs="Times New Roman"/>
                <w:color w:val="auto"/>
                <w:kern w:val="0"/>
                <w:sz w:val="24"/>
                <w:szCs w:val="24"/>
                <w:highlight w:val="none"/>
                <w:u w:val="none" w:color="auto"/>
                <w:lang w:val="en-US" w:eastAsia="zh-CN"/>
              </w:rPr>
              <w:t>东塘</w:t>
            </w:r>
            <w:r>
              <w:rPr>
                <w:rFonts w:hint="default" w:ascii="Times New Roman" w:hAnsi="Times New Roman" w:cs="Times New Roman"/>
                <w:color w:val="auto"/>
                <w:kern w:val="0"/>
                <w:sz w:val="24"/>
                <w:szCs w:val="24"/>
                <w:highlight w:val="none"/>
                <w:u w:val="none" w:color="auto"/>
                <w:lang w:eastAsia="zh-CN"/>
              </w:rPr>
              <w:t>镇污水处理厂</w:t>
            </w:r>
            <w:r>
              <w:rPr>
                <w:rFonts w:hint="default" w:ascii="Times New Roman" w:hAnsi="Times New Roman" w:cs="Times New Roman"/>
                <w:color w:val="auto"/>
                <w:kern w:val="0"/>
                <w:sz w:val="24"/>
                <w:szCs w:val="24"/>
                <w:highlight w:val="none"/>
                <w:u w:val="none" w:color="auto"/>
              </w:rPr>
              <w:t>进一步处理，不会导致当地区域地表水环境质量下降，污染物排放不会对区域环境质量底线造成冲击。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因此，本项目的建设符合环境质量底线要求。</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资源</w:t>
            </w:r>
            <w:r>
              <w:rPr>
                <w:rFonts w:hint="default" w:ascii="Times New Roman" w:hAnsi="Times New Roman" w:eastAsia="宋体" w:cs="Times New Roman"/>
                <w:color w:val="auto"/>
                <w:kern w:val="0"/>
                <w:sz w:val="24"/>
                <w:szCs w:val="24"/>
                <w:u w:val="none" w:color="auto"/>
              </w:rPr>
              <w:t>利用</w:t>
            </w:r>
            <w:r>
              <w:rPr>
                <w:rFonts w:hint="default" w:ascii="Times New Roman" w:hAnsi="Times New Roman" w:cs="Times New Roman"/>
                <w:color w:val="auto"/>
                <w:kern w:val="0"/>
                <w:sz w:val="24"/>
                <w:szCs w:val="24"/>
                <w:u w:val="none" w:color="auto"/>
              </w:rPr>
              <w:t>上线</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本项目为医院建设项目，在院区现有用地范围内进行扩建，不新增占地，项目以“治病救人”为主要职能，水、气等资源消耗量不大，同时项目提倡节能、节水，且区域电能和水资源丰富，因此，符合资源利用上线要求。</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lang w:val="en-US" w:eastAsia="zh-CN"/>
              </w:rPr>
              <w:t>生态</w:t>
            </w:r>
            <w:r>
              <w:rPr>
                <w:rFonts w:hint="default" w:ascii="Times New Roman" w:hAnsi="Times New Roman" w:cs="Times New Roman"/>
                <w:color w:val="auto"/>
                <w:kern w:val="0"/>
                <w:sz w:val="24"/>
                <w:szCs w:val="24"/>
                <w:u w:val="none" w:color="auto"/>
              </w:rPr>
              <w:t>环境</w:t>
            </w:r>
            <w:r>
              <w:rPr>
                <w:rFonts w:hint="default" w:ascii="Times New Roman" w:hAnsi="Times New Roman" w:eastAsia="宋体" w:cs="Times New Roman"/>
                <w:color w:val="auto"/>
                <w:kern w:val="0"/>
                <w:sz w:val="24"/>
                <w:szCs w:val="24"/>
                <w:u w:val="none" w:color="auto"/>
              </w:rPr>
              <w:t>准入</w:t>
            </w:r>
            <w:r>
              <w:rPr>
                <w:rFonts w:hint="default" w:ascii="Times New Roman" w:hAnsi="Times New Roman" w:cs="Times New Roman"/>
                <w:color w:val="auto"/>
                <w:kern w:val="0"/>
                <w:sz w:val="24"/>
                <w:szCs w:val="24"/>
                <w:u w:val="none" w:color="auto"/>
              </w:rPr>
              <w:t>清单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本项目为医院建设项目，符合国家产业政策，项目周边环境简单，不涉及环境敏感区，无明显的环境制约因素，</w:t>
            </w:r>
            <w:r>
              <w:rPr>
                <w:rFonts w:hint="eastAsia" w:ascii="Times New Roman" w:hAnsi="Times New Roman" w:cs="Times New Roman"/>
                <w:color w:val="auto"/>
                <w:kern w:val="0"/>
                <w:sz w:val="24"/>
                <w:szCs w:val="24"/>
                <w:u w:val="none" w:color="auto"/>
                <w:lang w:val="en-US" w:eastAsia="zh-CN"/>
              </w:rPr>
              <w:t>对照湖南省“三线一单”生态环境总体管控要求暨省级以上产业园区生态环境准入清单，本项目符合准入要求</w:t>
            </w:r>
            <w:r>
              <w:rPr>
                <w:rFonts w:hint="default" w:ascii="Times New Roman" w:hAnsi="Times New Roman" w:cs="Times New Roman"/>
                <w:color w:val="auto"/>
                <w:kern w:val="0"/>
                <w:sz w:val="24"/>
                <w:szCs w:val="24"/>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综上所述</w:t>
            </w:r>
            <w:r>
              <w:rPr>
                <w:rFonts w:hint="default" w:ascii="Times New Roman" w:hAnsi="Times New Roman" w:cs="Times New Roman"/>
                <w:color w:val="auto"/>
                <w:kern w:val="0"/>
                <w:sz w:val="24"/>
                <w:szCs w:val="24"/>
                <w:u w:val="none" w:color="auto"/>
              </w:rPr>
              <w:t>，项目建设符合“三线一单”的相关要求。</w:t>
            </w:r>
          </w:p>
          <w:p>
            <w:pPr>
              <w:autoSpaceDE w:val="0"/>
              <w:autoSpaceDN w:val="0"/>
              <w:adjustRightInd w:val="0"/>
              <w:snapToGrid w:val="0"/>
              <w:spacing w:line="360" w:lineRule="auto"/>
              <w:jc w:val="left"/>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1.4 项目建设与《岳阳市人民政府关于实施岳阳市“三线一单”生态环境分区管控的意见（岳政发〔2021〕2号）》的符合性分析</w:t>
            </w:r>
          </w:p>
          <w:p>
            <w:pPr>
              <w:pStyle w:val="43"/>
              <w:spacing w:before="27" w:line="345" w:lineRule="auto"/>
              <w:ind w:left="102" w:right="-18" w:firstLine="480"/>
              <w:jc w:val="left"/>
              <w:rPr>
                <w:rFonts w:ascii="宋体" w:hAnsi="宋体" w:eastAsia="宋体" w:cs="宋体"/>
                <w:color w:val="auto"/>
                <w:sz w:val="24"/>
                <w:szCs w:val="24"/>
                <w:u w:val="single" w:color="auto"/>
              </w:rPr>
            </w:pPr>
            <w:r>
              <w:rPr>
                <w:rFonts w:ascii="宋体" w:hAnsi="宋体" w:eastAsia="宋体" w:cs="宋体"/>
                <w:color w:val="auto"/>
                <w:sz w:val="24"/>
                <w:szCs w:val="24"/>
                <w:u w:val="single" w:color="auto"/>
              </w:rPr>
              <w:t>本项目位于</w:t>
            </w:r>
            <w:r>
              <w:rPr>
                <w:rFonts w:hint="eastAsia" w:ascii="宋体" w:hAnsi="宋体" w:eastAsia="宋体" w:cs="宋体"/>
                <w:color w:val="auto"/>
                <w:sz w:val="24"/>
                <w:szCs w:val="24"/>
                <w:u w:val="single" w:color="auto"/>
              </w:rPr>
              <w:t>湖南省岳阳市湘阴县</w:t>
            </w:r>
            <w:r>
              <w:rPr>
                <w:rFonts w:hint="eastAsia" w:ascii="宋体" w:hAnsi="宋体" w:eastAsia="宋体" w:cs="宋体"/>
                <w:color w:val="auto"/>
                <w:sz w:val="24"/>
                <w:szCs w:val="24"/>
                <w:u w:val="single" w:color="auto"/>
                <w:lang w:eastAsia="zh-CN"/>
              </w:rPr>
              <w:t>东塘</w:t>
            </w:r>
            <w:r>
              <w:rPr>
                <w:rFonts w:hint="eastAsia" w:ascii="宋体" w:hAnsi="宋体" w:eastAsia="宋体" w:cs="宋体"/>
                <w:color w:val="auto"/>
                <w:sz w:val="24"/>
                <w:szCs w:val="24"/>
                <w:u w:val="single" w:color="auto"/>
                <w:lang w:val="en-US" w:eastAsia="zh-CN"/>
              </w:rPr>
              <w:t>镇</w:t>
            </w:r>
            <w:r>
              <w:rPr>
                <w:rFonts w:ascii="宋体" w:hAnsi="宋体" w:eastAsia="宋体" w:cs="宋体"/>
                <w:color w:val="auto"/>
                <w:sz w:val="24"/>
                <w:szCs w:val="24"/>
                <w:u w:val="single" w:color="auto"/>
              </w:rPr>
              <w:t>，根据《岳阳市人民政</w:t>
            </w:r>
            <w:r>
              <w:rPr>
                <w:rFonts w:ascii="宋体" w:hAnsi="宋体" w:eastAsia="宋体" w:cs="宋体"/>
                <w:color w:val="auto"/>
                <w:spacing w:val="-5"/>
                <w:sz w:val="24"/>
                <w:szCs w:val="24"/>
                <w:u w:val="single" w:color="auto"/>
              </w:rPr>
              <w:t>府关于实施岳阳市“三线一单”生态环境分区管控的意见（岳政发〔</w:t>
            </w:r>
            <w:r>
              <w:rPr>
                <w:rFonts w:ascii="Times New Roman" w:hAnsi="Times New Roman" w:eastAsia="Times New Roman" w:cs="Times New Roman"/>
                <w:color w:val="auto"/>
                <w:spacing w:val="-5"/>
                <w:sz w:val="24"/>
                <w:szCs w:val="24"/>
                <w:u w:val="single" w:color="auto"/>
              </w:rPr>
              <w:t>2021</w:t>
            </w:r>
            <w:r>
              <w:rPr>
                <w:rFonts w:ascii="宋体" w:hAnsi="宋体" w:eastAsia="宋体" w:cs="宋体"/>
                <w:color w:val="auto"/>
                <w:spacing w:val="-5"/>
                <w:sz w:val="24"/>
                <w:szCs w:val="24"/>
                <w:u w:val="single" w:color="auto"/>
              </w:rPr>
              <w:t>〕</w:t>
            </w:r>
            <w:r>
              <w:rPr>
                <w:rFonts w:ascii="Times New Roman" w:hAnsi="Times New Roman" w:eastAsia="Times New Roman" w:cs="Times New Roman"/>
                <w:color w:val="auto"/>
                <w:sz w:val="24"/>
                <w:szCs w:val="24"/>
                <w:u w:val="single" w:color="auto"/>
              </w:rPr>
              <w:t>2</w:t>
            </w:r>
            <w:r>
              <w:rPr>
                <w:rFonts w:ascii="宋体" w:hAnsi="宋体" w:eastAsia="宋体" w:cs="宋体"/>
                <w:color w:val="auto"/>
                <w:spacing w:val="16"/>
                <w:sz w:val="24"/>
                <w:szCs w:val="24"/>
                <w:u w:val="single" w:color="auto"/>
              </w:rPr>
              <w:t>号）》可知，项目所在地管控单元类型属于一般管控单元，编号为</w:t>
            </w:r>
            <w:r>
              <w:rPr>
                <w:rFonts w:ascii="Times New Roman" w:hAnsi="Times New Roman" w:eastAsia="Times New Roman" w:cs="Times New Roman"/>
                <w:color w:val="auto"/>
                <w:sz w:val="24"/>
                <w:szCs w:val="24"/>
                <w:u w:val="single" w:color="auto"/>
              </w:rPr>
              <w:t>ZH43062430002</w:t>
            </w:r>
            <w:r>
              <w:rPr>
                <w:rFonts w:ascii="宋体" w:hAnsi="宋体" w:eastAsia="宋体" w:cs="宋体"/>
                <w:color w:val="auto"/>
                <w:sz w:val="24"/>
                <w:szCs w:val="24"/>
                <w:u w:val="single" w:color="auto"/>
              </w:rPr>
              <w:t>，具体分析如下。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color w:val="auto"/>
                <w:kern w:val="0"/>
                <w:sz w:val="24"/>
                <w:szCs w:val="24"/>
                <w:u w:val="single" w:color="auto"/>
              </w:rPr>
            </w:pPr>
            <w:r>
              <w:rPr>
                <w:rFonts w:hint="default" w:ascii="Times New Roman" w:hAnsi="Times New Roman" w:cs="Times New Roman"/>
                <w:color w:val="auto"/>
                <w:kern w:val="0"/>
                <w:sz w:val="24"/>
                <w:szCs w:val="24"/>
                <w:u w:val="single" w:color="auto"/>
              </w:rPr>
              <w:t>表 1-1 项目与岳阳市“三线一单”文件符合性分析</w:t>
            </w:r>
          </w:p>
          <w:tbl>
            <w:tblPr>
              <w:tblStyle w:val="21"/>
              <w:tblW w:w="7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81"/>
              <w:gridCol w:w="2610"/>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管控维度</w:t>
                  </w:r>
                </w:p>
              </w:tc>
              <w:tc>
                <w:tcPr>
                  <w:tcW w:w="3481" w:type="dxa"/>
                  <w:noWrap w:val="0"/>
                  <w:vAlign w:val="center"/>
                </w:tcPr>
                <w:p>
                  <w:pPr>
                    <w:pStyle w:val="43"/>
                    <w:spacing w:line="360" w:lineRule="auto"/>
                    <w:ind w:left="770" w:leftChars="0" w:right="0" w:rightChars="0" w:hanging="770" w:hangingChars="367"/>
                    <w:jc w:val="center"/>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管控要求（一般管控单元）</w:t>
                  </w:r>
                </w:p>
              </w:tc>
              <w:tc>
                <w:tcPr>
                  <w:tcW w:w="2610" w:type="dxa"/>
                  <w:noWrap w:val="0"/>
                  <w:vAlign w:val="center"/>
                </w:tcPr>
                <w:p>
                  <w:pPr>
                    <w:pStyle w:val="43"/>
                    <w:spacing w:line="360" w:lineRule="auto"/>
                    <w:ind w:left="575" w:leftChars="0" w:right="0" w:rightChars="0" w:hanging="575" w:hangingChars="274"/>
                    <w:jc w:val="center"/>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项目建设情况</w:t>
                  </w:r>
                </w:p>
              </w:tc>
              <w:tc>
                <w:tcPr>
                  <w:tcW w:w="41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w w:val="99"/>
                      <w:sz w:val="21"/>
                      <w:szCs w:val="21"/>
                      <w:u w:val="single" w:color="auto"/>
                    </w:rPr>
                    <w:t>是</w:t>
                  </w:r>
                  <w:r>
                    <w:rPr>
                      <w:rFonts w:ascii="宋体" w:hAnsi="宋体" w:eastAsia="宋体" w:cs="宋体"/>
                      <w:color w:val="auto"/>
                      <w:sz w:val="21"/>
                      <w:szCs w:val="21"/>
                      <w:u w:val="single" w:color="auto"/>
                    </w:rPr>
                    <w:t>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空间布局约束</w:t>
                  </w:r>
                </w:p>
              </w:tc>
              <w:tc>
                <w:tcPr>
                  <w:tcW w:w="348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Times New Roman" w:hAnsi="Times New Roman" w:eastAsia="Times New Roman" w:cs="Times New Roman"/>
                      <w:color w:val="auto"/>
                      <w:sz w:val="21"/>
                      <w:szCs w:val="21"/>
                      <w:u w:val="single" w:color="auto"/>
                    </w:rPr>
                    <w:t>1.1</w:t>
                  </w:r>
                  <w:r>
                    <w:rPr>
                      <w:rFonts w:ascii="宋体" w:hAnsi="宋体" w:eastAsia="宋体" w:cs="宋体"/>
                      <w:color w:val="auto"/>
                      <w:sz w:val="21"/>
                      <w:szCs w:val="21"/>
                      <w:u w:val="single" w:color="auto"/>
                    </w:rPr>
                    <w:t>严格执行养殖业禁养区、限养区、适养区的划分规定，严格把关养殖项目审批，不得在禁养区、限养区新批任何畜禽养殖项目；</w:t>
                  </w:r>
                  <w:r>
                    <w:rPr>
                      <w:rFonts w:ascii="Times New Roman" w:hAnsi="Times New Roman" w:eastAsia="Times New Roman" w:cs="Times New Roman"/>
                      <w:color w:val="auto"/>
                      <w:sz w:val="21"/>
                      <w:szCs w:val="21"/>
                      <w:u w:val="single" w:color="auto"/>
                    </w:rPr>
                    <w:t>1.2</w:t>
                  </w:r>
                  <w:r>
                    <w:rPr>
                      <w:rFonts w:ascii="宋体" w:hAnsi="宋体" w:eastAsia="宋体" w:cs="宋体"/>
                      <w:color w:val="auto"/>
                      <w:sz w:val="21"/>
                      <w:szCs w:val="21"/>
                      <w:u w:val="single" w:color="auto"/>
                    </w:rPr>
                    <w:t>禁止露天焚烧垃圾和垃圾填埋，全面推行农村垃圾分类收集处理，逐步实</w:t>
                  </w:r>
                  <w:r>
                    <w:rPr>
                      <w:rFonts w:ascii="宋体" w:hAnsi="宋体" w:eastAsia="宋体" w:cs="宋体"/>
                      <w:color w:val="auto"/>
                      <w:spacing w:val="-2"/>
                      <w:sz w:val="21"/>
                      <w:szCs w:val="21"/>
                      <w:u w:val="single" w:color="auto"/>
                    </w:rPr>
                    <w:t>现农村生活垃圾处理减量化、处置无害化、</w:t>
                  </w:r>
                  <w:r>
                    <w:rPr>
                      <w:rFonts w:ascii="宋体" w:hAnsi="宋体" w:eastAsia="宋体" w:cs="宋体"/>
                      <w:color w:val="auto"/>
                      <w:spacing w:val="-3"/>
                      <w:sz w:val="21"/>
                      <w:szCs w:val="21"/>
                      <w:u w:val="single" w:color="auto"/>
                    </w:rPr>
                    <w:t>废物资源化；</w:t>
                  </w:r>
                  <w:r>
                    <w:rPr>
                      <w:rFonts w:ascii="Times New Roman" w:hAnsi="Times New Roman" w:eastAsia="Times New Roman" w:cs="Times New Roman"/>
                      <w:color w:val="auto"/>
                      <w:spacing w:val="-3"/>
                      <w:sz w:val="21"/>
                      <w:szCs w:val="21"/>
                      <w:u w:val="single" w:color="auto"/>
                    </w:rPr>
                    <w:t>1.3</w:t>
                  </w:r>
                  <w:r>
                    <w:rPr>
                      <w:rFonts w:ascii="宋体" w:hAnsi="宋体" w:eastAsia="宋体" w:cs="宋体"/>
                      <w:color w:val="auto"/>
                      <w:sz w:val="21"/>
                      <w:szCs w:val="21"/>
                      <w:u w:val="single" w:color="auto"/>
                    </w:rPr>
                    <w:t>禁止造成饮用水源保护区污染的活动，包括投肥养鱼、珍珠养殖、游泳、破坏植被等。</w:t>
                  </w:r>
                </w:p>
              </w:tc>
              <w:tc>
                <w:tcPr>
                  <w:tcW w:w="261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本项目属于</w:t>
                  </w:r>
                  <w:r>
                    <w:rPr>
                      <w:rFonts w:ascii="Times New Roman" w:hAnsi="Times New Roman" w:eastAsia="Times New Roman" w:cs="Times New Roman"/>
                      <w:color w:val="auto"/>
                      <w:sz w:val="21"/>
                      <w:szCs w:val="21"/>
                      <w:u w:val="single" w:color="auto"/>
                    </w:rPr>
                    <w:t>Q8423</w:t>
                  </w:r>
                  <w:r>
                    <w:rPr>
                      <w:rFonts w:ascii="宋体" w:hAnsi="宋体" w:eastAsia="宋体" w:cs="宋体"/>
                      <w:color w:val="auto"/>
                      <w:sz w:val="21"/>
                      <w:szCs w:val="21"/>
                      <w:u w:val="single" w:color="auto"/>
                    </w:rPr>
                    <w:t>乡镇</w:t>
                  </w:r>
                  <w:r>
                    <w:rPr>
                      <w:rFonts w:ascii="宋体" w:hAnsi="宋体" w:eastAsia="宋体" w:cs="宋体"/>
                      <w:color w:val="auto"/>
                      <w:spacing w:val="-9"/>
                      <w:sz w:val="21"/>
                      <w:szCs w:val="21"/>
                      <w:u w:val="single" w:color="auto"/>
                    </w:rPr>
                    <w:t>卫生院，不涉及畜禽养殖项目。本项目医疗废物分</w:t>
                  </w:r>
                  <w:r>
                    <w:rPr>
                      <w:rFonts w:ascii="宋体" w:hAnsi="宋体" w:eastAsia="宋体" w:cs="宋体"/>
                      <w:color w:val="auto"/>
                      <w:sz w:val="21"/>
                      <w:szCs w:val="21"/>
                      <w:u w:val="single" w:color="auto"/>
                    </w:rPr>
                    <w:t>类收集后暂存至医疗废</w:t>
                  </w:r>
                  <w:r>
                    <w:rPr>
                      <w:rFonts w:ascii="宋体" w:hAnsi="宋体" w:eastAsia="宋体" w:cs="宋体"/>
                      <w:color w:val="auto"/>
                      <w:spacing w:val="-9"/>
                      <w:sz w:val="21"/>
                      <w:szCs w:val="21"/>
                      <w:u w:val="single" w:color="auto"/>
                    </w:rPr>
                    <w:t>物暂存间，</w:t>
                  </w:r>
                  <w:r>
                    <w:rPr>
                      <w:rFonts w:ascii="宋体" w:hAnsi="宋体" w:eastAsia="宋体" w:cs="宋体"/>
                      <w:color w:val="auto"/>
                      <w:spacing w:val="-9"/>
                      <w:sz w:val="21"/>
                      <w:szCs w:val="21"/>
                      <w:highlight w:val="none"/>
                      <w:u w:val="single" w:color="auto"/>
                    </w:rPr>
                    <w:t>后交由岳阳市</w:t>
                  </w:r>
                  <w:r>
                    <w:rPr>
                      <w:rFonts w:ascii="宋体" w:hAnsi="宋体" w:eastAsia="宋体" w:cs="宋体"/>
                      <w:color w:val="auto"/>
                      <w:sz w:val="21"/>
                      <w:szCs w:val="21"/>
                      <w:highlight w:val="none"/>
                      <w:u w:val="single" w:color="auto"/>
                    </w:rPr>
                    <w:t>方向固废安全处置有限</w:t>
                  </w:r>
                  <w:r>
                    <w:rPr>
                      <w:rFonts w:ascii="宋体" w:hAnsi="宋体" w:eastAsia="宋体" w:cs="宋体"/>
                      <w:color w:val="auto"/>
                      <w:spacing w:val="-9"/>
                      <w:sz w:val="21"/>
                      <w:szCs w:val="21"/>
                      <w:highlight w:val="none"/>
                      <w:u w:val="single" w:color="auto"/>
                    </w:rPr>
                    <w:t>公司处置，</w:t>
                  </w:r>
                  <w:r>
                    <w:rPr>
                      <w:rFonts w:ascii="宋体" w:hAnsi="宋体" w:eastAsia="宋体" w:cs="宋体"/>
                      <w:color w:val="auto"/>
                      <w:spacing w:val="-9"/>
                      <w:sz w:val="21"/>
                      <w:szCs w:val="21"/>
                      <w:u w:val="single" w:color="auto"/>
                    </w:rPr>
                    <w:t>生活垃圾分类</w:t>
                  </w:r>
                  <w:r>
                    <w:rPr>
                      <w:rFonts w:ascii="宋体" w:hAnsi="宋体" w:eastAsia="宋体" w:cs="宋体"/>
                      <w:color w:val="auto"/>
                      <w:sz w:val="21"/>
                      <w:szCs w:val="21"/>
                      <w:u w:val="single" w:color="auto"/>
                    </w:rPr>
                    <w:t>收集后交由环卫部门处理，固废得到合理处置。</w:t>
                  </w:r>
                </w:p>
              </w:tc>
              <w:tc>
                <w:tcPr>
                  <w:tcW w:w="41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污染物排放管控</w:t>
                  </w:r>
                </w:p>
              </w:tc>
              <w:tc>
                <w:tcPr>
                  <w:tcW w:w="348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color w:val="auto"/>
                      <w:u w:val="single" w:color="auto"/>
                    </w:rPr>
                    <w:t>2.1城市建成区内的施工工地（重点是市政工程、建筑工地和园林绿化工程等工地）按照绿色建筑施工要求，做到“六个100%”。严查严管建筑工地、建筑垃圾处置工地、建筑垃圾消纳场扬尘污染问题，对车轮带泥、车身不洁</w:t>
                  </w:r>
                  <w:r>
                    <w:rPr>
                      <w:rFonts w:ascii="宋体" w:hAnsi="宋体" w:eastAsia="宋体" w:cs="宋体"/>
                      <w:color w:val="auto"/>
                      <w:sz w:val="21"/>
                      <w:szCs w:val="21"/>
                      <w:u w:val="single" w:color="auto"/>
                    </w:rPr>
                    <w:t>、沿途撒漏、乱倾乱倒等造成路面及扬尘污染的违规行为依</w:t>
                  </w:r>
                  <w:r>
                    <w:rPr>
                      <w:rFonts w:ascii="宋体" w:hAnsi="宋体" w:eastAsia="宋体" w:cs="宋体"/>
                      <w:color w:val="auto"/>
                      <w:spacing w:val="-3"/>
                      <w:sz w:val="21"/>
                      <w:szCs w:val="21"/>
                      <w:u w:val="single" w:color="auto"/>
                    </w:rPr>
                    <w:t>法严肃查处；</w:t>
                  </w:r>
                  <w:r>
                    <w:rPr>
                      <w:rFonts w:ascii="Times New Roman" w:hAnsi="Times New Roman" w:eastAsia="Times New Roman" w:cs="Times New Roman"/>
                      <w:color w:val="auto"/>
                      <w:spacing w:val="-3"/>
                      <w:sz w:val="21"/>
                      <w:szCs w:val="21"/>
                      <w:u w:val="single" w:color="auto"/>
                    </w:rPr>
                    <w:t>2.2</w:t>
                  </w:r>
                  <w:r>
                    <w:rPr>
                      <w:rFonts w:ascii="宋体" w:hAnsi="宋体" w:eastAsia="宋体" w:cs="宋体"/>
                      <w:color w:val="auto"/>
                      <w:sz w:val="21"/>
                      <w:szCs w:val="21"/>
                      <w:u w:val="single" w:color="auto"/>
                    </w:rPr>
                    <w:t>加强房屋建筑与市政工程施工现场扬尘环境监管，积极推进绿色施工，建设工程施工现场必须全封闭设置围挡墙，严禁敞开式作业，施工现场道路、作业区、生活区必须进行地面硬化。将施工扬尘污染控制情况纳入建筑企业信用管理系统，作为招投标的重要依据</w:t>
                  </w:r>
                  <w:r>
                    <w:rPr>
                      <w:color w:val="auto"/>
                      <w:u w:val="single" w:color="auto"/>
                    </w:rPr>
                    <w:t>。渣土运输车辆全部采取密闭措施，对重点建筑施工现场安装视频，实施在线监管。推行道路机械化清扫等低尘作业方式。各种煤堆、料堆应实现封闭储存或建设防风抑尘</w:t>
                  </w:r>
                  <w:r>
                    <w:rPr>
                      <w:rFonts w:ascii="宋体" w:hAnsi="宋体" w:eastAsia="宋体" w:cs="宋体"/>
                      <w:color w:val="auto"/>
                      <w:sz w:val="21"/>
                      <w:szCs w:val="21"/>
                      <w:u w:val="single" w:color="auto"/>
                    </w:rPr>
                    <w:t>设施。</w:t>
                  </w:r>
                </w:p>
              </w:tc>
              <w:tc>
                <w:tcPr>
                  <w:tcW w:w="261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本</w:t>
                  </w:r>
                  <w:r>
                    <w:rPr>
                      <w:color w:val="auto"/>
                      <w:u w:val="single" w:color="auto"/>
                    </w:rPr>
                    <w:t>项目施工期在工地设置围挡、施工地面硬化、洒水、采用商品混凝土等措施防治扬尘。</w:t>
                  </w:r>
                </w:p>
              </w:tc>
              <w:tc>
                <w:tcPr>
                  <w:tcW w:w="41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7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环境风险管控</w:t>
                  </w:r>
                </w:p>
              </w:tc>
              <w:tc>
                <w:tcPr>
                  <w:tcW w:w="348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Times New Roman" w:hAnsi="Times New Roman" w:eastAsia="Times New Roman" w:cs="Times New Roman"/>
                      <w:color w:val="auto"/>
                      <w:sz w:val="21"/>
                      <w:szCs w:val="21"/>
                      <w:u w:val="single" w:color="auto"/>
                    </w:rPr>
                    <w:t>3.1</w:t>
                  </w:r>
                  <w:r>
                    <w:rPr>
                      <w:rFonts w:ascii="宋体" w:hAnsi="宋体" w:eastAsia="宋体" w:cs="宋体"/>
                      <w:color w:val="auto"/>
                      <w:sz w:val="21"/>
                      <w:szCs w:val="21"/>
                      <w:u w:val="single" w:color="auto"/>
                    </w:rPr>
                    <w:t>开展饮用水源地周边土壤环境质量调查，掌握饮用水源地周边土壤环境质量状况及其潜在环境风险情况。</w:t>
                  </w:r>
                </w:p>
              </w:tc>
              <w:tc>
                <w:tcPr>
                  <w:tcW w:w="2610" w:type="dxa"/>
                  <w:noWrap w:val="0"/>
                  <w:vAlign w:val="center"/>
                </w:tcPr>
                <w:p>
                  <w:pPr>
                    <w:pStyle w:val="43"/>
                    <w:spacing w:line="360" w:lineRule="auto"/>
                    <w:ind w:left="103" w:right="0" w:firstLine="52"/>
                    <w:jc w:val="center"/>
                    <w:rPr>
                      <w:rFonts w:hint="default" w:ascii="Times New Roman" w:hAnsi="Times New Roman" w:eastAsia="宋体" w:cs="Times New Roman"/>
                      <w:color w:val="auto"/>
                      <w:kern w:val="0"/>
                      <w:sz w:val="24"/>
                      <w:szCs w:val="24"/>
                      <w:u w:val="single" w:color="auto"/>
                      <w:vertAlign w:val="baseline"/>
                      <w:lang w:val="en-US" w:eastAsia="zh-CN"/>
                    </w:rPr>
                  </w:pPr>
                  <w:r>
                    <w:rPr>
                      <w:rFonts w:ascii="宋体" w:hAnsi="宋体" w:eastAsia="宋体" w:cs="宋体"/>
                      <w:color w:val="auto"/>
                      <w:sz w:val="21"/>
                      <w:szCs w:val="21"/>
                      <w:u w:val="single" w:color="auto"/>
                    </w:rPr>
                    <w:t>项目废水处理采用地埋</w:t>
                  </w:r>
                  <w:r>
                    <w:rPr>
                      <w:rFonts w:ascii="宋体" w:hAnsi="宋体" w:eastAsia="宋体" w:cs="宋体"/>
                      <w:color w:val="auto"/>
                      <w:spacing w:val="-9"/>
                      <w:sz w:val="21"/>
                      <w:szCs w:val="21"/>
                      <w:u w:val="single" w:color="auto"/>
                    </w:rPr>
                    <w:t>式一体化处理设施，污水</w:t>
                  </w:r>
                  <w:r>
                    <w:rPr>
                      <w:rFonts w:ascii="宋体" w:hAnsi="宋体" w:eastAsia="宋体" w:cs="宋体"/>
                      <w:color w:val="auto"/>
                      <w:sz w:val="21"/>
                      <w:szCs w:val="21"/>
                      <w:u w:val="single" w:color="auto"/>
                    </w:rPr>
                    <w:t>处理站严格按照要求进</w:t>
                  </w:r>
                  <w:r>
                    <w:rPr>
                      <w:rFonts w:ascii="宋体" w:hAnsi="宋体" w:eastAsia="宋体" w:cs="宋体"/>
                      <w:color w:val="auto"/>
                      <w:spacing w:val="-9"/>
                      <w:sz w:val="21"/>
                      <w:szCs w:val="21"/>
                      <w:u w:val="single" w:color="auto"/>
                    </w:rPr>
                    <w:t>行防腐防渗，单独设置医疗废物暂存间，暂存间进行了防腐防渗，不会对地</w:t>
                  </w:r>
                  <w:r>
                    <w:rPr>
                      <w:rFonts w:ascii="宋体" w:hAnsi="宋体" w:eastAsia="宋体" w:cs="宋体"/>
                      <w:color w:val="auto"/>
                      <w:sz w:val="21"/>
                      <w:szCs w:val="21"/>
                      <w:u w:val="single" w:color="auto"/>
                    </w:rPr>
                    <w:t>下水和土壤造</w:t>
                  </w:r>
                  <w:r>
                    <w:rPr>
                      <w:rFonts w:hint="eastAsia" w:ascii="宋体" w:hAnsi="宋体" w:eastAsia="宋体" w:cs="宋体"/>
                      <w:color w:val="auto"/>
                      <w:sz w:val="21"/>
                      <w:szCs w:val="21"/>
                      <w:u w:val="single" w:color="auto"/>
                      <w:lang w:val="en-US" w:eastAsia="zh-CN"/>
                    </w:rPr>
                    <w:t>成影响。</w:t>
                  </w:r>
                </w:p>
              </w:tc>
              <w:tc>
                <w:tcPr>
                  <w:tcW w:w="41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资源开发效率要求</w:t>
                  </w:r>
                </w:p>
              </w:tc>
              <w:tc>
                <w:tcPr>
                  <w:tcW w:w="348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Times New Roman" w:hAnsi="Times New Roman" w:eastAsia="Times New Roman" w:cs="Times New Roman"/>
                      <w:color w:val="auto"/>
                      <w:sz w:val="21"/>
                      <w:szCs w:val="21"/>
                      <w:u w:val="single" w:color="auto"/>
                    </w:rPr>
                    <w:t>4.1</w:t>
                  </w:r>
                  <w:r>
                    <w:rPr>
                      <w:rFonts w:ascii="宋体" w:hAnsi="宋体" w:eastAsia="宋体" w:cs="宋体"/>
                      <w:color w:val="auto"/>
                      <w:sz w:val="21"/>
                      <w:szCs w:val="21"/>
                      <w:u w:val="single" w:color="auto"/>
                    </w:rPr>
                    <w:t>水资源：</w:t>
                  </w:r>
                  <w:r>
                    <w:rPr>
                      <w:rFonts w:ascii="Times New Roman" w:hAnsi="Times New Roman" w:eastAsia="Times New Roman" w:cs="Times New Roman"/>
                      <w:color w:val="auto"/>
                      <w:sz w:val="21"/>
                      <w:szCs w:val="21"/>
                      <w:u w:val="single" w:color="auto"/>
                    </w:rPr>
                    <w:t>2020</w:t>
                  </w:r>
                  <w:r>
                    <w:rPr>
                      <w:rFonts w:ascii="宋体" w:hAnsi="宋体" w:eastAsia="宋体" w:cs="宋体"/>
                      <w:color w:val="auto"/>
                      <w:sz w:val="21"/>
                      <w:szCs w:val="21"/>
                      <w:u w:val="single" w:color="auto"/>
                    </w:rPr>
                    <w:t>年，湘阴县万元国内生产总值用水量</w:t>
                  </w:r>
                  <w:r>
                    <w:rPr>
                      <w:rFonts w:ascii="Times New Roman" w:hAnsi="Times New Roman" w:eastAsia="Times New Roman" w:cs="Times New Roman"/>
                      <w:color w:val="auto"/>
                      <w:spacing w:val="-4"/>
                      <w:sz w:val="21"/>
                      <w:szCs w:val="21"/>
                      <w:u w:val="single" w:color="auto"/>
                    </w:rPr>
                    <w:t>75m</w:t>
                  </w:r>
                  <w:r>
                    <w:rPr>
                      <w:rFonts w:ascii="Times New Roman" w:hAnsi="Times New Roman" w:eastAsia="Times New Roman" w:cs="Times New Roman"/>
                      <w:color w:val="auto"/>
                      <w:spacing w:val="-4"/>
                      <w:position w:val="7"/>
                      <w:sz w:val="13"/>
                      <w:szCs w:val="13"/>
                      <w:u w:val="single" w:color="auto"/>
                    </w:rPr>
                    <w:t>3</w:t>
                  </w:r>
                  <w:r>
                    <w:rPr>
                      <w:rFonts w:ascii="Times New Roman" w:hAnsi="Times New Roman" w:eastAsia="Times New Roman" w:cs="Times New Roman"/>
                      <w:color w:val="auto"/>
                      <w:spacing w:val="-4"/>
                      <w:sz w:val="21"/>
                      <w:szCs w:val="21"/>
                      <w:u w:val="single" w:color="auto"/>
                    </w:rPr>
                    <w:t>/</w:t>
                  </w:r>
                  <w:r>
                    <w:rPr>
                      <w:rFonts w:ascii="宋体" w:hAnsi="宋体" w:eastAsia="宋体" w:cs="宋体"/>
                      <w:color w:val="auto"/>
                      <w:spacing w:val="-4"/>
                      <w:sz w:val="21"/>
                      <w:szCs w:val="21"/>
                      <w:u w:val="single" w:color="auto"/>
                    </w:rPr>
                    <w:t>万元，万元工业增加值</w:t>
                  </w:r>
                  <w:r>
                    <w:rPr>
                      <w:rFonts w:ascii="宋体" w:hAnsi="宋体" w:eastAsia="宋体" w:cs="宋体"/>
                      <w:color w:val="auto"/>
                      <w:sz w:val="21"/>
                      <w:szCs w:val="21"/>
                      <w:u w:val="single" w:color="auto"/>
                    </w:rPr>
                    <w:t>用水量</w:t>
                  </w:r>
                  <w:r>
                    <w:rPr>
                      <w:rFonts w:ascii="Times New Roman" w:hAnsi="Times New Roman" w:eastAsia="Times New Roman" w:cs="Times New Roman"/>
                      <w:color w:val="auto"/>
                      <w:spacing w:val="-3"/>
                      <w:sz w:val="21"/>
                      <w:szCs w:val="21"/>
                      <w:u w:val="single" w:color="auto"/>
                    </w:rPr>
                    <w:t>28m</w:t>
                  </w:r>
                  <w:r>
                    <w:rPr>
                      <w:rFonts w:ascii="Times New Roman" w:hAnsi="Times New Roman" w:eastAsia="Times New Roman" w:cs="Times New Roman"/>
                      <w:color w:val="auto"/>
                      <w:spacing w:val="-3"/>
                      <w:position w:val="7"/>
                      <w:sz w:val="13"/>
                      <w:szCs w:val="13"/>
                      <w:u w:val="single" w:color="auto"/>
                    </w:rPr>
                    <w:t>3</w:t>
                  </w:r>
                  <w:r>
                    <w:rPr>
                      <w:rFonts w:ascii="Times New Roman" w:hAnsi="Times New Roman" w:eastAsia="Times New Roman" w:cs="Times New Roman"/>
                      <w:color w:val="auto"/>
                      <w:spacing w:val="-3"/>
                      <w:sz w:val="21"/>
                      <w:szCs w:val="21"/>
                      <w:u w:val="single" w:color="auto"/>
                    </w:rPr>
                    <w:t>/</w:t>
                  </w:r>
                  <w:r>
                    <w:rPr>
                      <w:rFonts w:ascii="宋体" w:hAnsi="宋体" w:eastAsia="宋体" w:cs="宋体"/>
                      <w:color w:val="auto"/>
                      <w:spacing w:val="-3"/>
                      <w:sz w:val="21"/>
                      <w:szCs w:val="21"/>
                      <w:u w:val="single" w:color="auto"/>
                    </w:rPr>
                    <w:t>万</w:t>
                  </w:r>
                  <w:r>
                    <w:rPr>
                      <w:color w:val="auto"/>
                      <w:u w:val="single" w:color="auto"/>
                    </w:rPr>
                    <w:t>元，农田灌溉水有效利用系数0.53；4.2能源：积极引导生活用燃煤的居民改用天然气、液化石油气等清洁能源，鼓励秸秆资源化、能源化利</w:t>
                  </w:r>
                  <w:r>
                    <w:rPr>
                      <w:rFonts w:ascii="宋体" w:hAnsi="宋体" w:eastAsia="宋体" w:cs="宋体"/>
                      <w:color w:val="auto"/>
                      <w:spacing w:val="-7"/>
                      <w:sz w:val="21"/>
                      <w:szCs w:val="21"/>
                      <w:u w:val="single" w:color="auto"/>
                    </w:rPr>
                    <w:t>用。湘阴县“十</w:t>
                  </w:r>
                  <w:r>
                    <w:rPr>
                      <w:rFonts w:ascii="宋体" w:hAnsi="宋体" w:eastAsia="宋体" w:cs="宋体"/>
                      <w:color w:val="auto"/>
                      <w:sz w:val="21"/>
                      <w:szCs w:val="21"/>
                      <w:u w:val="single" w:color="auto"/>
                    </w:rPr>
                    <w:t>三五”能耗强度降低目</w:t>
                  </w:r>
                  <w:r>
                    <w:rPr>
                      <w:rFonts w:ascii="Times New Roman" w:hAnsi="Times New Roman" w:eastAsia="Times New Roman" w:cs="Times New Roman"/>
                      <w:color w:val="auto"/>
                      <w:sz w:val="21"/>
                      <w:szCs w:val="21"/>
                      <w:u w:val="single" w:color="auto"/>
                    </w:rPr>
                    <w:t>18.5%</w:t>
                  </w:r>
                  <w:r>
                    <w:rPr>
                      <w:rFonts w:ascii="宋体" w:hAnsi="宋体" w:eastAsia="宋体" w:cs="宋体"/>
                      <w:color w:val="auto"/>
                      <w:sz w:val="21"/>
                      <w:szCs w:val="21"/>
                      <w:u w:val="single" w:color="auto"/>
                    </w:rPr>
                    <w:t>，“十三五”能耗控制目标</w:t>
                  </w:r>
                  <w:r>
                    <w:rPr>
                      <w:rFonts w:ascii="Times New Roman" w:hAnsi="Times New Roman" w:eastAsia="Times New Roman" w:cs="Times New Roman"/>
                      <w:color w:val="auto"/>
                      <w:sz w:val="21"/>
                      <w:szCs w:val="21"/>
                      <w:u w:val="single" w:color="auto"/>
                    </w:rPr>
                    <w:t>20</w:t>
                  </w:r>
                  <w:r>
                    <w:rPr>
                      <w:rFonts w:ascii="宋体" w:hAnsi="宋体" w:eastAsia="宋体" w:cs="宋体"/>
                      <w:color w:val="auto"/>
                      <w:sz w:val="21"/>
                      <w:szCs w:val="21"/>
                      <w:u w:val="single" w:color="auto"/>
                    </w:rPr>
                    <w:t>万吨标准煤。</w:t>
                  </w:r>
                </w:p>
              </w:tc>
              <w:tc>
                <w:tcPr>
                  <w:tcW w:w="261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pacing w:val="-9"/>
                      <w:sz w:val="21"/>
                      <w:szCs w:val="21"/>
                      <w:u w:val="single" w:color="auto"/>
                    </w:rPr>
                    <w:t>项目为医疗服务机构，用水主要为生活用水，使用量较少。能源使用天然气</w:t>
                  </w:r>
                  <w:r>
                    <w:rPr>
                      <w:rFonts w:ascii="宋体" w:hAnsi="宋体" w:eastAsia="宋体" w:cs="宋体"/>
                      <w:color w:val="auto"/>
                      <w:sz w:val="21"/>
                      <w:szCs w:val="21"/>
                      <w:u w:val="single" w:color="auto"/>
                    </w:rPr>
                    <w:t>和电能，属于清洁能源</w:t>
                  </w:r>
                </w:p>
              </w:tc>
              <w:tc>
                <w:tcPr>
                  <w:tcW w:w="41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u w:val="single" w:color="auto"/>
                      <w:vertAlign w:val="baseline"/>
                    </w:rPr>
                  </w:pPr>
                  <w:r>
                    <w:rPr>
                      <w:rFonts w:ascii="宋体" w:hAnsi="宋体" w:eastAsia="宋体" w:cs="宋体"/>
                      <w:color w:val="auto"/>
                      <w:sz w:val="21"/>
                      <w:szCs w:val="21"/>
                      <w:u w:val="single" w:color="auto"/>
                    </w:rPr>
                    <w:t>符合</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jc w:val="left"/>
              <w:textAlignment w:val="auto"/>
              <w:rPr>
                <w:rFonts w:hint="default" w:ascii="Times New Roman" w:hAnsi="Times New Roman" w:eastAsia="宋体" w:cs="Times New Roman"/>
                <w:color w:val="auto"/>
                <w:spacing w:val="-1"/>
                <w:sz w:val="24"/>
                <w:szCs w:val="24"/>
                <w:highlight w:val="none"/>
                <w:u w:val="none" w:color="auto"/>
                <w:lang w:eastAsia="zh-CN"/>
              </w:rPr>
            </w:pPr>
            <w:r>
              <w:rPr>
                <w:rFonts w:hint="default" w:ascii="Times New Roman" w:hAnsi="Times New Roman" w:eastAsia="宋体" w:cs="Times New Roman"/>
                <w:color w:val="auto"/>
                <w:spacing w:val="-1"/>
                <w:sz w:val="24"/>
                <w:szCs w:val="24"/>
                <w:highlight w:val="none"/>
                <w:u w:val="single" w:color="auto"/>
                <w:lang w:val="en-US" w:eastAsia="zh-CN"/>
              </w:rPr>
              <w:t>综上所述，项目建设与《岳阳市人民政府关于实施岳阳市</w:t>
            </w:r>
            <w:r>
              <w:rPr>
                <w:rFonts w:hint="eastAsia" w:ascii="Times New Roman" w:hAnsi="Times New Roman" w:eastAsia="宋体" w:cs="Times New Roman"/>
                <w:color w:val="auto"/>
                <w:spacing w:val="-1"/>
                <w:sz w:val="24"/>
                <w:szCs w:val="24"/>
                <w:highlight w:val="none"/>
                <w:u w:val="single" w:color="auto"/>
                <w:lang w:val="en-US" w:eastAsia="zh-CN"/>
              </w:rPr>
              <w:t>“</w:t>
            </w:r>
            <w:r>
              <w:rPr>
                <w:rFonts w:hint="default" w:ascii="Times New Roman" w:hAnsi="Times New Roman" w:eastAsia="宋体" w:cs="Times New Roman"/>
                <w:color w:val="auto"/>
                <w:spacing w:val="-1"/>
                <w:sz w:val="24"/>
                <w:szCs w:val="24"/>
                <w:highlight w:val="none"/>
                <w:u w:val="single" w:color="auto"/>
                <w:lang w:val="en-US" w:eastAsia="zh-CN"/>
              </w:rPr>
              <w:t>三线一单</w:t>
            </w:r>
            <w:r>
              <w:rPr>
                <w:rFonts w:hint="eastAsia" w:ascii="Times New Roman" w:hAnsi="Times New Roman" w:eastAsia="宋体" w:cs="Times New Roman"/>
                <w:color w:val="auto"/>
                <w:spacing w:val="-1"/>
                <w:sz w:val="24"/>
                <w:szCs w:val="24"/>
                <w:highlight w:val="none"/>
                <w:u w:val="single" w:color="auto"/>
                <w:lang w:val="en-US" w:eastAsia="zh-CN"/>
              </w:rPr>
              <w:t>”</w:t>
            </w:r>
            <w:r>
              <w:rPr>
                <w:rFonts w:hint="default" w:ascii="Times New Roman" w:hAnsi="Times New Roman" w:eastAsia="宋体" w:cs="Times New Roman"/>
                <w:color w:val="auto"/>
                <w:spacing w:val="-1"/>
                <w:sz w:val="24"/>
                <w:szCs w:val="24"/>
                <w:highlight w:val="none"/>
                <w:u w:val="single" w:color="auto"/>
                <w:lang w:val="en-US" w:eastAsia="zh-CN"/>
              </w:rPr>
              <w:t>生态环境分区管控的意见（岳政发〔2021〕2号）》相符。</w:t>
            </w:r>
          </w:p>
          <w:p>
            <w:pPr>
              <w:autoSpaceDE w:val="0"/>
              <w:autoSpaceDN w:val="0"/>
              <w:adjustRightInd w:val="0"/>
              <w:snapToGrid w:val="0"/>
              <w:spacing w:line="360" w:lineRule="auto"/>
              <w:jc w:val="left"/>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1.</w:t>
            </w:r>
            <w:r>
              <w:rPr>
                <w:rFonts w:hint="eastAsia" w:ascii="Times New Roman" w:hAnsi="Times New Roman" w:eastAsia="宋体" w:cs="Times New Roman"/>
                <w:b/>
                <w:bCs/>
                <w:color w:val="auto"/>
                <w:kern w:val="0"/>
                <w:sz w:val="24"/>
                <w:szCs w:val="24"/>
                <w:u w:val="none" w:color="auto"/>
                <w:lang w:val="en-US" w:eastAsia="zh-CN"/>
              </w:rPr>
              <w:t>5</w:t>
            </w:r>
            <w:r>
              <w:rPr>
                <w:rFonts w:hint="default" w:ascii="Times New Roman" w:hAnsi="Times New Roman" w:eastAsia="宋体" w:cs="Times New Roman"/>
                <w:b/>
                <w:bCs/>
                <w:color w:val="auto"/>
                <w:kern w:val="0"/>
                <w:sz w:val="24"/>
                <w:szCs w:val="24"/>
                <w:u w:val="none" w:color="auto"/>
              </w:rPr>
              <w:t>选址合理性分析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firstLineChars="200"/>
              <w:jc w:val="left"/>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pacing w:val="-1"/>
                <w:sz w:val="24"/>
                <w:szCs w:val="24"/>
                <w:highlight w:val="none"/>
                <w:u w:val="none" w:color="auto"/>
              </w:rPr>
              <w:t>本项目位于湘阴县</w:t>
            </w:r>
            <w:r>
              <w:rPr>
                <w:rFonts w:hint="eastAsia" w:ascii="Times New Roman" w:hAnsi="Times New Roman" w:eastAsia="宋体" w:cs="Times New Roman"/>
                <w:color w:val="auto"/>
                <w:spacing w:val="-1"/>
                <w:sz w:val="24"/>
                <w:szCs w:val="24"/>
                <w:highlight w:val="none"/>
                <w:u w:val="none" w:color="auto"/>
                <w:lang w:eastAsia="zh-CN"/>
              </w:rPr>
              <w:t>东塘</w:t>
            </w:r>
            <w:r>
              <w:rPr>
                <w:rFonts w:hint="eastAsia" w:ascii="Times New Roman" w:hAnsi="Times New Roman" w:eastAsia="宋体" w:cs="Times New Roman"/>
                <w:color w:val="auto"/>
                <w:spacing w:val="-1"/>
                <w:sz w:val="24"/>
                <w:szCs w:val="24"/>
                <w:highlight w:val="none"/>
                <w:u w:val="none" w:color="auto"/>
                <w:lang w:val="en-US" w:eastAsia="zh-CN"/>
              </w:rPr>
              <w:t>镇</w:t>
            </w:r>
            <w:r>
              <w:rPr>
                <w:rFonts w:hint="default" w:ascii="Times New Roman" w:hAnsi="Times New Roman" w:eastAsia="宋体" w:cs="Times New Roman"/>
                <w:color w:val="auto"/>
                <w:spacing w:val="-1"/>
                <w:sz w:val="24"/>
                <w:szCs w:val="24"/>
                <w:highlight w:val="none"/>
                <w:u w:val="none" w:color="auto"/>
              </w:rPr>
              <w:t>，仅在现有院内进行改扩建，不新增用地，本项目用地为医疗卫生用地，项目所在区域内电、路等相应配套的设施设备设置齐全，基础条件充足，政策环境优越。项目外环境关系较为简单，不涉及生活饮用水水源保护区、风景名胜区、自然保护区，无明显</w:t>
            </w:r>
            <w:r>
              <w:rPr>
                <w:rFonts w:hint="default" w:ascii="Times New Roman" w:hAnsi="Times New Roman" w:eastAsia="宋体" w:cs="Times New Roman"/>
                <w:color w:val="auto"/>
                <w:sz w:val="24"/>
                <w:szCs w:val="24"/>
                <w:highlight w:val="none"/>
                <w:u w:val="none" w:color="auto"/>
              </w:rPr>
              <w:t>环境制约因素。</w:t>
            </w:r>
          </w:p>
          <w:p>
            <w:pPr>
              <w:pStyle w:val="43"/>
              <w:spacing w:before="36" w:line="357" w:lineRule="auto"/>
              <w:ind w:left="102" w:right="100" w:firstLine="480"/>
              <w:jc w:val="both"/>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pacing w:val="-1"/>
                <w:sz w:val="24"/>
                <w:szCs w:val="24"/>
                <w:u w:val="none" w:color="auto"/>
              </w:rPr>
              <w:t>本项目污染物均可做到达标</w:t>
            </w:r>
            <w:r>
              <w:rPr>
                <w:rFonts w:hint="default" w:ascii="Times New Roman" w:hAnsi="Times New Roman" w:eastAsia="宋体" w:cs="Times New Roman"/>
                <w:color w:val="auto"/>
                <w:sz w:val="24"/>
                <w:szCs w:val="24"/>
                <w:u w:val="none" w:color="auto"/>
              </w:rPr>
              <w:t>排放，对周围环境污染影响较小，符合周边环境要求。</w:t>
            </w:r>
          </w:p>
          <w:p>
            <w:pPr>
              <w:pStyle w:val="43"/>
              <w:spacing w:before="36" w:line="357" w:lineRule="auto"/>
              <w:ind w:left="102" w:right="100" w:firstLine="480"/>
              <w:jc w:val="both"/>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pacing w:val="-1"/>
                <w:sz w:val="24"/>
                <w:szCs w:val="24"/>
                <w:u w:val="none" w:color="auto"/>
              </w:rPr>
              <w:t>根据《湘阴县卫生健康“十四五”专项规划》可知，湘阴县卫生健康“十四五”专项规划拟对服务人口较多的区域，采取扩建、迁建或者新增社区卫生服务中心的方式布局基层医疗卫生机构。本项目属于基层医疗卫生机构，在基层医疗卫生机构规划布局</w:t>
            </w:r>
            <w:r>
              <w:rPr>
                <w:rFonts w:hint="eastAsia" w:cs="Times New Roman"/>
                <w:color w:val="auto"/>
                <w:spacing w:val="-1"/>
                <w:sz w:val="24"/>
                <w:szCs w:val="24"/>
                <w:u w:val="none" w:color="auto"/>
                <w:lang w:eastAsia="zh-CN"/>
              </w:rPr>
              <w:t>中</w:t>
            </w:r>
            <w:r>
              <w:rPr>
                <w:rFonts w:hint="default" w:ascii="Times New Roman" w:hAnsi="Times New Roman" w:eastAsia="宋体" w:cs="Times New Roman"/>
                <w:color w:val="auto"/>
                <w:spacing w:val="-1"/>
                <w:sz w:val="24"/>
                <w:szCs w:val="24"/>
                <w:u w:val="none" w:color="auto"/>
              </w:rPr>
              <w:t>，</w:t>
            </w:r>
            <w:r>
              <w:rPr>
                <w:rFonts w:hint="default" w:ascii="Times New Roman" w:hAnsi="Times New Roman" w:eastAsia="宋体" w:cs="Times New Roman"/>
                <w:color w:val="auto"/>
                <w:sz w:val="24"/>
                <w:szCs w:val="24"/>
                <w:u w:val="none" w:color="auto"/>
              </w:rPr>
              <w:t>因此项目选址合理可行。</w:t>
            </w:r>
          </w:p>
          <w:p>
            <w:pPr>
              <w:autoSpaceDE w:val="0"/>
              <w:autoSpaceDN w:val="0"/>
              <w:adjustRightInd w:val="0"/>
              <w:snapToGrid w:val="0"/>
              <w:spacing w:line="360" w:lineRule="auto"/>
              <w:jc w:val="left"/>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1.</w:t>
            </w:r>
            <w:r>
              <w:rPr>
                <w:rFonts w:hint="eastAsia" w:ascii="Times New Roman" w:hAnsi="Times New Roman" w:eastAsia="宋体" w:cs="Times New Roman"/>
                <w:b/>
                <w:bCs/>
                <w:color w:val="auto"/>
                <w:kern w:val="0"/>
                <w:sz w:val="24"/>
                <w:szCs w:val="24"/>
                <w:u w:val="none" w:color="auto"/>
                <w:lang w:val="en-US" w:eastAsia="zh-CN"/>
              </w:rPr>
              <w:t>6</w:t>
            </w:r>
            <w:r>
              <w:rPr>
                <w:rFonts w:hint="default" w:ascii="Times New Roman" w:hAnsi="Times New Roman" w:eastAsia="宋体" w:cs="Times New Roman"/>
                <w:b/>
                <w:bCs/>
                <w:color w:val="auto"/>
                <w:kern w:val="0"/>
                <w:sz w:val="24"/>
                <w:szCs w:val="24"/>
                <w:u w:val="none" w:color="auto"/>
              </w:rPr>
              <w:t>平面布局合理性分析</w:t>
            </w:r>
          </w:p>
          <w:p>
            <w:pPr>
              <w:pStyle w:val="10"/>
              <w:bidi w:val="0"/>
              <w:rPr>
                <w:rFonts w:hint="default"/>
                <w:color w:val="auto"/>
                <w:u w:val="single" w:color="auto"/>
                <w:lang w:val="en-US" w:eastAsia="zh-CN"/>
              </w:rPr>
            </w:pPr>
            <w:r>
              <w:rPr>
                <w:rFonts w:hint="eastAsia"/>
                <w:color w:val="auto"/>
                <w:u w:val="single" w:color="auto"/>
                <w:lang w:val="en-US" w:eastAsia="zh-CN"/>
              </w:rPr>
              <w:t>东塘中心卫生院的大门设在南侧，院内共四栋建筑，包括一栋3层的综合大楼、一栋公卫服务楼，两栋宿舍楼。院区南侧乡镇道路为主要交通道路，项目的出入口设置于南侧道路上。新建综合大楼位于院区的中部。配电间、发电机房设置在综合大楼东南角上，方便电力供应。院内交通根据院内有限空间沿道路周边设置停车空间。医院危废暂存间和污水处理站设在停车场东面，与综合大楼相隔较远。</w:t>
            </w:r>
          </w:p>
          <w:p>
            <w:pPr>
              <w:pStyle w:val="10"/>
              <w:bidi w:val="0"/>
              <w:rPr>
                <w:rFonts w:hint="default" w:eastAsia="宋体"/>
                <w:color w:val="auto"/>
                <w:u w:val="single" w:color="auto"/>
                <w:lang w:val="en-US" w:eastAsia="zh-CN"/>
              </w:rPr>
            </w:pPr>
            <w:r>
              <w:rPr>
                <w:rFonts w:ascii="宋体" w:hAnsi="宋体" w:eastAsia="宋体" w:cs="宋体"/>
                <w:color w:val="auto"/>
                <w:sz w:val="24"/>
                <w:szCs w:val="24"/>
                <w:u w:val="single" w:color="auto"/>
              </w:rPr>
              <w:t>根据《卫生部令第36号 医疗卫生机构医疗废物管理办法》</w:t>
            </w:r>
            <w:r>
              <w:rPr>
                <w:rFonts w:hint="eastAsia" w:ascii="宋体" w:hAnsi="宋体" w:eastAsia="宋体" w:cs="宋体"/>
                <w:color w:val="auto"/>
                <w:sz w:val="24"/>
                <w:szCs w:val="24"/>
                <w:u w:val="single" w:color="auto"/>
                <w:lang w:eastAsia="zh-CN"/>
              </w:rPr>
              <w:t>，</w:t>
            </w:r>
            <w:r>
              <w:rPr>
                <w:rFonts w:hint="eastAsia" w:ascii="宋体" w:hAnsi="宋体" w:eastAsia="宋体" w:cs="宋体"/>
                <w:color w:val="auto"/>
                <w:sz w:val="24"/>
                <w:szCs w:val="24"/>
                <w:u w:val="single" w:color="auto"/>
                <w:lang w:val="en-US" w:eastAsia="zh-CN"/>
              </w:rPr>
              <w:t>医疗废物暂存间要</w:t>
            </w:r>
            <w:r>
              <w:rPr>
                <w:rFonts w:hint="default"/>
                <w:color w:val="auto"/>
                <w:u w:val="single" w:color="auto"/>
              </w:rPr>
              <w:t>远离医疗区、食品加工区、人员活动区和生活</w:t>
            </w:r>
            <w:r>
              <w:rPr>
                <w:rFonts w:hint="eastAsia"/>
                <w:color w:val="auto"/>
                <w:u w:val="single" w:color="auto"/>
                <w:lang w:val="en-US" w:eastAsia="zh-CN"/>
              </w:rPr>
              <w:t>垃</w:t>
            </w:r>
            <w:r>
              <w:rPr>
                <w:rFonts w:hint="default"/>
                <w:color w:val="auto"/>
                <w:u w:val="single" w:color="auto"/>
              </w:rPr>
              <w:t>圾存放场所，方便医疗废物运送人员及运送工具、车辆的出入</w:t>
            </w:r>
            <w:r>
              <w:rPr>
                <w:rFonts w:hint="eastAsia"/>
                <w:color w:val="auto"/>
                <w:u w:val="single" w:color="auto"/>
                <w:lang w:eastAsia="zh-CN"/>
              </w:rPr>
              <w:t>；</w:t>
            </w:r>
            <w:r>
              <w:rPr>
                <w:rFonts w:hint="eastAsia"/>
                <w:color w:val="auto"/>
                <w:u w:val="single" w:color="auto"/>
                <w:lang w:val="en-US" w:eastAsia="zh-CN"/>
              </w:rPr>
              <w:t>本项目的医疗废物暂存间符合相关要求</w:t>
            </w:r>
            <w:r>
              <w:rPr>
                <w:rFonts w:hint="eastAsia"/>
                <w:color w:val="auto"/>
                <w:u w:val="single" w:color="auto"/>
                <w:lang w:eastAsia="zh-CN"/>
              </w:rPr>
              <w:t>。</w:t>
            </w:r>
            <w:r>
              <w:rPr>
                <w:rFonts w:hint="eastAsia"/>
                <w:color w:val="auto"/>
                <w:u w:val="single" w:color="auto"/>
                <w:lang w:val="en-US" w:eastAsia="zh-CN"/>
              </w:rPr>
              <w:t>污水处理站利用现有污水处理站，根据现状调查，对环境周边影响较小。</w:t>
            </w:r>
          </w:p>
          <w:p>
            <w:pPr>
              <w:pStyle w:val="10"/>
              <w:bidi w:val="0"/>
              <w:rPr>
                <w:rFonts w:hint="default" w:ascii="Times New Roman" w:hAnsi="Times New Roman" w:eastAsia="宋体" w:cs="Times New Roman"/>
                <w:color w:val="auto"/>
                <w:spacing w:val="-3"/>
                <w:szCs w:val="24"/>
                <w:highlight w:val="none"/>
                <w:u w:val="single" w:color="auto"/>
              </w:rPr>
            </w:pPr>
            <w:r>
              <w:rPr>
                <w:rFonts w:hint="default"/>
                <w:color w:val="auto"/>
                <w:u w:val="single" w:color="auto"/>
              </w:rPr>
              <w:t>本项目总平面功能分区明确，建筑布局合理，交通便捷，管理方便。卫生院平面布局详见附图</w:t>
            </w:r>
            <w:r>
              <w:rPr>
                <w:rFonts w:hint="eastAsia"/>
                <w:color w:val="auto"/>
                <w:u w:val="single" w:color="auto"/>
                <w:lang w:val="en-US" w:eastAsia="zh-CN"/>
              </w:rPr>
              <w:t>3</w:t>
            </w:r>
            <w:r>
              <w:rPr>
                <w:rFonts w:hint="default"/>
                <w:color w:val="auto"/>
                <w:u w:val="single" w:color="auto"/>
              </w:rPr>
              <w:t>。</w:t>
            </w:r>
          </w:p>
          <w:p>
            <w:pPr>
              <w:ind w:left="0" w:leftChars="0" w:firstLine="0" w:firstLineChars="0"/>
              <w:rPr>
                <w:rFonts w:hint="default" w:ascii="Times New Roman" w:hAnsi="Times New Roman" w:eastAsia="宋体" w:cs="Times New Roman"/>
                <w:color w:val="auto"/>
                <w:spacing w:val="-3"/>
                <w:sz w:val="24"/>
                <w:szCs w:val="24"/>
                <w:highlight w:val="none"/>
                <w:u w:val="none" w:color="auto"/>
              </w:rPr>
            </w:pPr>
          </w:p>
          <w:p>
            <w:pPr>
              <w:rPr>
                <w:rFonts w:hint="default" w:ascii="Times New Roman" w:hAnsi="Times New Roman" w:eastAsia="宋体" w:cs="Times New Roman"/>
                <w:color w:val="auto"/>
                <w:spacing w:val="-3"/>
                <w:sz w:val="24"/>
                <w:szCs w:val="24"/>
                <w:highlight w:val="none"/>
                <w:u w:val="none" w:color="auto"/>
              </w:rPr>
            </w:pPr>
          </w:p>
          <w:p>
            <w:pPr>
              <w:ind w:left="0" w:leftChars="0" w:firstLine="0" w:firstLineChars="0"/>
              <w:rPr>
                <w:rFonts w:hint="default"/>
                <w:color w:val="auto"/>
                <w:u w:val="none" w:color="auto"/>
              </w:rPr>
            </w:pPr>
          </w:p>
        </w:tc>
      </w:tr>
    </w:tbl>
    <w:p>
      <w:pPr>
        <w:spacing w:line="360" w:lineRule="auto"/>
        <w:outlineLvl w:val="9"/>
        <w:rPr>
          <w:rFonts w:eastAsia="黑体"/>
          <w:color w:val="auto"/>
          <w:sz w:val="30"/>
          <w:u w:val="none" w:color="auto"/>
        </w:rPr>
        <w:sectPr>
          <w:headerReference r:id="rId7" w:type="default"/>
          <w:footerReference r:id="rId8" w:type="default"/>
          <w:pgSz w:w="11906" w:h="16838"/>
          <w:pgMar w:top="1417" w:right="1587" w:bottom="1417" w:left="170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8"/>
        <w:jc w:val="left"/>
        <w:outlineLvl w:val="0"/>
        <w:rPr>
          <w:rFonts w:ascii="黑体" w:hAnsi="黑体" w:eastAsia="黑体"/>
          <w:snapToGrid w:val="0"/>
          <w:color w:val="auto"/>
          <w:sz w:val="30"/>
          <w:szCs w:val="30"/>
          <w:u w:val="none" w:color="auto"/>
        </w:rPr>
      </w:pPr>
      <w:bookmarkStart w:id="3" w:name="_Toc12229"/>
      <w:r>
        <w:rPr>
          <w:rFonts w:hint="eastAsia" w:ascii="黑体" w:hAnsi="黑体" w:eastAsia="黑体"/>
          <w:snapToGrid w:val="0"/>
          <w:color w:val="auto"/>
          <w:sz w:val="30"/>
          <w:szCs w:val="30"/>
          <w:u w:val="none" w:color="auto"/>
        </w:rPr>
        <w:t>二、建设</w:t>
      </w:r>
      <w:r>
        <w:rPr>
          <w:rFonts w:hint="eastAsia" w:ascii="黑体" w:hAnsi="黑体" w:eastAsia="黑体" w:cs="Times New Roman"/>
          <w:snapToGrid w:val="0"/>
          <w:color w:val="auto"/>
          <w:sz w:val="30"/>
          <w:szCs w:val="30"/>
          <w:u w:val="none" w:color="auto"/>
        </w:rPr>
        <w:t>项目</w:t>
      </w:r>
      <w:r>
        <w:rPr>
          <w:rFonts w:hint="eastAsia" w:ascii="黑体" w:hAnsi="黑体" w:eastAsia="黑体"/>
          <w:snapToGrid w:val="0"/>
          <w:color w:val="auto"/>
          <w:sz w:val="30"/>
          <w:szCs w:val="30"/>
          <w:u w:val="none" w:color="auto"/>
        </w:rPr>
        <w:t>工程分析</w:t>
      </w:r>
      <w:bookmarkEnd w:id="3"/>
    </w:p>
    <w:tbl>
      <w:tblPr>
        <w:tblStyle w:val="20"/>
        <w:tblW w:w="90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dxa"/>
            <w:noWrap w:val="0"/>
            <w:vAlign w:val="center"/>
          </w:tcPr>
          <w:p>
            <w:pPr>
              <w:pStyle w:val="18"/>
              <w:adjustRightInd w:val="0"/>
              <w:snapToGrid w:val="0"/>
              <w:spacing w:before="0" w:beforeAutospacing="0" w:after="0" w:afterAutospacing="0"/>
              <w:jc w:val="center"/>
              <w:rPr>
                <w:rFonts w:cs="宋体"/>
                <w:color w:val="auto"/>
                <w:sz w:val="24"/>
                <w:szCs w:val="24"/>
                <w:u w:val="none" w:color="auto"/>
              </w:rPr>
            </w:pPr>
            <w:r>
              <w:rPr>
                <w:rFonts w:hint="eastAsia" w:cs="宋体"/>
                <w:color w:val="auto"/>
                <w:sz w:val="24"/>
                <w:szCs w:val="24"/>
                <w:u w:val="none" w:color="auto"/>
              </w:rPr>
              <w:t>建设内容</w:t>
            </w:r>
          </w:p>
        </w:tc>
        <w:tc>
          <w:tcPr>
            <w:tcW w:w="858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2.1项目由来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u w:val="none" w:color="auto"/>
              </w:rPr>
            </w:pPr>
            <w:r>
              <w:rPr>
                <w:rFonts w:hint="default" w:ascii="Times New Roman" w:hAnsi="Times New Roman" w:eastAsia="宋体" w:cs="Times New Roman"/>
                <w:bCs/>
                <w:color w:val="auto"/>
                <w:sz w:val="24"/>
                <w:szCs w:val="24"/>
                <w:u w:val="none" w:color="auto"/>
              </w:rPr>
              <w:t>（1）项目背景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Cs/>
                <w:color w:val="auto"/>
                <w:sz w:val="24"/>
                <w:szCs w:val="24"/>
                <w:highlight w:val="none"/>
                <w:u w:val="none" w:color="auto"/>
                <w:lang w:val="en-US" w:eastAsia="zh-CN"/>
              </w:rPr>
            </w:pPr>
            <w:r>
              <w:rPr>
                <w:rFonts w:hint="default" w:ascii="Times New Roman" w:hAnsi="Times New Roman" w:eastAsia="宋体" w:cs="Times New Roman"/>
                <w:bCs/>
                <w:color w:val="auto"/>
                <w:sz w:val="24"/>
                <w:szCs w:val="24"/>
                <w:highlight w:val="none"/>
                <w:u w:val="none" w:color="auto"/>
              </w:rPr>
              <w:t>湘阴县</w:t>
            </w:r>
            <w:r>
              <w:rPr>
                <w:rFonts w:hint="eastAsia" w:ascii="Times New Roman" w:hAnsi="Times New Roman" w:eastAsia="宋体" w:cs="Times New Roman"/>
                <w:bCs/>
                <w:color w:val="auto"/>
                <w:sz w:val="24"/>
                <w:szCs w:val="24"/>
                <w:highlight w:val="none"/>
                <w:u w:val="none" w:color="auto"/>
                <w:lang w:eastAsia="zh-CN"/>
              </w:rPr>
              <w:t>东塘中心卫生院</w:t>
            </w:r>
            <w:r>
              <w:rPr>
                <w:rFonts w:hint="default" w:ascii="Times New Roman" w:hAnsi="Times New Roman" w:eastAsia="宋体" w:cs="Times New Roman"/>
                <w:bCs/>
                <w:color w:val="auto"/>
                <w:sz w:val="24"/>
                <w:szCs w:val="24"/>
                <w:highlight w:val="none"/>
                <w:u w:val="none" w:color="auto"/>
              </w:rPr>
              <w:t>位于湘阴县</w:t>
            </w:r>
            <w:r>
              <w:rPr>
                <w:rFonts w:hint="eastAsia" w:ascii="Times New Roman" w:hAnsi="Times New Roman" w:eastAsia="宋体" w:cs="Times New Roman"/>
                <w:bCs/>
                <w:color w:val="auto"/>
                <w:sz w:val="24"/>
                <w:szCs w:val="24"/>
                <w:highlight w:val="none"/>
                <w:u w:val="none" w:color="auto"/>
                <w:lang w:eastAsia="zh-CN"/>
              </w:rPr>
              <w:t>东塘</w:t>
            </w:r>
            <w:r>
              <w:rPr>
                <w:rFonts w:hint="eastAsia" w:ascii="Times New Roman" w:hAnsi="Times New Roman" w:eastAsia="宋体" w:cs="Times New Roman"/>
                <w:bCs/>
                <w:color w:val="auto"/>
                <w:sz w:val="24"/>
                <w:szCs w:val="24"/>
                <w:highlight w:val="none"/>
                <w:u w:val="none" w:color="auto"/>
                <w:lang w:val="en-US" w:eastAsia="zh-CN"/>
              </w:rPr>
              <w:t>镇东塘村</w:t>
            </w:r>
            <w:r>
              <w:rPr>
                <w:rFonts w:hint="default" w:ascii="Times New Roman" w:hAnsi="Times New Roman" w:eastAsia="宋体" w:cs="Times New Roman"/>
                <w:bCs/>
                <w:color w:val="auto"/>
                <w:sz w:val="24"/>
                <w:szCs w:val="24"/>
                <w:highlight w:val="none"/>
                <w:u w:val="none" w:color="auto"/>
              </w:rPr>
              <w:t>，是一所集临床医疗、妇幼保健、疾病预防、国家基本公共卫生服务于一体的</w:t>
            </w:r>
            <w:r>
              <w:rPr>
                <w:rFonts w:hint="eastAsia" w:ascii="Times New Roman" w:hAnsi="Times New Roman" w:eastAsia="宋体" w:cs="Times New Roman"/>
                <w:bCs/>
                <w:color w:val="auto"/>
                <w:sz w:val="24"/>
                <w:szCs w:val="24"/>
                <w:highlight w:val="none"/>
                <w:u w:val="none" w:color="auto"/>
                <w:lang w:val="en-US" w:eastAsia="zh-CN"/>
              </w:rPr>
              <w:t>乡镇</w:t>
            </w:r>
            <w:r>
              <w:rPr>
                <w:rFonts w:hint="default" w:ascii="Times New Roman" w:hAnsi="Times New Roman" w:eastAsia="宋体" w:cs="Times New Roman"/>
                <w:bCs/>
                <w:color w:val="auto"/>
                <w:sz w:val="24"/>
                <w:szCs w:val="24"/>
                <w:highlight w:val="none"/>
                <w:u w:val="none" w:color="auto"/>
              </w:rPr>
              <w:t>医院。</w:t>
            </w:r>
            <w:r>
              <w:rPr>
                <w:rFonts w:hint="eastAsia" w:ascii="Times New Roman" w:hAnsi="Times New Roman" w:eastAsia="宋体" w:cs="Times New Roman"/>
                <w:bCs/>
                <w:color w:val="auto"/>
                <w:sz w:val="24"/>
                <w:szCs w:val="24"/>
                <w:highlight w:val="none"/>
                <w:u w:val="none" w:color="auto"/>
                <w:lang w:val="en-US" w:eastAsia="zh-CN"/>
              </w:rPr>
              <w:t>于2017年新建1栋三层公卫楼，医院设有78张床位；</w:t>
            </w:r>
            <w:r>
              <w:rPr>
                <w:rFonts w:hint="default" w:ascii="Times New Roman" w:hAnsi="Times New Roman" w:eastAsia="宋体" w:cs="Times New Roman"/>
                <w:color w:val="auto"/>
                <w:spacing w:val="2"/>
                <w:sz w:val="24"/>
                <w:szCs w:val="24"/>
                <w:highlight w:val="none"/>
                <w:u w:val="none" w:color="auto"/>
              </w:rPr>
              <w:t>卫生院职</w:t>
            </w:r>
            <w:r>
              <w:rPr>
                <w:rFonts w:hint="default" w:ascii="Times New Roman" w:hAnsi="Times New Roman" w:eastAsia="宋体" w:cs="Times New Roman"/>
                <w:color w:val="auto"/>
                <w:sz w:val="24"/>
                <w:szCs w:val="24"/>
                <w:highlight w:val="none"/>
                <w:u w:val="none" w:color="auto"/>
              </w:rPr>
              <w:t>工共计</w:t>
            </w:r>
            <w:r>
              <w:rPr>
                <w:rFonts w:hint="eastAsia" w:ascii="Times New Roman" w:hAnsi="Times New Roman" w:eastAsia="宋体" w:cs="Times New Roman"/>
                <w:color w:val="auto"/>
                <w:sz w:val="24"/>
                <w:szCs w:val="24"/>
                <w:highlight w:val="none"/>
                <w:u w:val="none" w:color="auto"/>
                <w:lang w:val="en-US" w:eastAsia="zh-CN"/>
              </w:rPr>
              <w:t>65</w:t>
            </w:r>
            <w:r>
              <w:rPr>
                <w:rFonts w:hint="default" w:ascii="Times New Roman" w:hAnsi="Times New Roman" w:eastAsia="宋体" w:cs="Times New Roman"/>
                <w:color w:val="auto"/>
                <w:sz w:val="24"/>
                <w:szCs w:val="24"/>
                <w:highlight w:val="none"/>
                <w:u w:val="none" w:color="auto"/>
              </w:rPr>
              <w:t>人</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卫生院设置的诊疗科目包括预防保健科、全科医疗科、内科、外科、</w:t>
            </w:r>
            <w:r>
              <w:rPr>
                <w:rFonts w:hint="eastAsia" w:ascii="Times New Roman" w:hAnsi="Times New Roman" w:eastAsia="宋体" w:cs="Times New Roman"/>
                <w:color w:val="auto"/>
                <w:sz w:val="24"/>
                <w:szCs w:val="24"/>
                <w:highlight w:val="none"/>
                <w:u w:val="none" w:color="auto"/>
                <w:lang w:val="en-US" w:eastAsia="zh-CN"/>
              </w:rPr>
              <w:t>普通外科专业、</w:t>
            </w:r>
            <w:r>
              <w:rPr>
                <w:rFonts w:hint="default" w:ascii="Times New Roman" w:hAnsi="Times New Roman" w:eastAsia="宋体" w:cs="Times New Roman"/>
                <w:color w:val="auto"/>
                <w:sz w:val="24"/>
                <w:szCs w:val="24"/>
                <w:highlight w:val="none"/>
                <w:u w:val="none" w:color="auto"/>
              </w:rPr>
              <w:t>妇科</w:t>
            </w:r>
            <w:r>
              <w:rPr>
                <w:rFonts w:hint="eastAsia" w:ascii="Times New Roman" w:hAnsi="Times New Roman" w:eastAsia="宋体" w:cs="Times New Roman"/>
                <w:color w:val="auto"/>
                <w:sz w:val="24"/>
                <w:szCs w:val="24"/>
                <w:highlight w:val="none"/>
                <w:u w:val="none" w:color="auto"/>
                <w:lang w:val="en-US" w:eastAsia="zh-CN"/>
              </w:rPr>
              <w:t>专业</w:t>
            </w: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eastAsia="宋体" w:cs="Times New Roman"/>
                <w:color w:val="auto"/>
                <w:spacing w:val="-2"/>
                <w:sz w:val="24"/>
                <w:szCs w:val="24"/>
                <w:highlight w:val="none"/>
                <w:u w:val="none" w:color="auto"/>
              </w:rPr>
              <w:t>妇女保健科、儿童保健科、</w:t>
            </w:r>
            <w:r>
              <w:rPr>
                <w:rFonts w:hint="eastAsia" w:ascii="Times New Roman" w:hAnsi="Times New Roman" w:eastAsia="宋体" w:cs="Times New Roman"/>
                <w:color w:val="auto"/>
                <w:spacing w:val="-2"/>
                <w:sz w:val="24"/>
                <w:szCs w:val="24"/>
                <w:highlight w:val="none"/>
                <w:u w:val="none" w:color="auto"/>
                <w:lang w:val="en-US" w:eastAsia="zh-CN"/>
              </w:rPr>
              <w:t>口腔科、急诊医学科、</w:t>
            </w:r>
            <w:r>
              <w:rPr>
                <w:rFonts w:hint="default" w:ascii="Times New Roman" w:hAnsi="Times New Roman" w:eastAsia="宋体" w:cs="Times New Roman"/>
                <w:color w:val="auto"/>
                <w:spacing w:val="-2"/>
                <w:sz w:val="24"/>
                <w:szCs w:val="24"/>
                <w:highlight w:val="none"/>
                <w:u w:val="none" w:color="auto"/>
              </w:rPr>
              <w:t>医学检验科、医学影像科、中医科等</w:t>
            </w:r>
            <w:r>
              <w:rPr>
                <w:rFonts w:hint="eastAsia" w:ascii="Times New Roman" w:hAnsi="Times New Roman" w:eastAsia="宋体" w:cs="Times New Roman"/>
                <w:color w:val="auto"/>
                <w:spacing w:val="-2"/>
                <w:sz w:val="24"/>
                <w:szCs w:val="24"/>
                <w:highlight w:val="none"/>
                <w:u w:val="none" w:color="auto"/>
                <w:lang w:eastAsia="zh-CN"/>
              </w:rPr>
              <w:t>，</w:t>
            </w:r>
            <w:r>
              <w:rPr>
                <w:rFonts w:hint="eastAsia" w:ascii="Times New Roman" w:hAnsi="Times New Roman" w:eastAsia="宋体" w:cs="Times New Roman"/>
                <w:color w:val="auto"/>
                <w:spacing w:val="-2"/>
                <w:sz w:val="24"/>
                <w:szCs w:val="24"/>
                <w:highlight w:val="none"/>
                <w:u w:val="none" w:color="auto"/>
                <w:lang w:val="en-US" w:eastAsia="zh-CN"/>
              </w:rPr>
              <w:t>口腔科不涉及重金属物质的使用。</w:t>
            </w:r>
            <w:r>
              <w:rPr>
                <w:rFonts w:hint="eastAsia" w:ascii="Times New Roman" w:hAnsi="Times New Roman" w:eastAsia="宋体" w:cs="Times New Roman"/>
                <w:bCs/>
                <w:color w:val="auto"/>
                <w:sz w:val="24"/>
                <w:szCs w:val="24"/>
                <w:highlight w:val="none"/>
                <w:u w:val="single" w:color="auto"/>
                <w:lang w:val="en-US" w:eastAsia="zh-CN"/>
              </w:rPr>
              <w:t>2023年</w:t>
            </w:r>
            <w:r>
              <w:rPr>
                <w:rFonts w:hint="default" w:ascii="Times New Roman" w:hAnsi="Times New Roman" w:eastAsia="宋体" w:cs="Times New Roman"/>
                <w:bCs/>
                <w:color w:val="auto"/>
                <w:sz w:val="24"/>
                <w:szCs w:val="24"/>
                <w:highlight w:val="none"/>
                <w:u w:val="single" w:color="auto"/>
              </w:rPr>
              <w:t>湘阴县</w:t>
            </w:r>
            <w:r>
              <w:rPr>
                <w:rFonts w:hint="eastAsia" w:ascii="Times New Roman" w:hAnsi="Times New Roman" w:eastAsia="宋体" w:cs="Times New Roman"/>
                <w:bCs/>
                <w:color w:val="auto"/>
                <w:sz w:val="24"/>
                <w:szCs w:val="24"/>
                <w:highlight w:val="none"/>
                <w:u w:val="single" w:color="auto"/>
                <w:lang w:eastAsia="zh-CN"/>
              </w:rPr>
              <w:t>东塘中心卫生院</w:t>
            </w:r>
            <w:r>
              <w:rPr>
                <w:rFonts w:hint="eastAsia" w:ascii="Times New Roman" w:hAnsi="Times New Roman" w:eastAsia="宋体" w:cs="Times New Roman"/>
                <w:bCs/>
                <w:color w:val="auto"/>
                <w:sz w:val="24"/>
                <w:szCs w:val="24"/>
                <w:highlight w:val="none"/>
                <w:u w:val="single" w:color="auto"/>
                <w:lang w:val="en-US" w:eastAsia="zh-CN"/>
              </w:rPr>
              <w:t>进行补办环评，2023年9月26日岳阳市生态环境局以《关于湘阴县东塘中心卫生院建设项目环境影响报告表的批复》（岳湘阴环评</w:t>
            </w:r>
            <w:r>
              <w:rPr>
                <w:rFonts w:hint="eastAsia" w:cs="Times New Roman"/>
                <w:bCs/>
                <w:color w:val="auto"/>
                <w:sz w:val="24"/>
                <w:szCs w:val="24"/>
                <w:highlight w:val="none"/>
                <w:u w:val="single" w:color="auto"/>
                <w:lang w:val="en-US" w:eastAsia="zh-CN"/>
              </w:rPr>
              <w:t>（</w:t>
            </w:r>
            <w:r>
              <w:rPr>
                <w:rFonts w:hint="eastAsia" w:ascii="Times New Roman" w:hAnsi="Times New Roman" w:eastAsia="宋体" w:cs="Times New Roman"/>
                <w:bCs/>
                <w:color w:val="auto"/>
                <w:sz w:val="24"/>
                <w:szCs w:val="24"/>
                <w:highlight w:val="none"/>
                <w:u w:val="single" w:color="auto"/>
                <w:lang w:val="en-US" w:eastAsia="zh-CN"/>
              </w:rPr>
              <w:t>2023)31号）文件进行批复。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Cs/>
                <w:color w:val="auto"/>
                <w:sz w:val="24"/>
                <w:szCs w:val="24"/>
                <w:highlight w:val="none"/>
                <w:u w:val="single" w:color="auto"/>
                <w:lang w:val="en-US" w:eastAsia="zh-CN"/>
              </w:rPr>
            </w:pPr>
            <w:r>
              <w:rPr>
                <w:rFonts w:hint="eastAsia" w:ascii="Times New Roman" w:hAnsi="Times New Roman" w:eastAsia="宋体" w:cs="Times New Roman"/>
                <w:bCs/>
                <w:color w:val="auto"/>
                <w:sz w:val="24"/>
                <w:szCs w:val="24"/>
                <w:highlight w:val="none"/>
                <w:u w:val="single" w:color="auto"/>
                <w:lang w:val="en-US" w:eastAsia="zh-CN"/>
              </w:rPr>
              <w:t>近年来，随着湘阴县经济社会的快速发展和城乡居民富裕程度的快速提高，人民群众对就医条件的要求越来越高，由于现有基础设施极不完善，已经严重影响了群众的就医环境，极大增加了医护人员的工作强度，已成为制约医院下一步快速发展的重大“瓶颈”为解决医院基础设施落后问题，为提升医院服务层次，改善就医环境，更好地满足人民群众就医的需要，提高公共卫生和基本医疗服务能力，</w:t>
            </w:r>
            <w:r>
              <w:rPr>
                <w:rFonts w:hint="eastAsia" w:cs="Times New Roman"/>
                <w:bCs/>
                <w:color w:val="auto"/>
                <w:sz w:val="24"/>
                <w:szCs w:val="24"/>
                <w:highlight w:val="none"/>
                <w:u w:val="single" w:color="auto"/>
                <w:lang w:val="en-US" w:eastAsia="zh-CN"/>
              </w:rPr>
              <w:t>湘阴县卫健局启动了</w:t>
            </w:r>
            <w:r>
              <w:rPr>
                <w:rFonts w:hint="eastAsia" w:cs="Times New Roman"/>
                <w:color w:val="auto"/>
                <w:sz w:val="24"/>
                <w:szCs w:val="24"/>
                <w:u w:val="single" w:color="auto"/>
                <w:lang w:eastAsia="zh-CN"/>
              </w:rPr>
              <w:t>湘阴县人民医院医疗副中心（二期）</w:t>
            </w:r>
            <w:r>
              <w:rPr>
                <w:rFonts w:hint="eastAsia" w:cs="Times New Roman"/>
                <w:color w:val="auto"/>
                <w:sz w:val="24"/>
                <w:szCs w:val="24"/>
                <w:u w:val="single" w:color="auto"/>
                <w:lang w:val="en-US" w:eastAsia="zh-CN"/>
              </w:rPr>
              <w:t>项目，项目包括</w:t>
            </w:r>
            <w:r>
              <w:rPr>
                <w:rFonts w:hint="default" w:ascii="Times New Roman" w:hAnsi="Times New Roman" w:eastAsia="宋体" w:cs="Times New Roman"/>
                <w:bCs/>
                <w:color w:val="auto"/>
                <w:sz w:val="24"/>
                <w:szCs w:val="24"/>
                <w:highlight w:val="none"/>
                <w:u w:val="single" w:color="auto"/>
              </w:rPr>
              <w:t>湘阴县</w:t>
            </w:r>
            <w:r>
              <w:rPr>
                <w:rFonts w:hint="eastAsia" w:ascii="Times New Roman" w:hAnsi="Times New Roman" w:eastAsia="宋体" w:cs="Times New Roman"/>
                <w:bCs/>
                <w:color w:val="auto"/>
                <w:sz w:val="24"/>
                <w:szCs w:val="24"/>
                <w:highlight w:val="none"/>
                <w:u w:val="single" w:color="auto"/>
                <w:lang w:eastAsia="zh-CN"/>
              </w:rPr>
              <w:t>东塘中心卫生院</w:t>
            </w:r>
            <w:r>
              <w:rPr>
                <w:rFonts w:hint="eastAsia" w:ascii="Times New Roman" w:hAnsi="Times New Roman" w:eastAsia="宋体" w:cs="Times New Roman"/>
                <w:bCs/>
                <w:color w:val="auto"/>
                <w:sz w:val="24"/>
                <w:szCs w:val="24"/>
                <w:highlight w:val="none"/>
                <w:u w:val="single" w:color="auto"/>
                <w:lang w:val="en-US" w:eastAsia="zh-CN"/>
              </w:rPr>
              <w:t>和鹤龙湖卫生院两个卫生院，因两个卫生院距离较远，情况不同，分别单独进行设计和建设，本项目属于</w:t>
            </w:r>
            <w:r>
              <w:rPr>
                <w:rFonts w:hint="eastAsia" w:cs="Times New Roman"/>
                <w:color w:val="auto"/>
                <w:sz w:val="24"/>
                <w:szCs w:val="24"/>
                <w:u w:val="single" w:color="auto"/>
                <w:lang w:eastAsia="zh-CN"/>
              </w:rPr>
              <w:t>湘阴县人民医院医疗副中心（二期）东塘卫生院分中心</w:t>
            </w:r>
            <w:r>
              <w:rPr>
                <w:rFonts w:hint="eastAsia" w:cs="Times New Roman"/>
                <w:color w:val="auto"/>
                <w:sz w:val="24"/>
                <w:szCs w:val="24"/>
                <w:u w:val="single" w:color="auto"/>
                <w:lang w:val="en-US" w:eastAsia="zh-CN"/>
              </w:rPr>
              <w:t>建设项目</w:t>
            </w:r>
            <w:r>
              <w:rPr>
                <w:rFonts w:hint="eastAsia" w:ascii="Times New Roman" w:hAnsi="Times New Roman" w:eastAsia="宋体" w:cs="Times New Roman"/>
                <w:bCs/>
                <w:color w:val="auto"/>
                <w:sz w:val="24"/>
                <w:szCs w:val="24"/>
                <w:highlight w:val="none"/>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highlight w:val="none"/>
                <w:u w:val="none" w:color="auto"/>
                <w:lang w:val="en-US" w:eastAsia="zh-CN"/>
              </w:rPr>
            </w:pPr>
            <w:r>
              <w:rPr>
                <w:rFonts w:hint="default" w:ascii="Times New Roman" w:hAnsi="Times New Roman" w:eastAsia="宋体" w:cs="Times New Roman"/>
                <w:bCs/>
                <w:color w:val="auto"/>
                <w:sz w:val="24"/>
                <w:szCs w:val="24"/>
                <w:highlight w:val="none"/>
                <w:u w:val="none" w:color="auto"/>
                <w:lang w:val="en-US" w:eastAsia="zh-CN"/>
              </w:rPr>
              <w:t>根据《中华人民共和国环境影响评价法</w:t>
            </w:r>
            <w:r>
              <w:rPr>
                <w:rFonts w:hint="eastAsia" w:cs="Times New Roman"/>
                <w:bCs/>
                <w:color w:val="auto"/>
                <w:sz w:val="24"/>
                <w:szCs w:val="24"/>
                <w:highlight w:val="none"/>
                <w:u w:val="none" w:color="auto"/>
                <w:lang w:val="en-US" w:eastAsia="zh-CN"/>
              </w:rPr>
              <w:t>》《</w:t>
            </w:r>
            <w:r>
              <w:rPr>
                <w:rFonts w:hint="default" w:ascii="Times New Roman" w:hAnsi="Times New Roman" w:eastAsia="宋体" w:cs="Times New Roman"/>
                <w:bCs/>
                <w:color w:val="auto"/>
                <w:sz w:val="24"/>
                <w:szCs w:val="24"/>
                <w:highlight w:val="none"/>
                <w:u w:val="none" w:color="auto"/>
                <w:lang w:val="en-US" w:eastAsia="zh-CN"/>
              </w:rPr>
              <w:t>建设项目环境保护管理条例》的有关规定，需对该项目进行环境影响评价。根据《建设项目环境影响评价分类管理名录》（2021年版）中四十九、卫生：医院、专科防治院（所、站）、社区医疗、卫生院（所、站）、血</w:t>
            </w:r>
            <w:r>
              <w:rPr>
                <w:rFonts w:hint="eastAsia" w:cs="Times New Roman"/>
                <w:bCs/>
                <w:color w:val="auto"/>
                <w:sz w:val="24"/>
                <w:szCs w:val="24"/>
                <w:highlight w:val="none"/>
                <w:u w:val="none" w:color="auto"/>
                <w:lang w:val="en-US" w:eastAsia="zh-CN"/>
              </w:rPr>
              <w:t>站</w:t>
            </w:r>
            <w:r>
              <w:rPr>
                <w:rFonts w:hint="default" w:ascii="Times New Roman" w:hAnsi="Times New Roman" w:eastAsia="宋体" w:cs="Times New Roman"/>
                <w:bCs/>
                <w:color w:val="auto"/>
                <w:sz w:val="24"/>
                <w:szCs w:val="24"/>
                <w:highlight w:val="none"/>
                <w:u w:val="none" w:color="auto"/>
                <w:lang w:val="en-US" w:eastAsia="zh-CN"/>
              </w:rPr>
              <w:t>、急救中心、妇幼保健院、疗养院等其他卫生机构：20张床位以上、500张以下，应编制环境影响评价报告表。为此，受</w:t>
            </w:r>
            <w:r>
              <w:rPr>
                <w:rFonts w:hint="default" w:ascii="Times New Roman" w:hAnsi="Times New Roman" w:eastAsia="宋体" w:cs="Times New Roman"/>
                <w:bCs/>
                <w:color w:val="auto"/>
                <w:sz w:val="24"/>
                <w:szCs w:val="24"/>
                <w:highlight w:val="none"/>
                <w:u w:val="none" w:color="auto"/>
              </w:rPr>
              <w:t>湘阴县</w:t>
            </w:r>
            <w:r>
              <w:rPr>
                <w:rFonts w:hint="eastAsia" w:ascii="Times New Roman" w:hAnsi="Times New Roman" w:eastAsia="宋体" w:cs="Times New Roman"/>
                <w:bCs/>
                <w:color w:val="auto"/>
                <w:sz w:val="24"/>
                <w:szCs w:val="24"/>
                <w:highlight w:val="none"/>
                <w:u w:val="none" w:color="auto"/>
                <w:lang w:eastAsia="zh-CN"/>
              </w:rPr>
              <w:t>东塘中心卫生院</w:t>
            </w:r>
            <w:r>
              <w:rPr>
                <w:rFonts w:hint="default" w:ascii="Times New Roman" w:hAnsi="Times New Roman" w:eastAsia="宋体" w:cs="Times New Roman"/>
                <w:bCs/>
                <w:color w:val="auto"/>
                <w:sz w:val="24"/>
                <w:szCs w:val="24"/>
                <w:highlight w:val="none"/>
                <w:u w:val="none" w:color="auto"/>
                <w:lang w:val="en-US" w:eastAsia="zh-CN"/>
              </w:rPr>
              <w:t>委托，</w:t>
            </w:r>
            <w:r>
              <w:rPr>
                <w:rFonts w:hint="eastAsia" w:ascii="Times New Roman" w:hAnsi="Times New Roman" w:eastAsia="宋体" w:cs="Times New Roman"/>
                <w:bCs/>
                <w:color w:val="auto"/>
                <w:sz w:val="24"/>
                <w:szCs w:val="24"/>
                <w:highlight w:val="none"/>
                <w:u w:val="none" w:color="auto"/>
                <w:lang w:val="en-US" w:eastAsia="zh-CN"/>
              </w:rPr>
              <w:t>湖南涌仁科技</w:t>
            </w:r>
            <w:r>
              <w:rPr>
                <w:rFonts w:hint="default" w:ascii="Times New Roman" w:hAnsi="Times New Roman" w:eastAsia="宋体" w:cs="Times New Roman"/>
                <w:bCs/>
                <w:color w:val="auto"/>
                <w:sz w:val="24"/>
                <w:szCs w:val="24"/>
                <w:highlight w:val="none"/>
                <w:u w:val="none" w:color="auto"/>
                <w:lang w:val="en-US" w:eastAsia="zh-CN"/>
              </w:rPr>
              <w:t>有限公司承担了</w:t>
            </w:r>
            <w:r>
              <w:rPr>
                <w:rFonts w:hint="eastAsia" w:cs="Times New Roman"/>
                <w:color w:val="auto"/>
                <w:sz w:val="24"/>
                <w:szCs w:val="24"/>
                <w:u w:val="none" w:color="auto"/>
                <w:lang w:eastAsia="zh-CN"/>
              </w:rPr>
              <w:t>湘阴县人民医院医疗副中心（二期）东塘卫生院分中心建设项目</w:t>
            </w:r>
            <w:r>
              <w:rPr>
                <w:rFonts w:hint="default" w:ascii="Times New Roman" w:hAnsi="Times New Roman" w:eastAsia="宋体" w:cs="Times New Roman"/>
                <w:bCs/>
                <w:color w:val="auto"/>
                <w:sz w:val="24"/>
                <w:szCs w:val="24"/>
                <w:highlight w:val="none"/>
                <w:u w:val="none" w:color="auto"/>
                <w:lang w:val="en-US" w:eastAsia="zh-CN"/>
              </w:rPr>
              <w:t>环境影响评价工作。我</w:t>
            </w:r>
            <w:r>
              <w:rPr>
                <w:rFonts w:hint="eastAsia" w:ascii="Times New Roman" w:hAnsi="Times New Roman" w:eastAsia="宋体" w:cs="Times New Roman"/>
                <w:bCs/>
                <w:color w:val="auto"/>
                <w:sz w:val="24"/>
                <w:szCs w:val="24"/>
                <w:highlight w:val="none"/>
                <w:u w:val="none" w:color="auto"/>
                <w:lang w:val="en-US" w:eastAsia="zh-CN"/>
              </w:rPr>
              <w:t>公司</w:t>
            </w:r>
            <w:r>
              <w:rPr>
                <w:rFonts w:hint="default" w:ascii="Times New Roman" w:hAnsi="Times New Roman" w:eastAsia="宋体" w:cs="Times New Roman"/>
                <w:bCs/>
                <w:color w:val="auto"/>
                <w:sz w:val="24"/>
                <w:szCs w:val="24"/>
                <w:highlight w:val="none"/>
                <w:u w:val="none" w:color="auto"/>
                <w:lang w:val="en-US" w:eastAsia="zh-CN"/>
              </w:rPr>
              <w:t>接受委托后，对项目进行了现场勘察和资料收集，在工程分析及影响分析的基础上，按相关技术规范编制本项目环境影响报告表。</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2.2项目建设内容</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2.2.1项目工程建设内容及规模</w:t>
            </w:r>
          </w:p>
          <w:p>
            <w:pPr>
              <w:keepNext w:val="0"/>
              <w:keepLines w:val="0"/>
              <w:pageBreakBefore w:val="0"/>
              <w:widowControl w:val="0"/>
              <w:kinsoku/>
              <w:wordWrap/>
              <w:overflowPunct/>
              <w:topLinePunct w:val="0"/>
              <w:autoSpaceDE/>
              <w:autoSpaceDN/>
              <w:bidi w:val="0"/>
              <w:adjustRightInd w:val="0"/>
              <w:snapToGrid w:val="0"/>
              <w:spacing w:line="348" w:lineRule="auto"/>
              <w:ind w:firstLine="472" w:firstLineChars="200"/>
              <w:jc w:val="left"/>
              <w:textAlignment w:val="auto"/>
              <w:rPr>
                <w:rFonts w:hint="eastAsia" w:ascii="Times New Roman" w:hAnsi="Times New Roman" w:eastAsia="宋体" w:cs="Times New Roman"/>
                <w:color w:val="auto"/>
                <w:spacing w:val="-2"/>
                <w:sz w:val="24"/>
                <w:szCs w:val="24"/>
                <w:highlight w:val="none"/>
                <w:u w:val="none" w:color="auto"/>
                <w:lang w:val="en-US" w:eastAsia="zh-CN"/>
              </w:rPr>
            </w:pPr>
            <w:r>
              <w:rPr>
                <w:rFonts w:hint="eastAsia" w:ascii="Times New Roman" w:hAnsi="Times New Roman" w:eastAsia="宋体" w:cs="Times New Roman"/>
                <w:color w:val="auto"/>
                <w:spacing w:val="-2"/>
                <w:sz w:val="24"/>
                <w:szCs w:val="24"/>
                <w:highlight w:val="none"/>
                <w:u w:val="none" w:color="auto"/>
                <w:lang w:val="en-US" w:eastAsia="zh-CN"/>
              </w:rPr>
              <w:t>项目在用地红线内拆除现有门诊楼和钢构大棚，新建综合大楼一幢。综合大楼层数为-1+6F，占地629.09平方米，总建筑面积4014.38平方米（其中地上建筑面积3754.18平方米，地下建筑面积260.20平方米），计容建筑面积3754.18平方米，综合楼设计床位81个，建筑高度22.65m。并配套设计医疗废弃物暂存间、配电房、发电机房、室外场地、给排水、电气、停车位等。</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jc w:val="left"/>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本项目的业务范围为常见病的治疗和医疗保健服务，卫生院设置的诊疗科目包括预防保健科、全科医疗科、内科、外科、</w:t>
            </w:r>
            <w:r>
              <w:rPr>
                <w:rFonts w:hint="eastAsia" w:ascii="Times New Roman" w:hAnsi="Times New Roman" w:eastAsia="宋体" w:cs="Times New Roman"/>
                <w:color w:val="auto"/>
                <w:sz w:val="24"/>
                <w:szCs w:val="24"/>
                <w:highlight w:val="none"/>
                <w:u w:val="none" w:color="auto"/>
                <w:lang w:val="en-US" w:eastAsia="zh-CN"/>
              </w:rPr>
              <w:t>普通外科专业、</w:t>
            </w:r>
            <w:r>
              <w:rPr>
                <w:rFonts w:hint="default" w:ascii="Times New Roman" w:hAnsi="Times New Roman" w:eastAsia="宋体" w:cs="Times New Roman"/>
                <w:color w:val="auto"/>
                <w:sz w:val="24"/>
                <w:szCs w:val="24"/>
                <w:highlight w:val="none"/>
                <w:u w:val="none" w:color="auto"/>
              </w:rPr>
              <w:t>妇科</w:t>
            </w:r>
            <w:r>
              <w:rPr>
                <w:rFonts w:hint="eastAsia" w:ascii="Times New Roman" w:hAnsi="Times New Roman" w:eastAsia="宋体" w:cs="Times New Roman"/>
                <w:color w:val="auto"/>
                <w:sz w:val="24"/>
                <w:szCs w:val="24"/>
                <w:highlight w:val="none"/>
                <w:u w:val="none" w:color="auto"/>
                <w:lang w:val="en-US" w:eastAsia="zh-CN"/>
              </w:rPr>
              <w:t>专业</w:t>
            </w: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eastAsia="宋体" w:cs="Times New Roman"/>
                <w:color w:val="auto"/>
                <w:spacing w:val="-2"/>
                <w:sz w:val="24"/>
                <w:szCs w:val="24"/>
                <w:highlight w:val="none"/>
                <w:u w:val="none" w:color="auto"/>
              </w:rPr>
              <w:t>妇女保健科、儿童保健科、</w:t>
            </w:r>
            <w:r>
              <w:rPr>
                <w:rFonts w:hint="eastAsia" w:ascii="Times New Roman" w:hAnsi="Times New Roman" w:eastAsia="宋体" w:cs="Times New Roman"/>
                <w:color w:val="auto"/>
                <w:spacing w:val="-2"/>
                <w:sz w:val="24"/>
                <w:szCs w:val="24"/>
                <w:highlight w:val="none"/>
                <w:u w:val="none" w:color="auto"/>
                <w:lang w:val="en-US" w:eastAsia="zh-CN"/>
              </w:rPr>
              <w:t>口腔科、急诊医学科、</w:t>
            </w:r>
            <w:r>
              <w:rPr>
                <w:rFonts w:hint="default" w:ascii="Times New Roman" w:hAnsi="Times New Roman" w:eastAsia="宋体" w:cs="Times New Roman"/>
                <w:color w:val="auto"/>
                <w:spacing w:val="-2"/>
                <w:sz w:val="24"/>
                <w:szCs w:val="24"/>
                <w:highlight w:val="none"/>
                <w:u w:val="none" w:color="auto"/>
              </w:rPr>
              <w:t>医学检验科、医学影像科、中医科等</w:t>
            </w:r>
            <w:r>
              <w:rPr>
                <w:rFonts w:hint="eastAsia" w:ascii="Times New Roman" w:hAnsi="Times New Roman" w:eastAsia="宋体" w:cs="Times New Roman"/>
                <w:color w:val="auto"/>
                <w:spacing w:val="-2"/>
                <w:sz w:val="24"/>
                <w:szCs w:val="24"/>
                <w:highlight w:val="none"/>
                <w:u w:val="none" w:color="auto"/>
                <w:lang w:eastAsia="zh-CN"/>
              </w:rPr>
              <w:t>，</w:t>
            </w:r>
            <w:r>
              <w:rPr>
                <w:rFonts w:hint="eastAsia" w:ascii="Times New Roman" w:hAnsi="Times New Roman" w:eastAsia="宋体" w:cs="Times New Roman"/>
                <w:color w:val="auto"/>
                <w:spacing w:val="-2"/>
                <w:sz w:val="24"/>
                <w:szCs w:val="24"/>
                <w:highlight w:val="none"/>
                <w:u w:val="none" w:color="auto"/>
                <w:lang w:val="en-US" w:eastAsia="zh-CN"/>
              </w:rPr>
              <w:t>口腔科不涉及重金属物质的使用，</w:t>
            </w:r>
            <w:r>
              <w:rPr>
                <w:rFonts w:hint="default" w:ascii="Times New Roman" w:hAnsi="Times New Roman" w:eastAsia="宋体" w:cs="Times New Roman"/>
                <w:color w:val="auto"/>
                <w:sz w:val="24"/>
                <w:szCs w:val="24"/>
                <w:highlight w:val="none"/>
                <w:u w:val="none" w:color="auto"/>
              </w:rPr>
              <w:t>不设传染病房</w:t>
            </w:r>
            <w:r>
              <w:rPr>
                <w:rFonts w:hint="eastAsia" w:ascii="Times New Roman" w:hAnsi="Times New Roman" w:eastAsia="宋体" w:cs="Times New Roman"/>
                <w:color w:val="auto"/>
                <w:spacing w:val="-2"/>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项目主要工程组成详见下表。</w:t>
            </w:r>
          </w:p>
          <w:p>
            <w:pPr>
              <w:keepNext w:val="0"/>
              <w:keepLines w:val="0"/>
              <w:pageBreakBefore w:val="0"/>
              <w:widowControl w:val="0"/>
              <w:kinsoku/>
              <w:wordWrap/>
              <w:overflowPunct/>
              <w:topLinePunct w:val="0"/>
              <w:bidi w:val="0"/>
              <w:adjustRightInd w:val="0"/>
              <w:snapToGrid w:val="0"/>
              <w:spacing w:line="348"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表2-1项目建设内容一览表</w:t>
            </w:r>
          </w:p>
          <w:tbl>
            <w:tblPr>
              <w:tblStyle w:val="21"/>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897"/>
              <w:gridCol w:w="4532"/>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center"/>
                </w:tcPr>
                <w:p>
                  <w:pPr>
                    <w:pStyle w:val="55"/>
                    <w:bidi w:val="0"/>
                    <w:rPr>
                      <w:rFonts w:hint="default"/>
                      <w:color w:val="auto"/>
                      <w:lang w:val="en-US" w:eastAsia="zh-CN"/>
                    </w:rPr>
                  </w:pPr>
                  <w:r>
                    <w:rPr>
                      <w:rFonts w:hint="eastAsia"/>
                      <w:color w:val="auto"/>
                      <w:lang w:val="en-US" w:eastAsia="zh-CN"/>
                    </w:rPr>
                    <w:t>项目组成</w:t>
                  </w:r>
                </w:p>
              </w:tc>
              <w:tc>
                <w:tcPr>
                  <w:tcW w:w="1897" w:type="dxa"/>
                  <w:noWrap w:val="0"/>
                  <w:vAlign w:val="center"/>
                </w:tcPr>
                <w:p>
                  <w:pPr>
                    <w:pStyle w:val="55"/>
                    <w:bidi w:val="0"/>
                    <w:rPr>
                      <w:rFonts w:hint="eastAsia"/>
                      <w:color w:val="auto"/>
                      <w:lang w:val="en-US" w:eastAsia="zh-CN"/>
                    </w:rPr>
                  </w:pPr>
                  <w:r>
                    <w:rPr>
                      <w:rFonts w:hint="eastAsia"/>
                      <w:color w:val="auto"/>
                      <w:lang w:val="en-US" w:eastAsia="zh-CN"/>
                    </w:rPr>
                    <w:t>项目组成</w:t>
                  </w:r>
                </w:p>
              </w:tc>
              <w:tc>
                <w:tcPr>
                  <w:tcW w:w="4532" w:type="dxa"/>
                  <w:noWrap w:val="0"/>
                  <w:vAlign w:val="center"/>
                </w:tcPr>
                <w:p>
                  <w:pPr>
                    <w:pStyle w:val="55"/>
                    <w:bidi w:val="0"/>
                    <w:rPr>
                      <w:rFonts w:hint="default"/>
                      <w:color w:val="auto"/>
                      <w:lang w:val="en-US" w:eastAsia="zh-CN"/>
                    </w:rPr>
                  </w:pPr>
                  <w:r>
                    <w:rPr>
                      <w:rFonts w:hint="eastAsia"/>
                      <w:color w:val="auto"/>
                      <w:lang w:val="en-US" w:eastAsia="zh-CN"/>
                    </w:rPr>
                    <w:t>规模</w:t>
                  </w:r>
                </w:p>
              </w:tc>
              <w:tc>
                <w:tcPr>
                  <w:tcW w:w="702" w:type="dxa"/>
                  <w:noWrap w:val="0"/>
                  <w:vAlign w:val="center"/>
                </w:tcPr>
                <w:p>
                  <w:pPr>
                    <w:pStyle w:val="55"/>
                    <w:bidi w:val="0"/>
                    <w:rPr>
                      <w:rFonts w:hint="eastAsia"/>
                      <w:color w:val="auto"/>
                      <w:lang w:val="en-US" w:eastAsia="zh-CN"/>
                    </w:rPr>
                  </w:pPr>
                  <w:r>
                    <w:rPr>
                      <w:rFonts w:hint="eastAsia"/>
                      <w:color w:va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restart"/>
                  <w:noWrap w:val="0"/>
                  <w:vAlign w:val="center"/>
                </w:tcPr>
                <w:p>
                  <w:pPr>
                    <w:pStyle w:val="55"/>
                    <w:bidi w:val="0"/>
                    <w:rPr>
                      <w:rFonts w:hint="default"/>
                      <w:color w:val="auto"/>
                      <w:lang w:val="en-US" w:eastAsia="zh-CN"/>
                    </w:rPr>
                  </w:pPr>
                  <w:r>
                    <w:rPr>
                      <w:rFonts w:hint="eastAsia"/>
                      <w:color w:val="auto"/>
                      <w:lang w:val="en-US" w:eastAsia="zh-CN"/>
                    </w:rPr>
                    <w:t>主体工程</w:t>
                  </w:r>
                </w:p>
              </w:tc>
              <w:tc>
                <w:tcPr>
                  <w:tcW w:w="1897" w:type="dxa"/>
                  <w:noWrap w:val="0"/>
                  <w:vAlign w:val="center"/>
                </w:tcPr>
                <w:p>
                  <w:pPr>
                    <w:pStyle w:val="55"/>
                    <w:bidi w:val="0"/>
                    <w:rPr>
                      <w:rFonts w:hint="default"/>
                      <w:color w:val="auto"/>
                      <w:lang w:val="en-US" w:eastAsia="zh-CN"/>
                    </w:rPr>
                  </w:pPr>
                  <w:r>
                    <w:rPr>
                      <w:rFonts w:hint="eastAsia"/>
                      <w:color w:val="auto"/>
                      <w:lang w:val="en-US" w:eastAsia="zh-CN"/>
                    </w:rPr>
                    <w:t>综合大楼</w:t>
                  </w:r>
                </w:p>
              </w:tc>
              <w:tc>
                <w:tcPr>
                  <w:tcW w:w="4532" w:type="dxa"/>
                  <w:noWrap w:val="0"/>
                  <w:vAlign w:val="center"/>
                </w:tcPr>
                <w:p>
                  <w:pPr>
                    <w:pStyle w:val="55"/>
                    <w:bidi w:val="0"/>
                    <w:rPr>
                      <w:rFonts w:hint="eastAsia"/>
                      <w:color w:val="auto"/>
                      <w:lang w:val="en-US" w:eastAsia="zh-CN"/>
                    </w:rPr>
                  </w:pPr>
                  <w:r>
                    <w:rPr>
                      <w:rFonts w:hint="eastAsia"/>
                      <w:color w:val="auto"/>
                      <w:lang w:val="en-US" w:eastAsia="zh-CN"/>
                    </w:rPr>
                    <w:t>层数为-1+6F，占地629.09平方米，总建筑面积4014.38平方米（其中地上建筑面积3754.18平方米，地下建筑面积260.20平方米），计容建筑面积3754.18平方米，综合楼设计床位81个，建筑高度22.65m。</w:t>
                  </w:r>
                </w:p>
              </w:tc>
              <w:tc>
                <w:tcPr>
                  <w:tcW w:w="702" w:type="dxa"/>
                  <w:noWrap w:val="0"/>
                  <w:vAlign w:val="center"/>
                </w:tcPr>
                <w:p>
                  <w:pPr>
                    <w:pStyle w:val="55"/>
                    <w:bidi w:val="0"/>
                    <w:rPr>
                      <w:rFonts w:hint="default"/>
                      <w:color w:val="auto"/>
                      <w:lang w:val="en-US" w:eastAsia="zh-CN"/>
                    </w:rPr>
                  </w:pPr>
                  <w:r>
                    <w:rPr>
                      <w:rFonts w:hint="eastAsia"/>
                      <w:color w:val="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noWrap w:val="0"/>
                  <w:vAlign w:val="center"/>
                </w:tcPr>
                <w:p>
                  <w:pPr>
                    <w:pStyle w:val="55"/>
                    <w:bidi w:val="0"/>
                    <w:rPr>
                      <w:rFonts w:hint="eastAsia"/>
                      <w:color w:val="auto"/>
                      <w:lang w:val="en-US" w:eastAsia="zh-CN"/>
                    </w:rPr>
                  </w:pPr>
                </w:p>
              </w:tc>
              <w:tc>
                <w:tcPr>
                  <w:tcW w:w="1897" w:type="dxa"/>
                  <w:noWrap w:val="0"/>
                  <w:vAlign w:val="center"/>
                </w:tcPr>
                <w:p>
                  <w:pPr>
                    <w:pStyle w:val="55"/>
                    <w:bidi w:val="0"/>
                    <w:rPr>
                      <w:rFonts w:hint="eastAsia"/>
                      <w:color w:val="auto"/>
                      <w:lang w:val="en-US" w:eastAsia="zh-CN"/>
                    </w:rPr>
                  </w:pPr>
                  <w:r>
                    <w:rPr>
                      <w:rFonts w:hint="eastAsia"/>
                      <w:color w:val="auto"/>
                      <w:lang w:val="en-US" w:eastAsia="zh-CN"/>
                    </w:rPr>
                    <w:t>公卫服务楼</w:t>
                  </w:r>
                </w:p>
              </w:tc>
              <w:tc>
                <w:tcPr>
                  <w:tcW w:w="4532" w:type="dxa"/>
                  <w:noWrap w:val="0"/>
                  <w:vAlign w:val="center"/>
                </w:tcPr>
                <w:p>
                  <w:pPr>
                    <w:pStyle w:val="55"/>
                    <w:bidi w:val="0"/>
                    <w:rPr>
                      <w:rFonts w:hint="default"/>
                      <w:color w:val="auto"/>
                      <w:lang w:val="en-US" w:eastAsia="zh-CN"/>
                    </w:rPr>
                  </w:pPr>
                  <w:r>
                    <w:rPr>
                      <w:rFonts w:hint="default"/>
                      <w:color w:val="auto"/>
                    </w:rPr>
                    <w:t>位于院区</w:t>
                  </w:r>
                  <w:r>
                    <w:rPr>
                      <w:rFonts w:hint="eastAsia"/>
                      <w:color w:val="auto"/>
                      <w:lang w:val="en-US" w:eastAsia="zh-CN"/>
                    </w:rPr>
                    <w:t>西</w:t>
                  </w:r>
                  <w:r>
                    <w:rPr>
                      <w:rFonts w:hint="default"/>
                      <w:color w:val="auto"/>
                    </w:rPr>
                    <w:t>侧，</w:t>
                  </w:r>
                  <w:r>
                    <w:rPr>
                      <w:rFonts w:hint="eastAsia"/>
                      <w:color w:val="auto"/>
                      <w:lang w:val="en-US" w:eastAsia="zh-CN"/>
                    </w:rPr>
                    <w:t>三</w:t>
                  </w:r>
                  <w:r>
                    <w:rPr>
                      <w:rFonts w:hint="default"/>
                      <w:color w:val="auto"/>
                    </w:rPr>
                    <w:t>层砖混结构，</w:t>
                  </w:r>
                  <w:r>
                    <w:rPr>
                      <w:rFonts w:hint="eastAsia"/>
                      <w:color w:val="auto"/>
                      <w:lang w:val="en-US" w:eastAsia="zh-CN"/>
                    </w:rPr>
                    <w:t>设有</w:t>
                  </w:r>
                  <w:r>
                    <w:rPr>
                      <w:rFonts w:hint="default"/>
                      <w:color w:val="auto"/>
                    </w:rPr>
                    <w:t>DR室、化验室、B超室、心电图室</w:t>
                  </w:r>
                  <w:r>
                    <w:rPr>
                      <w:rFonts w:hint="eastAsia"/>
                      <w:color w:val="auto"/>
                      <w:lang w:val="en-US" w:eastAsia="zh-CN"/>
                    </w:rPr>
                    <w:t>等</w:t>
                  </w:r>
                </w:p>
              </w:tc>
              <w:tc>
                <w:tcPr>
                  <w:tcW w:w="702" w:type="dxa"/>
                  <w:noWrap w:val="0"/>
                  <w:vAlign w:val="center"/>
                </w:tcPr>
                <w:p>
                  <w:pPr>
                    <w:pStyle w:val="55"/>
                    <w:bidi w:val="0"/>
                    <w:rPr>
                      <w:rFonts w:hint="eastAsia"/>
                      <w:color w:val="auto"/>
                      <w:lang w:val="en-US" w:eastAsia="zh-CN"/>
                    </w:rPr>
                  </w:pPr>
                  <w:r>
                    <w:rPr>
                      <w:rFonts w:hint="eastAsia"/>
                      <w:color w:val="auto"/>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0" w:type="dxa"/>
                  <w:vMerge w:val="restart"/>
                  <w:noWrap w:val="0"/>
                  <w:vAlign w:val="center"/>
                </w:tcPr>
                <w:p>
                  <w:pPr>
                    <w:pStyle w:val="55"/>
                    <w:bidi w:val="0"/>
                    <w:rPr>
                      <w:rFonts w:hint="default"/>
                      <w:color w:val="auto"/>
                      <w:lang w:val="en-US" w:eastAsia="zh-CN"/>
                    </w:rPr>
                  </w:pPr>
                  <w:r>
                    <w:rPr>
                      <w:rFonts w:hint="eastAsia"/>
                      <w:color w:val="auto"/>
                      <w:lang w:val="en-US" w:eastAsia="zh-CN"/>
                    </w:rPr>
                    <w:t>辅助工程</w:t>
                  </w:r>
                </w:p>
              </w:tc>
              <w:tc>
                <w:tcPr>
                  <w:tcW w:w="1897" w:type="dxa"/>
                  <w:noWrap w:val="0"/>
                  <w:vAlign w:val="center"/>
                </w:tcPr>
                <w:p>
                  <w:pPr>
                    <w:pStyle w:val="55"/>
                    <w:bidi w:val="0"/>
                    <w:rPr>
                      <w:rFonts w:hint="default"/>
                      <w:color w:val="auto"/>
                      <w:lang w:val="en-US" w:eastAsia="zh-CN"/>
                    </w:rPr>
                  </w:pPr>
                  <w:r>
                    <w:rPr>
                      <w:rFonts w:hint="eastAsia"/>
                      <w:color w:val="auto"/>
                      <w:lang w:val="en-US" w:eastAsia="zh-CN"/>
                    </w:rPr>
                    <w:t>宿舍楼</w:t>
                  </w:r>
                </w:p>
              </w:tc>
              <w:tc>
                <w:tcPr>
                  <w:tcW w:w="4532" w:type="dxa"/>
                  <w:noWrap w:val="0"/>
                  <w:vAlign w:val="center"/>
                </w:tcPr>
                <w:p>
                  <w:pPr>
                    <w:pStyle w:val="55"/>
                    <w:bidi w:val="0"/>
                    <w:rPr>
                      <w:rFonts w:hint="default"/>
                      <w:color w:val="auto"/>
                      <w:lang w:val="en-US" w:eastAsia="zh-CN"/>
                    </w:rPr>
                  </w:pPr>
                  <w:r>
                    <w:rPr>
                      <w:rFonts w:hint="eastAsia"/>
                      <w:color w:val="auto"/>
                      <w:lang w:val="en-US" w:eastAsia="zh-CN"/>
                    </w:rPr>
                    <w:t>2栋，三层砖混结构</w:t>
                  </w:r>
                </w:p>
              </w:tc>
              <w:tc>
                <w:tcPr>
                  <w:tcW w:w="702" w:type="dxa"/>
                  <w:noWrap w:val="0"/>
                  <w:vAlign w:val="center"/>
                </w:tcPr>
                <w:p>
                  <w:pPr>
                    <w:pStyle w:val="55"/>
                    <w:bidi w:val="0"/>
                    <w:rPr>
                      <w:rFonts w:hint="default"/>
                      <w:color w:val="auto"/>
                      <w:lang w:val="en-US" w:eastAsia="zh-CN"/>
                    </w:rPr>
                  </w:pPr>
                  <w:r>
                    <w:rPr>
                      <w:rFonts w:hint="eastAsia"/>
                      <w:color w:val="auto"/>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noWrap w:val="0"/>
                  <w:vAlign w:val="center"/>
                </w:tcPr>
                <w:p>
                  <w:pPr>
                    <w:pStyle w:val="55"/>
                    <w:bidi w:val="0"/>
                    <w:rPr>
                      <w:rFonts w:hint="default"/>
                      <w:color w:val="auto"/>
                    </w:rPr>
                  </w:pPr>
                </w:p>
              </w:tc>
              <w:tc>
                <w:tcPr>
                  <w:tcW w:w="1897" w:type="dxa"/>
                  <w:noWrap w:val="0"/>
                  <w:vAlign w:val="center"/>
                </w:tcPr>
                <w:p>
                  <w:pPr>
                    <w:pStyle w:val="55"/>
                    <w:bidi w:val="0"/>
                    <w:rPr>
                      <w:rFonts w:hint="eastAsia"/>
                      <w:color w:val="auto"/>
                      <w:lang w:val="en-US" w:eastAsia="zh-CN"/>
                    </w:rPr>
                  </w:pPr>
                  <w:r>
                    <w:rPr>
                      <w:rFonts w:hint="eastAsia"/>
                      <w:color w:val="auto"/>
                      <w:lang w:val="en-US" w:eastAsia="zh-CN"/>
                    </w:rPr>
                    <w:t>食堂</w:t>
                  </w:r>
                </w:p>
              </w:tc>
              <w:tc>
                <w:tcPr>
                  <w:tcW w:w="4532" w:type="dxa"/>
                  <w:noWrap w:val="0"/>
                  <w:vAlign w:val="center"/>
                </w:tcPr>
                <w:p>
                  <w:pPr>
                    <w:pStyle w:val="55"/>
                    <w:bidi w:val="0"/>
                    <w:rPr>
                      <w:rFonts w:hint="default"/>
                      <w:color w:val="auto"/>
                      <w:lang w:val="en-US" w:eastAsia="zh-CN"/>
                    </w:rPr>
                  </w:pPr>
                  <w:r>
                    <w:rPr>
                      <w:rFonts w:hint="default"/>
                      <w:color w:val="auto"/>
                    </w:rPr>
                    <w:t>位于</w:t>
                  </w:r>
                  <w:r>
                    <w:rPr>
                      <w:rFonts w:hint="eastAsia"/>
                      <w:color w:val="auto"/>
                      <w:lang w:val="en-US" w:eastAsia="zh-CN"/>
                    </w:rPr>
                    <w:t>西北角宿舍楼的一层，</w:t>
                  </w:r>
                  <w:r>
                    <w:rPr>
                      <w:rFonts w:hint="default"/>
                      <w:color w:val="auto"/>
                    </w:rPr>
                    <w:t>仅供医院职工就餐</w:t>
                  </w:r>
                </w:p>
              </w:tc>
              <w:tc>
                <w:tcPr>
                  <w:tcW w:w="702" w:type="dxa"/>
                  <w:noWrap w:val="0"/>
                  <w:vAlign w:val="center"/>
                </w:tcPr>
                <w:p>
                  <w:pPr>
                    <w:pStyle w:val="55"/>
                    <w:bidi w:val="0"/>
                    <w:rPr>
                      <w:rFonts w:hint="default"/>
                      <w:color w:val="auto"/>
                      <w:lang w:val="en-US" w:eastAsia="zh-CN"/>
                    </w:rPr>
                  </w:pPr>
                  <w:r>
                    <w:rPr>
                      <w:rFonts w:hint="eastAsia"/>
                      <w:color w:val="auto"/>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restart"/>
                  <w:noWrap w:val="0"/>
                  <w:vAlign w:val="center"/>
                </w:tcPr>
                <w:p>
                  <w:pPr>
                    <w:pStyle w:val="55"/>
                    <w:bidi w:val="0"/>
                    <w:rPr>
                      <w:rFonts w:hint="default"/>
                      <w:color w:val="auto"/>
                      <w:lang w:val="en-US" w:eastAsia="zh-CN"/>
                    </w:rPr>
                  </w:pPr>
                  <w:r>
                    <w:rPr>
                      <w:rFonts w:hint="eastAsia"/>
                      <w:color w:val="auto"/>
                      <w:lang w:val="en-US" w:eastAsia="zh-CN"/>
                    </w:rPr>
                    <w:t>公用工程</w:t>
                  </w:r>
                </w:p>
              </w:tc>
              <w:tc>
                <w:tcPr>
                  <w:tcW w:w="1897" w:type="dxa"/>
                  <w:noWrap w:val="0"/>
                  <w:vAlign w:val="center"/>
                </w:tcPr>
                <w:p>
                  <w:pPr>
                    <w:pStyle w:val="55"/>
                    <w:bidi w:val="0"/>
                    <w:rPr>
                      <w:rFonts w:hint="default"/>
                      <w:color w:val="auto"/>
                      <w:lang w:val="en-US" w:eastAsia="zh-CN"/>
                    </w:rPr>
                  </w:pPr>
                  <w:r>
                    <w:rPr>
                      <w:rFonts w:hint="eastAsia"/>
                      <w:color w:val="auto"/>
                      <w:lang w:val="en-US" w:eastAsia="zh-CN"/>
                    </w:rPr>
                    <w:t>给水</w:t>
                  </w:r>
                </w:p>
              </w:tc>
              <w:tc>
                <w:tcPr>
                  <w:tcW w:w="4532" w:type="dxa"/>
                  <w:noWrap w:val="0"/>
                  <w:vAlign w:val="center"/>
                </w:tcPr>
                <w:p>
                  <w:pPr>
                    <w:pStyle w:val="55"/>
                    <w:bidi w:val="0"/>
                    <w:rPr>
                      <w:rFonts w:hint="default"/>
                      <w:color w:val="auto"/>
                    </w:rPr>
                  </w:pPr>
                  <w:r>
                    <w:rPr>
                      <w:rFonts w:hint="default"/>
                      <w:color w:val="auto"/>
                    </w:rPr>
                    <w:t>从市政道路上引入一路DN150的市政给水管道进入院区</w:t>
                  </w:r>
                </w:p>
              </w:tc>
              <w:tc>
                <w:tcPr>
                  <w:tcW w:w="702" w:type="dxa"/>
                  <w:noWrap w:val="0"/>
                  <w:vAlign w:val="center"/>
                </w:tcPr>
                <w:p>
                  <w:pPr>
                    <w:pStyle w:val="55"/>
                    <w:bidi w:val="0"/>
                    <w:rPr>
                      <w:rFonts w:hint="default"/>
                      <w:color w:val="auto"/>
                      <w:lang w:val="en-US"/>
                    </w:rPr>
                  </w:pPr>
                  <w:r>
                    <w:rPr>
                      <w:rFonts w:hint="eastAsia"/>
                      <w:color w:val="auto"/>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noWrap w:val="0"/>
                  <w:vAlign w:val="center"/>
                </w:tcPr>
                <w:p>
                  <w:pPr>
                    <w:pStyle w:val="55"/>
                    <w:bidi w:val="0"/>
                    <w:rPr>
                      <w:rFonts w:hint="eastAsia"/>
                      <w:color w:val="auto"/>
                      <w:lang w:val="en-US" w:eastAsia="zh-CN"/>
                    </w:rPr>
                  </w:pPr>
                </w:p>
              </w:tc>
              <w:tc>
                <w:tcPr>
                  <w:tcW w:w="1897" w:type="dxa"/>
                  <w:noWrap w:val="0"/>
                  <w:vAlign w:val="center"/>
                </w:tcPr>
                <w:p>
                  <w:pPr>
                    <w:pStyle w:val="55"/>
                    <w:bidi w:val="0"/>
                    <w:rPr>
                      <w:rFonts w:hint="default"/>
                      <w:color w:val="auto"/>
                      <w:lang w:val="en-US" w:eastAsia="zh-CN"/>
                    </w:rPr>
                  </w:pPr>
                  <w:r>
                    <w:rPr>
                      <w:rFonts w:hint="eastAsia"/>
                      <w:color w:val="auto"/>
                      <w:lang w:val="en-US" w:eastAsia="zh-CN"/>
                    </w:rPr>
                    <w:t>排水</w:t>
                  </w:r>
                </w:p>
              </w:tc>
              <w:tc>
                <w:tcPr>
                  <w:tcW w:w="4532" w:type="dxa"/>
                  <w:noWrap w:val="0"/>
                  <w:vAlign w:val="center"/>
                </w:tcPr>
                <w:p>
                  <w:pPr>
                    <w:pStyle w:val="55"/>
                    <w:bidi w:val="0"/>
                    <w:rPr>
                      <w:rFonts w:hint="default"/>
                      <w:color w:val="auto"/>
                      <w:lang w:val="en-US" w:eastAsia="zh-CN"/>
                    </w:rPr>
                  </w:pPr>
                  <w:r>
                    <w:rPr>
                      <w:rFonts w:hint="default"/>
                      <w:color w:val="auto"/>
                    </w:rPr>
                    <w:t>雨污分流，</w:t>
                  </w:r>
                  <w:r>
                    <w:rPr>
                      <w:rFonts w:hint="eastAsia"/>
                      <w:color w:val="auto"/>
                      <w:lang w:val="en-US" w:eastAsia="zh-CN"/>
                    </w:rPr>
                    <w:t>污水</w:t>
                  </w:r>
                  <w:r>
                    <w:rPr>
                      <w:rFonts w:hint="default"/>
                      <w:color w:val="auto"/>
                    </w:rPr>
                    <w:t>进入</w:t>
                  </w:r>
                  <w:r>
                    <w:rPr>
                      <w:rFonts w:hint="eastAsia"/>
                      <w:color w:val="auto"/>
                      <w:lang w:val="en-US" w:eastAsia="zh-CN"/>
                    </w:rPr>
                    <w:t>地埋式</w:t>
                  </w:r>
                  <w:r>
                    <w:rPr>
                      <w:rFonts w:hint="default"/>
                      <w:color w:val="auto"/>
                    </w:rPr>
                    <w:t>污水处理设备（位于</w:t>
                  </w:r>
                  <w:r>
                    <w:rPr>
                      <w:rFonts w:hint="eastAsia"/>
                      <w:color w:val="auto"/>
                      <w:lang w:val="en-US" w:eastAsia="zh-CN"/>
                    </w:rPr>
                    <w:t>现门诊住院楼东</w:t>
                  </w:r>
                  <w:r>
                    <w:rPr>
                      <w:rFonts w:hint="default"/>
                      <w:color w:val="auto"/>
                    </w:rPr>
                    <w:t>北侧，处理规模为</w:t>
                  </w:r>
                  <w:r>
                    <w:rPr>
                      <w:rFonts w:hint="eastAsia"/>
                      <w:color w:val="auto"/>
                      <w:lang w:val="en-US" w:eastAsia="zh-CN"/>
                    </w:rPr>
                    <w:t>10</w:t>
                  </w:r>
                  <w:r>
                    <w:rPr>
                      <w:rFonts w:hint="default"/>
                      <w:color w:val="auto"/>
                    </w:rPr>
                    <w:t>m3/d）进行处理，处理达标后通过市政污水管网进入湘阴县</w:t>
                  </w:r>
                  <w:r>
                    <w:rPr>
                      <w:rFonts w:hint="eastAsia"/>
                      <w:color w:val="auto"/>
                      <w:lang w:val="en-US" w:eastAsia="zh-CN"/>
                    </w:rPr>
                    <w:t>东塘镇</w:t>
                  </w:r>
                  <w:r>
                    <w:rPr>
                      <w:rFonts w:hint="default"/>
                      <w:color w:val="auto"/>
                    </w:rPr>
                    <w:t>污水处理厂</w:t>
                  </w:r>
                  <w:r>
                    <w:rPr>
                      <w:rFonts w:hint="eastAsia"/>
                      <w:color w:val="auto"/>
                      <w:lang w:val="en-US" w:eastAsia="zh-CN"/>
                    </w:rPr>
                    <w:t>后排入东塘周家坝渠道</w:t>
                  </w:r>
                </w:p>
              </w:tc>
              <w:tc>
                <w:tcPr>
                  <w:tcW w:w="702" w:type="dxa"/>
                  <w:noWrap w:val="0"/>
                  <w:vAlign w:val="center"/>
                </w:tcPr>
                <w:p>
                  <w:pPr>
                    <w:pStyle w:val="55"/>
                    <w:bidi w:val="0"/>
                    <w:rPr>
                      <w:rFonts w:hint="default"/>
                      <w:color w:val="auto"/>
                    </w:rPr>
                  </w:pPr>
                  <w:r>
                    <w:rPr>
                      <w:rFonts w:hint="eastAsia"/>
                      <w:color w:val="auto"/>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noWrap w:val="0"/>
                  <w:vAlign w:val="center"/>
                </w:tcPr>
                <w:p>
                  <w:pPr>
                    <w:pStyle w:val="55"/>
                    <w:bidi w:val="0"/>
                    <w:rPr>
                      <w:rFonts w:hint="eastAsia"/>
                      <w:color w:val="auto"/>
                      <w:lang w:val="en-US" w:eastAsia="zh-CN"/>
                    </w:rPr>
                  </w:pPr>
                </w:p>
              </w:tc>
              <w:tc>
                <w:tcPr>
                  <w:tcW w:w="1897" w:type="dxa"/>
                  <w:noWrap w:val="0"/>
                  <w:vAlign w:val="center"/>
                </w:tcPr>
                <w:p>
                  <w:pPr>
                    <w:pStyle w:val="55"/>
                    <w:bidi w:val="0"/>
                    <w:rPr>
                      <w:rFonts w:hint="default"/>
                      <w:color w:val="auto"/>
                      <w:lang w:val="en-US" w:eastAsia="zh-CN"/>
                    </w:rPr>
                  </w:pPr>
                  <w:r>
                    <w:rPr>
                      <w:rFonts w:hint="eastAsia"/>
                      <w:color w:val="auto"/>
                      <w:lang w:val="en-US" w:eastAsia="zh-CN"/>
                    </w:rPr>
                    <w:t>供电</w:t>
                  </w:r>
                </w:p>
              </w:tc>
              <w:tc>
                <w:tcPr>
                  <w:tcW w:w="4532" w:type="dxa"/>
                  <w:noWrap w:val="0"/>
                  <w:vAlign w:val="center"/>
                </w:tcPr>
                <w:p>
                  <w:pPr>
                    <w:pStyle w:val="55"/>
                    <w:bidi w:val="0"/>
                    <w:rPr>
                      <w:rFonts w:hint="default"/>
                      <w:color w:val="auto"/>
                    </w:rPr>
                  </w:pPr>
                  <w:r>
                    <w:rPr>
                      <w:rFonts w:hint="default"/>
                      <w:color w:val="auto"/>
                    </w:rPr>
                    <w:t>由市政供电</w:t>
                  </w:r>
                </w:p>
              </w:tc>
              <w:tc>
                <w:tcPr>
                  <w:tcW w:w="702" w:type="dxa"/>
                  <w:noWrap w:val="0"/>
                  <w:vAlign w:val="center"/>
                </w:tcPr>
                <w:p>
                  <w:pPr>
                    <w:pStyle w:val="55"/>
                    <w:bidi w:val="0"/>
                    <w:rPr>
                      <w:rFonts w:hint="default"/>
                      <w:color w:val="auto"/>
                    </w:rPr>
                  </w:pPr>
                  <w:r>
                    <w:rPr>
                      <w:rFonts w:hint="eastAsia"/>
                      <w:color w:val="auto"/>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restart"/>
                  <w:noWrap w:val="0"/>
                  <w:vAlign w:val="center"/>
                </w:tcPr>
                <w:p>
                  <w:pPr>
                    <w:pStyle w:val="55"/>
                    <w:bidi w:val="0"/>
                    <w:rPr>
                      <w:rFonts w:hint="default"/>
                      <w:color w:val="auto"/>
                      <w:lang w:val="en-US" w:eastAsia="zh-CN"/>
                    </w:rPr>
                  </w:pPr>
                  <w:r>
                    <w:rPr>
                      <w:rFonts w:hint="eastAsia"/>
                      <w:color w:val="auto"/>
                      <w:lang w:val="en-US" w:eastAsia="zh-CN"/>
                    </w:rPr>
                    <w:t>环保工程</w:t>
                  </w:r>
                </w:p>
              </w:tc>
              <w:tc>
                <w:tcPr>
                  <w:tcW w:w="1897" w:type="dxa"/>
                  <w:noWrap w:val="0"/>
                  <w:vAlign w:val="center"/>
                </w:tcPr>
                <w:p>
                  <w:pPr>
                    <w:pStyle w:val="55"/>
                    <w:bidi w:val="0"/>
                    <w:rPr>
                      <w:rFonts w:hint="eastAsia"/>
                      <w:color w:val="auto"/>
                      <w:lang w:val="en-US" w:eastAsia="zh-CN"/>
                    </w:rPr>
                  </w:pPr>
                  <w:r>
                    <w:rPr>
                      <w:rFonts w:hint="eastAsia"/>
                      <w:color w:val="auto"/>
                      <w:lang w:val="en-US" w:eastAsia="zh-CN"/>
                    </w:rPr>
                    <w:t>污水处理站</w:t>
                  </w:r>
                </w:p>
              </w:tc>
              <w:tc>
                <w:tcPr>
                  <w:tcW w:w="4532" w:type="dxa"/>
                  <w:noWrap w:val="0"/>
                  <w:vAlign w:val="center"/>
                </w:tcPr>
                <w:p>
                  <w:pPr>
                    <w:pStyle w:val="55"/>
                    <w:bidi w:val="0"/>
                    <w:rPr>
                      <w:rFonts w:hint="default"/>
                      <w:color w:val="auto"/>
                      <w:lang w:val="en-US" w:eastAsia="zh-CN"/>
                    </w:rPr>
                  </w:pPr>
                  <w:r>
                    <w:rPr>
                      <w:rFonts w:hint="default"/>
                      <w:color w:val="auto"/>
                    </w:rPr>
                    <w:t>位于</w:t>
                  </w:r>
                  <w:r>
                    <w:rPr>
                      <w:rFonts w:hint="eastAsia"/>
                      <w:color w:val="auto"/>
                      <w:lang w:val="en-US" w:eastAsia="zh-CN"/>
                    </w:rPr>
                    <w:t>新建综合大楼东南侧</w:t>
                  </w:r>
                  <w:r>
                    <w:rPr>
                      <w:rFonts w:hint="default"/>
                      <w:color w:val="auto"/>
                    </w:rPr>
                    <w:t>，</w:t>
                  </w:r>
                  <w:r>
                    <w:rPr>
                      <w:rFonts w:hint="eastAsia"/>
                      <w:color w:val="auto"/>
                      <w:lang w:val="en-US" w:eastAsia="zh-CN"/>
                    </w:rPr>
                    <w:t>调节池最大容量为9m</w:t>
                  </w:r>
                  <w:r>
                    <w:rPr>
                      <w:rFonts w:hint="eastAsia"/>
                      <w:color w:val="auto"/>
                      <w:vertAlign w:val="superscript"/>
                      <w:lang w:val="en-US" w:eastAsia="zh-CN"/>
                    </w:rPr>
                    <w:t>3</w:t>
                  </w:r>
                  <w:r>
                    <w:rPr>
                      <w:rFonts w:hint="eastAsia"/>
                      <w:color w:val="auto"/>
                      <w:lang w:val="en-US" w:eastAsia="zh-CN"/>
                    </w:rPr>
                    <w:t>（长3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高</w:t>
                  </w:r>
                  <w:r>
                    <w:rPr>
                      <w:rFonts w:hint="eastAsia"/>
                      <w:color w:val="auto"/>
                      <w:lang w:val="en-US" w:eastAsia="zh-CN"/>
                    </w:rPr>
                    <w:t>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宽1m</w:t>
                  </w:r>
                  <w:r>
                    <w:rPr>
                      <w:rFonts w:hint="eastAsia"/>
                      <w:color w:val="auto"/>
                      <w:lang w:val="en-US" w:eastAsia="zh-CN"/>
                    </w:rPr>
                    <w:t>），厌氧池最大容量为9m</w:t>
                  </w:r>
                  <w:r>
                    <w:rPr>
                      <w:rFonts w:hint="eastAsia"/>
                      <w:color w:val="auto"/>
                      <w:vertAlign w:val="superscript"/>
                      <w:lang w:val="en-US" w:eastAsia="zh-CN"/>
                    </w:rPr>
                    <w:t>3</w:t>
                  </w:r>
                  <w:r>
                    <w:rPr>
                      <w:rFonts w:hint="eastAsia"/>
                      <w:color w:val="auto"/>
                      <w:lang w:val="en-US" w:eastAsia="zh-CN"/>
                    </w:rPr>
                    <w:t>（长3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高</w:t>
                  </w:r>
                  <w:r>
                    <w:rPr>
                      <w:rFonts w:hint="eastAsia"/>
                      <w:color w:val="auto"/>
                      <w:lang w:val="en-US" w:eastAsia="zh-CN"/>
                    </w:rPr>
                    <w:t>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宽1m</w:t>
                  </w:r>
                  <w:r>
                    <w:rPr>
                      <w:rFonts w:hint="eastAsia"/>
                      <w:color w:val="auto"/>
                      <w:lang w:val="en-US" w:eastAsia="zh-CN"/>
                    </w:rPr>
                    <w:t>），好氧池最大容量为18m</w:t>
                  </w:r>
                  <w:r>
                    <w:rPr>
                      <w:rFonts w:hint="eastAsia"/>
                      <w:color w:val="auto"/>
                      <w:vertAlign w:val="superscript"/>
                      <w:lang w:val="en-US" w:eastAsia="zh-CN"/>
                    </w:rPr>
                    <w:t>3</w:t>
                  </w:r>
                  <w:r>
                    <w:rPr>
                      <w:rFonts w:hint="eastAsia"/>
                      <w:color w:val="auto"/>
                      <w:lang w:val="en-US" w:eastAsia="zh-CN"/>
                    </w:rPr>
                    <w:t>（长3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高</w:t>
                  </w:r>
                  <w:r>
                    <w:rPr>
                      <w:rFonts w:hint="eastAsia"/>
                      <w:color w:val="auto"/>
                      <w:lang w:val="en-US" w:eastAsia="zh-CN"/>
                    </w:rPr>
                    <w:t>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宽2m</w:t>
                  </w:r>
                  <w:r>
                    <w:rPr>
                      <w:rFonts w:hint="eastAsia"/>
                      <w:color w:val="auto"/>
                      <w:lang w:val="en-US" w:eastAsia="zh-CN"/>
                    </w:rPr>
                    <w:t>），沉淀池最大容量为9m</w:t>
                  </w:r>
                  <w:r>
                    <w:rPr>
                      <w:rFonts w:hint="eastAsia"/>
                      <w:color w:val="auto"/>
                      <w:vertAlign w:val="superscript"/>
                      <w:lang w:val="en-US" w:eastAsia="zh-CN"/>
                    </w:rPr>
                    <w:t>3</w:t>
                  </w:r>
                  <w:r>
                    <w:rPr>
                      <w:rFonts w:hint="eastAsia"/>
                      <w:color w:val="auto"/>
                      <w:lang w:val="en-US" w:eastAsia="zh-CN"/>
                    </w:rPr>
                    <w:t>（长3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高</w:t>
                  </w:r>
                  <w:r>
                    <w:rPr>
                      <w:rFonts w:hint="eastAsia"/>
                      <w:color w:val="auto"/>
                      <w:lang w:val="en-US" w:eastAsia="zh-CN"/>
                    </w:rPr>
                    <w:t>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宽1m</w:t>
                  </w:r>
                  <w:r>
                    <w:rPr>
                      <w:rFonts w:hint="eastAsia"/>
                      <w:color w:val="auto"/>
                      <w:lang w:val="en-US" w:eastAsia="zh-CN"/>
                    </w:rPr>
                    <w:t>），消毒池最大容量为2.5m</w:t>
                  </w:r>
                  <w:r>
                    <w:rPr>
                      <w:rFonts w:hint="eastAsia"/>
                      <w:color w:val="auto"/>
                      <w:vertAlign w:val="superscript"/>
                      <w:lang w:val="en-US" w:eastAsia="zh-CN"/>
                    </w:rPr>
                    <w:t>3</w:t>
                  </w:r>
                  <w:r>
                    <w:rPr>
                      <w:rFonts w:hint="eastAsia"/>
                      <w:color w:val="auto"/>
                      <w:lang w:val="en-US" w:eastAsia="zh-CN"/>
                    </w:rPr>
                    <w:t>（长1</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高</w:t>
                  </w:r>
                  <w:r>
                    <w:rPr>
                      <w:rFonts w:hint="eastAsia"/>
                      <w:color w:val="auto"/>
                      <w:lang w:val="en-US" w:eastAsia="zh-CN"/>
                    </w:rPr>
                    <w:t>2.5</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宽1m</w:t>
                  </w:r>
                  <w:r>
                    <w:rPr>
                      <w:rFonts w:hint="eastAsia"/>
                      <w:color w:val="auto"/>
                      <w:lang w:val="en-US" w:eastAsia="zh-CN"/>
                    </w:rPr>
                    <w:t>）；新建应急池12m</w:t>
                  </w:r>
                  <w:r>
                    <w:rPr>
                      <w:rFonts w:hint="eastAsia"/>
                      <w:color w:val="auto"/>
                      <w:vertAlign w:val="superscript"/>
                      <w:lang w:val="en-US" w:eastAsia="zh-CN"/>
                    </w:rPr>
                    <w:t>3</w:t>
                  </w:r>
                  <w:r>
                    <w:rPr>
                      <w:rFonts w:hint="eastAsia"/>
                      <w:color w:val="auto"/>
                      <w:lang w:val="en-US" w:eastAsia="zh-CN"/>
                    </w:rPr>
                    <w:t>（长3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高</w:t>
                  </w:r>
                  <w:r>
                    <w:rPr>
                      <w:rFonts w:hint="eastAsia"/>
                      <w:color w:val="auto"/>
                      <w:lang w:val="en-US" w:eastAsia="zh-CN"/>
                    </w:rPr>
                    <w:t>3</w:t>
                  </w:r>
                  <w:r>
                    <w:rPr>
                      <w:rFonts w:hint="eastAsia" w:ascii="Arial" w:hAnsi="Arial" w:cs="Arial"/>
                      <w:color w:val="auto"/>
                      <w:lang w:val="en-US" w:eastAsia="zh-CN"/>
                    </w:rPr>
                    <w:t>m</w:t>
                  </w:r>
                  <w:r>
                    <w:rPr>
                      <w:rFonts w:hint="default" w:ascii="Arial" w:hAnsi="Arial" w:cs="Arial"/>
                      <w:color w:val="auto"/>
                      <w:lang w:val="en-US" w:eastAsia="zh-CN"/>
                    </w:rPr>
                    <w:t>×</w:t>
                  </w:r>
                  <w:r>
                    <w:rPr>
                      <w:rFonts w:hint="eastAsia" w:ascii="Arial" w:hAnsi="Arial" w:cs="Arial"/>
                      <w:color w:val="auto"/>
                      <w:lang w:val="en-US" w:eastAsia="zh-CN"/>
                    </w:rPr>
                    <w:t>宽2m</w:t>
                  </w:r>
                  <w:r>
                    <w:rPr>
                      <w:rFonts w:hint="eastAsia"/>
                      <w:color w:val="auto"/>
                      <w:lang w:val="en-US" w:eastAsia="zh-CN"/>
                    </w:rPr>
                    <w:t>）；加药设备2台（一用一备）；设置污泥压滤间。</w:t>
                  </w:r>
                </w:p>
              </w:tc>
              <w:tc>
                <w:tcPr>
                  <w:tcW w:w="702" w:type="dxa"/>
                  <w:noWrap w:val="0"/>
                  <w:vAlign w:val="center"/>
                </w:tcPr>
                <w:p>
                  <w:pPr>
                    <w:pStyle w:val="55"/>
                    <w:bidi w:val="0"/>
                    <w:rPr>
                      <w:rFonts w:hint="default"/>
                      <w:color w:val="auto"/>
                      <w:lang w:val="en-US"/>
                    </w:rPr>
                  </w:pPr>
                  <w:r>
                    <w:rPr>
                      <w:rFonts w:hint="eastAsia"/>
                      <w:color w:val="auto"/>
                      <w:lang w:val="en-US" w:eastAsia="zh-CN"/>
                    </w:rPr>
                    <w:t>新建污泥压滤机和加药间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noWrap w:val="0"/>
                  <w:vAlign w:val="center"/>
                </w:tcPr>
                <w:p>
                  <w:pPr>
                    <w:pStyle w:val="55"/>
                    <w:bidi w:val="0"/>
                    <w:rPr>
                      <w:rFonts w:hint="eastAsia"/>
                      <w:color w:val="auto"/>
                      <w:lang w:val="en-US" w:eastAsia="zh-CN"/>
                    </w:rPr>
                  </w:pPr>
                </w:p>
              </w:tc>
              <w:tc>
                <w:tcPr>
                  <w:tcW w:w="1897" w:type="dxa"/>
                  <w:noWrap w:val="0"/>
                  <w:vAlign w:val="center"/>
                </w:tcPr>
                <w:p>
                  <w:pPr>
                    <w:pStyle w:val="55"/>
                    <w:bidi w:val="0"/>
                    <w:rPr>
                      <w:rFonts w:hint="eastAsia"/>
                      <w:color w:val="auto"/>
                      <w:lang w:val="en-US" w:eastAsia="zh-CN"/>
                    </w:rPr>
                  </w:pPr>
                  <w:r>
                    <w:rPr>
                      <w:rFonts w:hint="eastAsia"/>
                      <w:color w:val="auto"/>
                      <w:lang w:val="en-US" w:eastAsia="zh-CN"/>
                    </w:rPr>
                    <w:t>医疗废物暂存间</w:t>
                  </w:r>
                </w:p>
              </w:tc>
              <w:tc>
                <w:tcPr>
                  <w:tcW w:w="4532" w:type="dxa"/>
                  <w:noWrap w:val="0"/>
                  <w:vAlign w:val="center"/>
                </w:tcPr>
                <w:p>
                  <w:pPr>
                    <w:pStyle w:val="55"/>
                    <w:bidi w:val="0"/>
                    <w:rPr>
                      <w:rFonts w:hint="default"/>
                      <w:color w:val="auto"/>
                      <w:lang w:val="en-US"/>
                    </w:rPr>
                  </w:pPr>
                  <w:r>
                    <w:rPr>
                      <w:rFonts w:hint="eastAsia"/>
                      <w:color w:val="auto"/>
                      <w:lang w:val="en-US" w:eastAsia="zh-CN"/>
                    </w:rPr>
                    <w:t>位于</w:t>
                  </w:r>
                  <w:r>
                    <w:rPr>
                      <w:rFonts w:hint="default"/>
                      <w:color w:val="auto"/>
                    </w:rPr>
                    <w:t>位于</w:t>
                  </w:r>
                  <w:r>
                    <w:rPr>
                      <w:rFonts w:hint="eastAsia"/>
                      <w:color w:val="auto"/>
                      <w:lang w:val="en-US" w:eastAsia="zh-CN"/>
                    </w:rPr>
                    <w:t>新建综合大楼东南侧，一层独立建筑，占地约15m</w:t>
                  </w:r>
                  <w:r>
                    <w:rPr>
                      <w:rFonts w:hint="eastAsia"/>
                      <w:color w:val="auto"/>
                      <w:vertAlign w:val="superscript"/>
                      <w:lang w:val="en-US" w:eastAsia="zh-CN"/>
                    </w:rPr>
                    <w:t>2</w:t>
                  </w:r>
                </w:p>
              </w:tc>
              <w:tc>
                <w:tcPr>
                  <w:tcW w:w="702" w:type="dxa"/>
                  <w:noWrap w:val="0"/>
                  <w:vAlign w:val="center"/>
                </w:tcPr>
                <w:p>
                  <w:pPr>
                    <w:pStyle w:val="55"/>
                    <w:bidi w:val="0"/>
                    <w:rPr>
                      <w:rFonts w:hint="default"/>
                      <w:color w:val="auto"/>
                    </w:rPr>
                  </w:pPr>
                  <w:r>
                    <w:rPr>
                      <w:rFonts w:hint="eastAsia"/>
                      <w:color w:val="auto"/>
                      <w:lang w:val="en-US" w:eastAsia="zh-CN"/>
                    </w:rPr>
                    <w:t>新建</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2.2.2主要设备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本</w:t>
            </w:r>
            <w:r>
              <w:rPr>
                <w:rFonts w:hint="default" w:ascii="Times New Roman" w:hAnsi="Times New Roman" w:eastAsia="宋体" w:cs="Times New Roman"/>
                <w:color w:val="auto"/>
                <w:sz w:val="24"/>
                <w:szCs w:val="24"/>
                <w:u w:val="none" w:color="auto"/>
              </w:rPr>
              <w:t>项目</w:t>
            </w:r>
            <w:r>
              <w:rPr>
                <w:rFonts w:hint="eastAsia" w:ascii="Times New Roman" w:hAnsi="Times New Roman" w:eastAsia="宋体" w:cs="Times New Roman"/>
                <w:color w:val="auto"/>
                <w:sz w:val="24"/>
                <w:szCs w:val="24"/>
                <w:u w:val="none" w:color="auto"/>
                <w:lang w:val="en-US" w:eastAsia="zh-CN"/>
              </w:rPr>
              <w:t>主要</w:t>
            </w:r>
            <w:r>
              <w:rPr>
                <w:rFonts w:hint="default" w:ascii="Times New Roman" w:hAnsi="Times New Roman" w:eastAsia="宋体" w:cs="Times New Roman"/>
                <w:color w:val="auto"/>
                <w:sz w:val="24"/>
                <w:szCs w:val="24"/>
                <w:u w:val="none" w:color="auto"/>
              </w:rPr>
              <w:t>设备情况详见下表。</w:t>
            </w:r>
            <w:r>
              <w:rPr>
                <w:rFonts w:hint="eastAsia" w:ascii="Times New Roman" w:hAnsi="Times New Roman" w:eastAsia="宋体" w:cs="Times New Roman"/>
                <w:color w:val="auto"/>
                <w:spacing w:val="-2"/>
                <w:sz w:val="24"/>
                <w:szCs w:val="24"/>
                <w:u w:val="none" w:color="auto"/>
                <w:lang w:val="en-US" w:eastAsia="zh-CN"/>
              </w:rPr>
              <w:t>医院现有的医用X射线摄影系统为Ⅲ类射线装置，已</w:t>
            </w:r>
            <w:r>
              <w:rPr>
                <w:rFonts w:hint="default" w:ascii="Times New Roman" w:hAnsi="Times New Roman" w:eastAsia="宋体" w:cs="Times New Roman"/>
                <w:color w:val="auto"/>
                <w:sz w:val="24"/>
                <w:szCs w:val="24"/>
                <w:u w:val="none" w:color="auto"/>
              </w:rPr>
              <w:t>办理相关环保手续</w:t>
            </w:r>
            <w:r>
              <w:rPr>
                <w:rFonts w:hint="eastAsia" w:ascii="Times New Roman" w:hAnsi="Times New Roman" w:eastAsia="宋体" w:cs="Times New Roman"/>
                <w:color w:val="auto"/>
                <w:sz w:val="24"/>
                <w:szCs w:val="24"/>
                <w:u w:val="none" w:color="auto"/>
                <w:lang w:val="en-US" w:eastAsia="zh-CN"/>
              </w:rPr>
              <w:t>并取得辐射安全许可证</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证书编号为湘环辐证[F0034]</w:t>
            </w:r>
            <w:r>
              <w:rPr>
                <w:rFonts w:hint="default" w:ascii="Times New Roman" w:hAnsi="Times New Roman" w:eastAsia="宋体" w:cs="Times New Roman"/>
                <w:color w:val="auto"/>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表2-</w:t>
            </w:r>
            <w:r>
              <w:rPr>
                <w:rFonts w:hint="eastAsia" w:ascii="Times New Roman" w:hAnsi="Times New Roman" w:eastAsia="宋体" w:cs="Times New Roman"/>
                <w:color w:val="auto"/>
                <w:sz w:val="24"/>
                <w:szCs w:val="24"/>
                <w:highlight w:val="none"/>
                <w:u w:val="none" w:color="auto"/>
                <w:lang w:val="en-US" w:eastAsia="zh-CN"/>
              </w:rPr>
              <w:t>2</w:t>
            </w:r>
            <w:r>
              <w:rPr>
                <w:rFonts w:hint="default" w:ascii="Times New Roman" w:hAnsi="Times New Roman" w:eastAsia="宋体" w:cs="Times New Roman"/>
                <w:color w:val="auto"/>
                <w:sz w:val="24"/>
                <w:szCs w:val="24"/>
                <w:highlight w:val="none"/>
                <w:u w:val="none" w:color="auto"/>
              </w:rPr>
              <w:t>主要设备一览表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770"/>
              <w:gridCol w:w="1276"/>
              <w:gridCol w:w="653"/>
              <w:gridCol w:w="638"/>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序号</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设备名称</w:t>
                  </w:r>
                </w:p>
              </w:tc>
              <w:tc>
                <w:tcPr>
                  <w:tcW w:w="762"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型号</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数量</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单位</w:t>
                  </w:r>
                </w:p>
              </w:tc>
              <w:tc>
                <w:tcPr>
                  <w:tcW w:w="1398"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1</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eastAsia" w:ascii="Times New Roman" w:hAnsi="Times New Roman" w:eastAsia="宋体" w:cs="Times New Roman"/>
                      <w:color w:val="auto"/>
                      <w:sz w:val="21"/>
                      <w:highlight w:val="none"/>
                      <w:u w:val="none" w:color="auto"/>
                      <w:lang w:val="en-US" w:eastAsia="zh-CN"/>
                    </w:rPr>
                    <w:t>数字化</w:t>
                  </w:r>
                  <w:r>
                    <w:rPr>
                      <w:rFonts w:hint="default" w:ascii="Times New Roman" w:hAnsi="Times New Roman" w:eastAsia="宋体" w:cs="Times New Roman"/>
                      <w:color w:val="auto"/>
                      <w:sz w:val="21"/>
                      <w:highlight w:val="none"/>
                      <w:u w:val="none" w:color="auto"/>
                    </w:rPr>
                    <w:t>X射线系统</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DT520A-2</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1</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台</w:t>
                  </w:r>
                </w:p>
              </w:tc>
              <w:tc>
                <w:tcPr>
                  <w:tcW w:w="1398"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2</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尿液分析仪</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U500</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1</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台</w:t>
                  </w:r>
                </w:p>
              </w:tc>
              <w:tc>
                <w:tcPr>
                  <w:tcW w:w="1398"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3</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彩色多普勒超声系统</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DC-60S</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1</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台</w:t>
                  </w:r>
                </w:p>
              </w:tc>
              <w:tc>
                <w:tcPr>
                  <w:tcW w:w="1398"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43"/>
                    <w:spacing w:before="35" w:line="240" w:lineRule="auto"/>
                    <w:ind w:right="1" w:righ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Times New Roman" w:hAnsi="Times New Roman" w:eastAsia="宋体" w:cs="Times New Roman"/>
                      <w:color w:val="auto"/>
                      <w:sz w:val="21"/>
                      <w:highlight w:val="none"/>
                      <w:u w:val="none" w:color="auto"/>
                      <w:lang w:val="en-US" w:eastAsia="zh-CN"/>
                    </w:rPr>
                    <w:t>4</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全自动生化分析仪</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ES-200</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1</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台</w:t>
                  </w:r>
                </w:p>
              </w:tc>
              <w:tc>
                <w:tcPr>
                  <w:tcW w:w="1398"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43"/>
                    <w:spacing w:before="35" w:line="240" w:lineRule="auto"/>
                    <w:ind w:right="1" w:righ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Times New Roman" w:hAnsi="Times New Roman" w:eastAsia="宋体" w:cs="Times New Roman"/>
                      <w:color w:val="auto"/>
                      <w:sz w:val="21"/>
                      <w:highlight w:val="none"/>
                      <w:u w:val="none" w:color="auto"/>
                      <w:lang w:val="en-US" w:eastAsia="zh-CN"/>
                    </w:rPr>
                    <w:t>5</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心电图机</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CM12008</w:t>
                  </w:r>
                </w:p>
              </w:tc>
              <w:tc>
                <w:tcPr>
                  <w:tcW w:w="390"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eastAsia="zh-CN"/>
                    </w:rPr>
                  </w:pPr>
                  <w:r>
                    <w:rPr>
                      <w:rFonts w:hint="eastAsia" w:ascii="Times New Roman" w:hAnsi="Times New Roman" w:eastAsia="宋体" w:cs="Times New Roman"/>
                      <w:color w:val="auto"/>
                      <w:sz w:val="21"/>
                      <w:highlight w:val="none"/>
                      <w:u w:val="none" w:color="auto"/>
                      <w:lang w:val="en-US" w:eastAsia="zh-CN"/>
                    </w:rPr>
                    <w:t>1</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rPr>
                  </w:pPr>
                  <w:r>
                    <w:rPr>
                      <w:rFonts w:hint="default" w:ascii="Times New Roman" w:hAnsi="Times New Roman" w:eastAsia="宋体" w:cs="Times New Roman"/>
                      <w:color w:val="auto"/>
                      <w:sz w:val="21"/>
                      <w:highlight w:val="none"/>
                      <w:u w:val="none" w:color="auto"/>
                    </w:rPr>
                    <w:t>台</w:t>
                  </w:r>
                </w:p>
              </w:tc>
              <w:tc>
                <w:tcPr>
                  <w:tcW w:w="1398"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6</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医用离心机</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TDZ4-WS</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1</w:t>
                  </w:r>
                </w:p>
              </w:tc>
              <w:tc>
                <w:tcPr>
                  <w:tcW w:w="381"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台</w:t>
                  </w:r>
                </w:p>
              </w:tc>
              <w:tc>
                <w:tcPr>
                  <w:tcW w:w="1398"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7</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电热恒温培养箱</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DHP-420型</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1</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台</w:t>
                  </w:r>
                </w:p>
              </w:tc>
              <w:tc>
                <w:tcPr>
                  <w:tcW w:w="1398"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8</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自动血液细胞分析仪</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UN71</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1</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台</w:t>
                  </w:r>
                </w:p>
              </w:tc>
              <w:tc>
                <w:tcPr>
                  <w:tcW w:w="1398"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9</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二氧化氯发生器（加药设备）</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LR-100</w:t>
                  </w:r>
                </w:p>
              </w:tc>
              <w:tc>
                <w:tcPr>
                  <w:tcW w:w="390"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2</w:t>
                  </w:r>
                </w:p>
              </w:tc>
              <w:tc>
                <w:tcPr>
                  <w:tcW w:w="381" w:type="pct"/>
                  <w:noWrap w:val="0"/>
                  <w:vAlign w:val="center"/>
                </w:tcPr>
                <w:p>
                  <w:pPr>
                    <w:pStyle w:val="43"/>
                    <w:spacing w:before="35" w:line="240" w:lineRule="auto"/>
                    <w:ind w:right="1" w:rightChars="0"/>
                    <w:jc w:val="center"/>
                    <w:rPr>
                      <w:rFonts w:hint="eastAsia"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台</w:t>
                  </w:r>
                </w:p>
              </w:tc>
              <w:tc>
                <w:tcPr>
                  <w:tcW w:w="1398"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ascii="Times New Roman" w:hAnsi="Times New Roman" w:eastAsia="宋体" w:cs="Times New Roman"/>
                      <w:color w:val="auto"/>
                      <w:sz w:val="21"/>
                      <w:highlight w:val="none"/>
                      <w:u w:val="none" w:color="auto"/>
                      <w:lang w:val="en-US" w:eastAsia="zh-CN"/>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10</w:t>
                  </w:r>
                </w:p>
              </w:tc>
              <w:tc>
                <w:tcPr>
                  <w:tcW w:w="1654"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污泥压滤机</w:t>
                  </w:r>
                </w:p>
              </w:tc>
              <w:tc>
                <w:tcPr>
                  <w:tcW w:w="762"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w:t>
                  </w:r>
                </w:p>
              </w:tc>
              <w:tc>
                <w:tcPr>
                  <w:tcW w:w="390"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1</w:t>
                  </w:r>
                </w:p>
              </w:tc>
              <w:tc>
                <w:tcPr>
                  <w:tcW w:w="381"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台</w:t>
                  </w:r>
                </w:p>
              </w:tc>
              <w:tc>
                <w:tcPr>
                  <w:tcW w:w="1398" w:type="pct"/>
                  <w:noWrap w:val="0"/>
                  <w:vAlign w:val="center"/>
                </w:tcPr>
                <w:p>
                  <w:pPr>
                    <w:pStyle w:val="43"/>
                    <w:spacing w:before="35" w:line="240" w:lineRule="auto"/>
                    <w:ind w:right="1" w:rightChars="0"/>
                    <w:jc w:val="center"/>
                    <w:rPr>
                      <w:rFonts w:hint="default" w:ascii="Times New Roman" w:hAnsi="Times New Roman" w:eastAsia="宋体" w:cs="Times New Roman"/>
                      <w:color w:val="auto"/>
                      <w:sz w:val="21"/>
                      <w:highlight w:val="none"/>
                      <w:u w:val="none" w:color="auto"/>
                      <w:lang w:val="en-US" w:eastAsia="zh-CN"/>
                    </w:rPr>
                  </w:pPr>
                  <w:r>
                    <w:rPr>
                      <w:rFonts w:hint="eastAsia" w:cs="Times New Roman"/>
                      <w:color w:val="auto"/>
                      <w:sz w:val="21"/>
                      <w:highlight w:val="none"/>
                      <w:u w:val="none" w:color="auto"/>
                      <w:lang w:val="en-US" w:eastAsia="zh-CN"/>
                    </w:rPr>
                    <w:t>新增</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highlight w:val="none"/>
                <w:u w:val="none" w:color="auto"/>
              </w:rPr>
            </w:pPr>
            <w:r>
              <w:rPr>
                <w:rFonts w:hint="default" w:ascii="Times New Roman" w:hAnsi="Times New Roman" w:eastAsia="宋体" w:cs="Times New Roman"/>
                <w:b/>
                <w:bCs/>
                <w:color w:val="auto"/>
                <w:kern w:val="0"/>
                <w:sz w:val="24"/>
                <w:szCs w:val="24"/>
                <w:u w:val="none" w:color="auto"/>
              </w:rPr>
              <w:t>2</w:t>
            </w:r>
            <w:r>
              <w:rPr>
                <w:rFonts w:hint="default" w:ascii="Times New Roman" w:hAnsi="Times New Roman" w:eastAsia="宋体" w:cs="Times New Roman"/>
                <w:b/>
                <w:bCs/>
                <w:color w:val="auto"/>
                <w:kern w:val="0"/>
                <w:sz w:val="24"/>
                <w:szCs w:val="24"/>
                <w:highlight w:val="none"/>
                <w:u w:val="none" w:color="auto"/>
              </w:rPr>
              <w:t>.2.3主要原辅材料消耗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lang w:val="en-US"/>
              </w:rPr>
            </w:pPr>
            <w:r>
              <w:rPr>
                <w:rFonts w:hint="eastAsia" w:ascii="Times New Roman" w:hAnsi="Times New Roman" w:eastAsia="宋体" w:cs="Times New Roman"/>
                <w:color w:val="auto"/>
                <w:sz w:val="24"/>
                <w:szCs w:val="24"/>
                <w:highlight w:val="none"/>
                <w:u w:val="none" w:color="auto"/>
                <w:lang w:val="en-US" w:eastAsia="zh-CN"/>
              </w:rPr>
              <w:t>本项目主要原耗材见表2-3。</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表2-</w:t>
            </w:r>
            <w:r>
              <w:rPr>
                <w:rFonts w:hint="eastAsia" w:ascii="Times New Roman" w:hAnsi="Times New Roman" w:eastAsia="宋体" w:cs="Times New Roman"/>
                <w:color w:val="auto"/>
                <w:sz w:val="24"/>
                <w:szCs w:val="24"/>
                <w:highlight w:val="none"/>
                <w:u w:val="none" w:color="auto"/>
                <w:lang w:val="en-US" w:eastAsia="zh-CN"/>
              </w:rPr>
              <w:t xml:space="preserve">3 </w:t>
            </w:r>
            <w:r>
              <w:rPr>
                <w:rFonts w:hint="default" w:ascii="Times New Roman" w:hAnsi="Times New Roman" w:eastAsia="宋体" w:cs="Times New Roman"/>
                <w:color w:val="auto"/>
                <w:sz w:val="24"/>
                <w:szCs w:val="24"/>
                <w:highlight w:val="none"/>
                <w:u w:val="none" w:color="auto"/>
              </w:rPr>
              <w:t>主要医疗</w:t>
            </w:r>
            <w:r>
              <w:rPr>
                <w:rFonts w:hint="eastAsia" w:ascii="Times New Roman" w:hAnsi="Times New Roman" w:eastAsia="宋体" w:cs="Times New Roman"/>
                <w:color w:val="auto"/>
                <w:sz w:val="24"/>
                <w:szCs w:val="24"/>
                <w:highlight w:val="none"/>
                <w:u w:val="none" w:color="auto"/>
                <w:lang w:val="en-US" w:eastAsia="zh-CN"/>
              </w:rPr>
              <w:t>耗材</w:t>
            </w:r>
            <w:r>
              <w:rPr>
                <w:rFonts w:hint="default" w:ascii="Times New Roman" w:hAnsi="Times New Roman" w:eastAsia="宋体" w:cs="Times New Roman"/>
                <w:color w:val="auto"/>
                <w:sz w:val="24"/>
                <w:szCs w:val="24"/>
                <w:highlight w:val="none"/>
                <w:u w:val="none" w:color="auto"/>
              </w:rPr>
              <w:t>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7"/>
              <w:gridCol w:w="1216"/>
              <w:gridCol w:w="1243"/>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名称</w:t>
                  </w:r>
                </w:p>
              </w:tc>
              <w:tc>
                <w:tcPr>
                  <w:tcW w:w="726"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highlight w:val="none"/>
                      <w:u w:val="none" w:color="auto"/>
                      <w:vertAlign w:val="baseline"/>
                      <w:lang w:val="en-US" w:eastAsia="zh-CN"/>
                    </w:rPr>
                    <w:t>用量</w:t>
                  </w:r>
                </w:p>
              </w:tc>
              <w:tc>
                <w:tcPr>
                  <w:tcW w:w="74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存储方式</w:t>
                  </w:r>
                </w:p>
              </w:tc>
              <w:tc>
                <w:tcPr>
                  <w:tcW w:w="165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一次性使用输液管（0.6mm）</w:t>
                  </w:r>
                </w:p>
              </w:tc>
              <w:tc>
                <w:tcPr>
                  <w:tcW w:w="726"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highlight w:val="none"/>
                      <w:u w:val="none" w:color="auto"/>
                      <w:vertAlign w:val="baseline"/>
                      <w:lang w:val="en-US" w:eastAsia="zh-CN"/>
                    </w:rPr>
                    <w:t>15000个</w:t>
                  </w:r>
                </w:p>
              </w:tc>
              <w:tc>
                <w:tcPr>
                  <w:tcW w:w="74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箱装</w:t>
                  </w:r>
                </w:p>
              </w:tc>
              <w:tc>
                <w:tcPr>
                  <w:tcW w:w="165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一次性使用无菌溶液器（30ml）</w:t>
                  </w:r>
                </w:p>
              </w:tc>
              <w:tc>
                <w:tcPr>
                  <w:tcW w:w="726"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highlight w:val="none"/>
                      <w:u w:val="none" w:color="auto"/>
                      <w:vertAlign w:val="baseline"/>
                      <w:lang w:val="en-US" w:eastAsia="zh-CN"/>
                    </w:rPr>
                    <w:t>15000个</w:t>
                  </w:r>
                </w:p>
              </w:tc>
              <w:tc>
                <w:tcPr>
                  <w:tcW w:w="74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箱装</w:t>
                  </w:r>
                </w:p>
              </w:tc>
              <w:tc>
                <w:tcPr>
                  <w:tcW w:w="165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碘伏（100ml/瓶）</w:t>
                  </w:r>
                </w:p>
              </w:tc>
              <w:tc>
                <w:tcPr>
                  <w:tcW w:w="726"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1"/>
                      <w:szCs w:val="21"/>
                      <w:u w:val="none" w:color="auto"/>
                      <w:vertAlign w:val="baseline"/>
                      <w:lang w:val="en-US" w:eastAsia="zh-CN" w:bidi="ar-SA"/>
                    </w:rPr>
                  </w:pPr>
                  <w:r>
                    <w:rPr>
                      <w:rFonts w:hint="eastAsia" w:ascii="宋体" w:hAnsi="宋体" w:eastAsia="宋体" w:cs="宋体"/>
                      <w:color w:val="auto"/>
                      <w:sz w:val="21"/>
                      <w:szCs w:val="21"/>
                      <w:u w:val="none" w:color="auto"/>
                      <w:vertAlign w:val="baseline"/>
                      <w:lang w:val="en-US" w:eastAsia="zh-CN"/>
                    </w:rPr>
                    <w:t>100瓶</w:t>
                  </w:r>
                </w:p>
              </w:tc>
              <w:tc>
                <w:tcPr>
                  <w:tcW w:w="74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瓶装</w:t>
                  </w:r>
                </w:p>
              </w:tc>
              <w:tc>
                <w:tcPr>
                  <w:tcW w:w="165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成分是聚乙烯吡咯烷酮、单质碘，液体碘伏为棕色，稀溶液毒性低，无腐蚀性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氧气（20L/瓶）</w:t>
                  </w:r>
                </w:p>
              </w:tc>
              <w:tc>
                <w:tcPr>
                  <w:tcW w:w="726"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1"/>
                      <w:szCs w:val="21"/>
                      <w:u w:val="none" w:color="auto"/>
                      <w:vertAlign w:val="baseline"/>
                      <w:lang w:val="en-US" w:eastAsia="zh-CN" w:bidi="ar-SA"/>
                    </w:rPr>
                  </w:pPr>
                  <w:r>
                    <w:rPr>
                      <w:rFonts w:hint="eastAsia" w:ascii="宋体" w:hAnsi="宋体" w:eastAsia="宋体" w:cs="宋体"/>
                      <w:color w:val="auto"/>
                      <w:sz w:val="21"/>
                      <w:szCs w:val="21"/>
                      <w:u w:val="none" w:color="auto"/>
                      <w:vertAlign w:val="baseline"/>
                      <w:lang w:val="en-US" w:eastAsia="zh-CN"/>
                    </w:rPr>
                    <w:t>30瓶</w:t>
                  </w:r>
                </w:p>
              </w:tc>
              <w:tc>
                <w:tcPr>
                  <w:tcW w:w="74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瓶装</w:t>
                  </w:r>
                </w:p>
              </w:tc>
              <w:tc>
                <w:tcPr>
                  <w:tcW w:w="165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无色无味气体,医用氧的0</w:t>
                  </w:r>
                  <w:r>
                    <w:rPr>
                      <w:rFonts w:hint="eastAsia" w:ascii="宋体" w:hAnsi="宋体" w:eastAsia="宋体" w:cs="宋体"/>
                      <w:color w:val="auto"/>
                      <w:sz w:val="21"/>
                      <w:szCs w:val="21"/>
                      <w:u w:val="none" w:color="auto"/>
                      <w:vertAlign w:val="subscript"/>
                      <w:lang w:val="en-US" w:eastAsia="zh-CN"/>
                    </w:rPr>
                    <w:t>2</w:t>
                  </w:r>
                  <w:r>
                    <w:rPr>
                      <w:rFonts w:hint="eastAsia" w:ascii="宋体" w:hAnsi="宋体" w:eastAsia="宋体" w:cs="宋体"/>
                      <w:color w:val="auto"/>
                      <w:sz w:val="21"/>
                      <w:szCs w:val="21"/>
                      <w:u w:val="none" w:color="auto"/>
                      <w:vertAlign w:val="baseline"/>
                      <w:lang w:val="en-US" w:eastAsia="zh-CN"/>
                    </w:rPr>
                    <w:t>含量≥99.5%,H</w:t>
                  </w:r>
                  <w:r>
                    <w:rPr>
                      <w:rFonts w:hint="eastAsia" w:ascii="宋体" w:hAnsi="宋体" w:eastAsia="宋体" w:cs="宋体"/>
                      <w:color w:val="auto"/>
                      <w:sz w:val="21"/>
                      <w:szCs w:val="21"/>
                      <w:u w:val="none" w:color="auto"/>
                      <w:vertAlign w:val="subscript"/>
                      <w:lang w:val="en-US" w:eastAsia="zh-CN"/>
                    </w:rPr>
                    <w:t>2</w:t>
                  </w:r>
                  <w:r>
                    <w:rPr>
                      <w:rFonts w:hint="eastAsia" w:ascii="宋体" w:hAnsi="宋体" w:eastAsia="宋体" w:cs="宋体"/>
                      <w:color w:val="auto"/>
                      <w:sz w:val="21"/>
                      <w:szCs w:val="21"/>
                      <w:u w:val="none" w:color="auto"/>
                      <w:vertAlign w:val="baseline"/>
                      <w:lang w:val="en-US" w:eastAsia="zh-CN"/>
                    </w:rPr>
                    <w:t>0含量≤0.07%,CO含量≤0.01%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酒精（500ml/瓶）</w:t>
                  </w:r>
                </w:p>
              </w:tc>
              <w:tc>
                <w:tcPr>
                  <w:tcW w:w="726"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1"/>
                      <w:szCs w:val="21"/>
                      <w:u w:val="none" w:color="auto"/>
                      <w:vertAlign w:val="baseline"/>
                      <w:lang w:val="en-US" w:eastAsia="zh-CN" w:bidi="ar-SA"/>
                    </w:rPr>
                  </w:pPr>
                  <w:r>
                    <w:rPr>
                      <w:rFonts w:hint="eastAsia" w:ascii="宋体" w:hAnsi="宋体" w:eastAsia="宋体" w:cs="宋体"/>
                      <w:color w:val="auto"/>
                      <w:sz w:val="21"/>
                      <w:szCs w:val="21"/>
                      <w:u w:val="none" w:color="auto"/>
                      <w:vertAlign w:val="baseline"/>
                      <w:lang w:val="en-US" w:eastAsia="zh-CN"/>
                    </w:rPr>
                    <w:t>100瓶</w:t>
                  </w:r>
                </w:p>
              </w:tc>
              <w:tc>
                <w:tcPr>
                  <w:tcW w:w="74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瓶装</w:t>
                  </w:r>
                </w:p>
              </w:tc>
              <w:tc>
                <w:tcPr>
                  <w:tcW w:w="165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主要成分是</w:t>
                  </w:r>
                  <w:r>
                    <w:rPr>
                      <w:rFonts w:hint="eastAsia" w:ascii="宋体" w:hAnsi="宋体" w:eastAsia="宋体" w:cs="宋体"/>
                      <w:color w:val="auto"/>
                      <w:sz w:val="21"/>
                      <w:szCs w:val="21"/>
                      <w:u w:val="none" w:color="auto"/>
                      <w:vertAlign w:val="baseline"/>
                      <w:lang w:val="en-US" w:eastAsia="zh-CN"/>
                    </w:rPr>
                    <w:fldChar w:fldCharType="begin"/>
                  </w:r>
                  <w:r>
                    <w:rPr>
                      <w:rFonts w:hint="eastAsia" w:ascii="宋体" w:hAnsi="宋体" w:eastAsia="宋体" w:cs="宋体"/>
                      <w:color w:val="auto"/>
                      <w:sz w:val="21"/>
                      <w:szCs w:val="21"/>
                      <w:u w:val="none" w:color="auto"/>
                      <w:vertAlign w:val="baseline"/>
                      <w:lang w:val="en-US" w:eastAsia="zh-CN"/>
                    </w:rPr>
                    <w:instrText xml:space="preserve"> HYPERLINK "https://baike.baidu.com/item/%E4%B9%99%E9%86%87/135334?fromModule=lemma_inlink" \t "https://baike.baidu.com/item/%E5%8C%BB%E7%94%A8%E9%85%92%E7%B2%BE/_blank" </w:instrText>
                  </w:r>
                  <w:r>
                    <w:rPr>
                      <w:rFonts w:hint="eastAsia" w:ascii="宋体" w:hAnsi="宋体" w:eastAsia="宋体" w:cs="宋体"/>
                      <w:color w:val="auto"/>
                      <w:sz w:val="21"/>
                      <w:szCs w:val="21"/>
                      <w:u w:val="none" w:color="auto"/>
                      <w:vertAlign w:val="baseline"/>
                      <w:lang w:val="en-US" w:eastAsia="zh-CN"/>
                    </w:rPr>
                    <w:fldChar w:fldCharType="separate"/>
                  </w:r>
                  <w:r>
                    <w:rPr>
                      <w:rFonts w:hint="eastAsia" w:ascii="宋体" w:hAnsi="宋体" w:eastAsia="宋体" w:cs="宋体"/>
                      <w:color w:val="auto"/>
                      <w:sz w:val="21"/>
                      <w:szCs w:val="21"/>
                      <w:u w:val="none" w:color="auto"/>
                      <w:vertAlign w:val="baseline"/>
                      <w:lang w:val="en-US" w:eastAsia="zh-CN"/>
                    </w:rPr>
                    <w:t>乙醇</w:t>
                  </w:r>
                  <w:r>
                    <w:rPr>
                      <w:rFonts w:hint="eastAsia" w:ascii="宋体" w:hAnsi="宋体" w:eastAsia="宋体" w:cs="宋体"/>
                      <w:color w:val="auto"/>
                      <w:sz w:val="21"/>
                      <w:szCs w:val="21"/>
                      <w:u w:val="none" w:color="auto"/>
                      <w:vertAlign w:val="baseline"/>
                      <w:lang w:val="en-US" w:eastAsia="zh-CN"/>
                    </w:rPr>
                    <w:fldChar w:fldCharType="end"/>
                  </w:r>
                  <w:r>
                    <w:rPr>
                      <w:rFonts w:hint="eastAsia" w:ascii="宋体" w:hAnsi="宋体" w:eastAsia="宋体" w:cs="宋体"/>
                      <w:color w:val="auto"/>
                      <w:sz w:val="21"/>
                      <w:szCs w:val="21"/>
                      <w:u w:val="none" w:color="auto"/>
                      <w:vertAlign w:val="baseline"/>
                      <w:lang w:val="en-US" w:eastAsia="zh-CN"/>
                    </w:rPr>
                    <w:t>,色透明液体，比较容易点燃、易挥发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棉签（10cm（50根/包））</w:t>
                  </w:r>
                </w:p>
              </w:tc>
              <w:tc>
                <w:tcPr>
                  <w:tcW w:w="726"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1"/>
                      <w:szCs w:val="21"/>
                      <w:u w:val="none" w:color="auto"/>
                      <w:vertAlign w:val="baseline"/>
                      <w:lang w:val="en-US" w:eastAsia="zh-CN" w:bidi="ar-SA"/>
                    </w:rPr>
                  </w:pPr>
                  <w:r>
                    <w:rPr>
                      <w:rFonts w:hint="eastAsia" w:ascii="宋体" w:hAnsi="宋体" w:eastAsia="宋体" w:cs="宋体"/>
                      <w:color w:val="auto"/>
                      <w:sz w:val="21"/>
                      <w:szCs w:val="21"/>
                      <w:u w:val="none" w:color="auto"/>
                      <w:vertAlign w:val="baseline"/>
                      <w:lang w:val="en-US" w:eastAsia="zh-CN"/>
                    </w:rPr>
                    <w:t>2000包</w:t>
                  </w:r>
                </w:p>
              </w:tc>
              <w:tc>
                <w:tcPr>
                  <w:tcW w:w="74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箱装</w:t>
                  </w:r>
                </w:p>
              </w:tc>
              <w:tc>
                <w:tcPr>
                  <w:tcW w:w="165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u w:val="none" w:color="auto"/>
                      <w:vertAlign w:val="baseline"/>
                      <w:lang w:val="en-US" w:eastAsia="zh-CN"/>
                    </w:rPr>
                  </w:pPr>
                  <w:r>
                    <w:rPr>
                      <w:rFonts w:hint="eastAsia" w:ascii="宋体" w:hAnsi="宋体" w:eastAsia="宋体" w:cs="宋体"/>
                      <w:color w:val="auto"/>
                      <w:sz w:val="21"/>
                      <w:szCs w:val="21"/>
                      <w:u w:val="none" w:color="auto"/>
                      <w:vertAlign w:val="baseline"/>
                      <w:lang w:val="en-US" w:eastAsia="zh-CN"/>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2.2.4工作制度及劳动定员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卫生院职工</w:t>
            </w:r>
            <w:r>
              <w:rPr>
                <w:rFonts w:hint="eastAsia" w:ascii="Times New Roman" w:hAnsi="Times New Roman" w:eastAsia="宋体" w:cs="Times New Roman"/>
                <w:color w:val="auto"/>
                <w:sz w:val="24"/>
                <w:szCs w:val="24"/>
                <w:u w:val="none" w:color="auto"/>
                <w:lang w:val="en-US" w:eastAsia="zh-CN"/>
              </w:rPr>
              <w:t>72</w:t>
            </w:r>
            <w:r>
              <w:rPr>
                <w:rFonts w:hint="default" w:ascii="Times New Roman" w:hAnsi="Times New Roman" w:eastAsia="宋体" w:cs="Times New Roman"/>
                <w:color w:val="auto"/>
                <w:sz w:val="24"/>
                <w:szCs w:val="24"/>
                <w:u w:val="none" w:color="auto"/>
              </w:rPr>
              <w:t>人，每天三班制，每班8小时，全年运行365天，</w:t>
            </w:r>
            <w:r>
              <w:rPr>
                <w:rFonts w:hint="eastAsia" w:ascii="Times New Roman" w:hAnsi="Times New Roman" w:eastAsia="宋体" w:cs="Times New Roman"/>
                <w:color w:val="auto"/>
                <w:sz w:val="24"/>
                <w:szCs w:val="24"/>
                <w:u w:val="none" w:color="auto"/>
                <w:lang w:val="en-US" w:eastAsia="zh-CN"/>
              </w:rPr>
              <w:t>本项目宿舍仅为医护人员使用。</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2.2.5项目公用及辅助工程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（1）</w:t>
            </w:r>
            <w:r>
              <w:rPr>
                <w:rFonts w:hint="default" w:ascii="Times New Roman" w:hAnsi="Times New Roman" w:eastAsia="宋体" w:cs="Times New Roman"/>
                <w:bCs/>
                <w:color w:val="auto"/>
                <w:sz w:val="24"/>
                <w:szCs w:val="24"/>
                <w:u w:val="none" w:color="auto"/>
              </w:rPr>
              <w:t>给水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①水源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highlight w:val="none"/>
                <w:u w:val="none" w:color="auto"/>
              </w:rPr>
              <w:t>水源为</w:t>
            </w:r>
            <w:r>
              <w:rPr>
                <w:rFonts w:hint="default" w:ascii="Times New Roman" w:hAnsi="Times New Roman" w:eastAsia="宋体" w:cs="Times New Roman"/>
                <w:bCs/>
                <w:color w:val="auto"/>
                <w:sz w:val="24"/>
                <w:szCs w:val="24"/>
                <w:highlight w:val="none"/>
                <w:u w:val="none" w:color="auto"/>
              </w:rPr>
              <w:t>市政</w:t>
            </w:r>
            <w:r>
              <w:rPr>
                <w:rFonts w:hint="default" w:ascii="Times New Roman" w:hAnsi="Times New Roman" w:eastAsia="宋体" w:cs="Times New Roman"/>
                <w:color w:val="auto"/>
                <w:sz w:val="24"/>
                <w:szCs w:val="24"/>
                <w:highlight w:val="none"/>
                <w:u w:val="none" w:color="auto"/>
              </w:rPr>
              <w:t>自来水，从项目</w:t>
            </w:r>
            <w:r>
              <w:rPr>
                <w:rFonts w:hint="eastAsia" w:ascii="Times New Roman" w:hAnsi="Times New Roman" w:eastAsia="宋体" w:cs="Times New Roman"/>
                <w:color w:val="auto"/>
                <w:sz w:val="24"/>
                <w:szCs w:val="24"/>
                <w:highlight w:val="none"/>
                <w:u w:val="none" w:color="auto"/>
                <w:lang w:val="en-US" w:eastAsia="zh-CN"/>
              </w:rPr>
              <w:t>南侧</w:t>
            </w:r>
            <w:r>
              <w:rPr>
                <w:rFonts w:hint="default" w:ascii="Times New Roman" w:hAnsi="Times New Roman" w:eastAsia="宋体" w:cs="Times New Roman"/>
                <w:color w:val="auto"/>
                <w:sz w:val="24"/>
                <w:szCs w:val="24"/>
                <w:highlight w:val="none"/>
                <w:u w:val="none" w:color="auto"/>
              </w:rPr>
              <w:t>的乡镇道路给水管道上，接入一根口径为DN150mm的管</w:t>
            </w:r>
            <w:r>
              <w:rPr>
                <w:rFonts w:hint="default" w:ascii="Times New Roman" w:hAnsi="Times New Roman" w:eastAsia="宋体" w:cs="Times New Roman"/>
                <w:color w:val="auto"/>
                <w:sz w:val="24"/>
                <w:szCs w:val="24"/>
                <w:u w:val="none" w:color="auto"/>
              </w:rPr>
              <w:t>道，经总水表后为卫生院提供生活用水与消防系统补水。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②供水方式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lang w:val="en-US" w:eastAsia="zh-CN"/>
              </w:rPr>
              <w:t>各建筑均</w:t>
            </w:r>
            <w:r>
              <w:rPr>
                <w:rFonts w:hint="default" w:ascii="Times New Roman" w:hAnsi="Times New Roman" w:eastAsia="宋体" w:cs="Times New Roman"/>
                <w:color w:val="auto"/>
                <w:sz w:val="24"/>
                <w:szCs w:val="24"/>
                <w:highlight w:val="none"/>
                <w:u w:val="none" w:color="auto"/>
              </w:rPr>
              <w:t>由市政给水管直接供水</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本项目用水主要为住院病人用水（含病床陪护人员）、</w:t>
            </w:r>
            <w:r>
              <w:rPr>
                <w:rFonts w:hint="eastAsia" w:ascii="Times New Roman" w:hAnsi="Times New Roman" w:eastAsia="宋体" w:cs="Times New Roman"/>
                <w:color w:val="auto"/>
                <w:sz w:val="24"/>
                <w:szCs w:val="24"/>
                <w:highlight w:val="none"/>
                <w:u w:val="none" w:color="auto"/>
                <w:lang w:val="en-US" w:eastAsia="zh-CN"/>
              </w:rPr>
              <w:t>门急诊病人</w:t>
            </w:r>
            <w:r>
              <w:rPr>
                <w:rFonts w:hint="default" w:ascii="Times New Roman" w:hAnsi="Times New Roman" w:eastAsia="宋体" w:cs="Times New Roman"/>
                <w:color w:val="auto"/>
                <w:sz w:val="24"/>
                <w:szCs w:val="24"/>
                <w:highlight w:val="none"/>
                <w:u w:val="none" w:color="auto"/>
              </w:rPr>
              <w:t>用水、医院职工用水</w:t>
            </w:r>
            <w:r>
              <w:rPr>
                <w:rFonts w:hint="eastAsia" w:ascii="Times New Roman" w:hAnsi="Times New Roman" w:eastAsia="宋体" w:cs="Times New Roman"/>
                <w:color w:val="auto"/>
                <w:sz w:val="24"/>
                <w:szCs w:val="24"/>
                <w:highlight w:val="none"/>
                <w:u w:val="none" w:color="auto"/>
                <w:lang w:eastAsia="zh-CN"/>
              </w:rPr>
              <w:t>（</w:t>
            </w:r>
            <w:r>
              <w:rPr>
                <w:rFonts w:hint="eastAsia" w:ascii="Times New Roman" w:hAnsi="Times New Roman" w:eastAsia="宋体" w:cs="Times New Roman"/>
                <w:color w:val="auto"/>
                <w:sz w:val="24"/>
                <w:szCs w:val="24"/>
                <w:highlight w:val="none"/>
                <w:u w:val="none" w:color="auto"/>
                <w:lang w:val="en-US" w:eastAsia="zh-CN"/>
              </w:rPr>
              <w:t>包括食宿用水</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、检验室用水、洗衣房用水。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③消防用水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室外消防工程：沿建筑周围均匀布置室外消火栓，保证建筑消防扑救面一侧室外消火栓</w:t>
            </w:r>
            <w:r>
              <w:rPr>
                <w:rFonts w:hint="default" w:ascii="Times New Roman" w:hAnsi="Times New Roman" w:eastAsia="宋体" w:cs="Times New Roman"/>
                <w:bCs/>
                <w:color w:val="auto"/>
                <w:sz w:val="24"/>
                <w:szCs w:val="24"/>
                <w:u w:val="none" w:color="auto"/>
              </w:rPr>
              <w:t>数量</w:t>
            </w:r>
            <w:r>
              <w:rPr>
                <w:rFonts w:hint="default" w:ascii="Times New Roman" w:hAnsi="Times New Roman" w:eastAsia="宋体" w:cs="Times New Roman"/>
                <w:color w:val="auto"/>
                <w:sz w:val="24"/>
                <w:szCs w:val="24"/>
                <w:u w:val="none" w:color="auto"/>
              </w:rPr>
              <w:t>不小于2个。室内消火栓系统：室内消火栓系统供水采用临时高压给水系统，消防</w:t>
            </w:r>
            <w:r>
              <w:rPr>
                <w:rFonts w:hint="default" w:ascii="Times New Roman" w:hAnsi="Times New Roman" w:eastAsia="宋体" w:cs="Times New Roman"/>
                <w:bCs/>
                <w:color w:val="auto"/>
                <w:sz w:val="24"/>
                <w:szCs w:val="24"/>
                <w:u w:val="none" w:color="auto"/>
              </w:rPr>
              <w:t>用水</w:t>
            </w:r>
            <w:r>
              <w:rPr>
                <w:rFonts w:hint="default" w:ascii="Times New Roman" w:hAnsi="Times New Roman" w:eastAsia="宋体" w:cs="Times New Roman"/>
                <w:color w:val="auto"/>
                <w:sz w:val="24"/>
                <w:szCs w:val="24"/>
                <w:u w:val="none" w:color="auto"/>
              </w:rPr>
              <w:t>由消防水池经消防水泵房消火栓加压泵供给，设2台消火栓加压泵，水泵为一用一备。</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u w:val="none" w:color="auto"/>
              </w:rPr>
            </w:pPr>
            <w:r>
              <w:rPr>
                <w:rFonts w:hint="default" w:ascii="Times New Roman" w:hAnsi="Times New Roman" w:eastAsia="宋体" w:cs="Times New Roman"/>
                <w:color w:val="auto"/>
                <w:sz w:val="24"/>
                <w:szCs w:val="24"/>
                <w:u w:val="none" w:color="auto"/>
              </w:rPr>
              <w:t>排水</w:t>
            </w:r>
            <w:r>
              <w:rPr>
                <w:rFonts w:hint="default" w:ascii="Times New Roman" w:hAnsi="Times New Roman" w:eastAsia="宋体" w:cs="Times New Roman"/>
                <w:bCs/>
                <w:color w:val="auto"/>
                <w:sz w:val="24"/>
                <w:szCs w:val="24"/>
                <w:u w:val="none" w:color="auto"/>
              </w:rPr>
              <w:t>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排水方式采用雨水、污水分流制。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①雨水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项目区设有雨水沟，雨水经雨水沟收集后</w:t>
            </w:r>
            <w:r>
              <w:rPr>
                <w:rFonts w:hint="eastAsia" w:ascii="Times New Roman" w:hAnsi="Times New Roman" w:eastAsia="宋体" w:cs="Times New Roman"/>
                <w:color w:val="auto"/>
                <w:sz w:val="24"/>
                <w:szCs w:val="24"/>
                <w:u w:val="none" w:color="auto"/>
                <w:lang w:val="en-US" w:eastAsia="zh-CN"/>
              </w:rPr>
              <w:t>外排</w:t>
            </w:r>
            <w:r>
              <w:rPr>
                <w:rFonts w:hint="default" w:ascii="Times New Roman" w:hAnsi="Times New Roman" w:eastAsia="宋体" w:cs="Times New Roman"/>
                <w:color w:val="auto"/>
                <w:sz w:val="24"/>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②废水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生活</w:t>
            </w:r>
            <w:r>
              <w:rPr>
                <w:rFonts w:hint="default" w:ascii="Times New Roman" w:hAnsi="Times New Roman" w:eastAsia="宋体" w:cs="Times New Roman"/>
                <w:bCs/>
                <w:color w:val="auto"/>
                <w:sz w:val="24"/>
                <w:szCs w:val="24"/>
                <w:u w:val="none" w:color="auto"/>
              </w:rPr>
              <w:t>污水</w:t>
            </w:r>
            <w:r>
              <w:rPr>
                <w:rFonts w:hint="default" w:ascii="Times New Roman" w:hAnsi="Times New Roman" w:eastAsia="宋体" w:cs="Times New Roman"/>
                <w:color w:val="auto"/>
                <w:sz w:val="24"/>
                <w:szCs w:val="24"/>
                <w:u w:val="none" w:color="auto"/>
              </w:rPr>
              <w:t>、检验室废水及医疗废水经</w:t>
            </w:r>
            <w:r>
              <w:rPr>
                <w:rFonts w:hint="eastAsia" w:ascii="Times New Roman" w:hAnsi="Times New Roman" w:eastAsia="宋体" w:cs="Times New Roman"/>
                <w:color w:val="auto"/>
                <w:sz w:val="24"/>
                <w:szCs w:val="24"/>
                <w:u w:val="none" w:color="auto"/>
                <w:lang w:val="en-US" w:eastAsia="zh-CN"/>
              </w:rPr>
              <w:t>地埋式</w:t>
            </w:r>
            <w:r>
              <w:rPr>
                <w:rFonts w:hint="default" w:ascii="Times New Roman" w:hAnsi="Times New Roman" w:eastAsia="宋体" w:cs="Times New Roman"/>
                <w:color w:val="auto"/>
                <w:sz w:val="24"/>
                <w:szCs w:val="24"/>
                <w:u w:val="none" w:color="auto"/>
              </w:rPr>
              <w:t>污水处理站处理后通过市政污水管网进入</w:t>
            </w:r>
            <w:r>
              <w:rPr>
                <w:rFonts w:hint="eastAsia" w:ascii="Times New Roman" w:hAnsi="Times New Roman" w:eastAsia="宋体" w:cs="Times New Roman"/>
                <w:color w:val="auto"/>
                <w:sz w:val="24"/>
                <w:szCs w:val="24"/>
                <w:u w:val="none" w:color="auto"/>
                <w:lang w:eastAsia="zh-CN"/>
              </w:rPr>
              <w:t>湘阴县</w:t>
            </w:r>
            <w:r>
              <w:rPr>
                <w:rFonts w:hint="eastAsia" w:ascii="Times New Roman" w:hAnsi="Times New Roman" w:eastAsia="宋体" w:cs="Times New Roman"/>
                <w:color w:val="auto"/>
                <w:sz w:val="24"/>
                <w:szCs w:val="24"/>
                <w:u w:val="none" w:color="auto"/>
                <w:lang w:val="en-US" w:eastAsia="zh-CN"/>
              </w:rPr>
              <w:t>东塘</w:t>
            </w:r>
            <w:r>
              <w:rPr>
                <w:rFonts w:hint="eastAsia" w:ascii="Times New Roman" w:hAnsi="Times New Roman" w:eastAsia="宋体" w:cs="Times New Roman"/>
                <w:color w:val="auto"/>
                <w:sz w:val="24"/>
                <w:szCs w:val="24"/>
                <w:u w:val="none" w:color="auto"/>
                <w:lang w:eastAsia="zh-CN"/>
              </w:rPr>
              <w:t>镇污水处理厂</w:t>
            </w:r>
            <w:r>
              <w:rPr>
                <w:rFonts w:hint="default" w:ascii="Times New Roman" w:hAnsi="Times New Roman" w:eastAsia="宋体" w:cs="Times New Roman"/>
                <w:color w:val="auto"/>
                <w:sz w:val="24"/>
                <w:szCs w:val="24"/>
                <w:u w:val="none" w:color="auto"/>
              </w:rPr>
              <w:t>进</w:t>
            </w:r>
            <w:r>
              <w:rPr>
                <w:rFonts w:hint="eastAsia" w:ascii="Times New Roman" w:hAnsi="Times New Roman" w:eastAsia="宋体" w:cs="Times New Roman"/>
                <w:color w:val="auto"/>
                <w:sz w:val="24"/>
                <w:szCs w:val="24"/>
                <w:u w:val="none" w:color="auto"/>
                <w:lang w:val="en-US" w:eastAsia="zh-CN"/>
              </w:rPr>
              <w:t>一步</w:t>
            </w:r>
            <w:r>
              <w:rPr>
                <w:rFonts w:hint="default" w:ascii="Times New Roman" w:hAnsi="Times New Roman" w:eastAsia="宋体" w:cs="Times New Roman"/>
                <w:color w:val="auto"/>
                <w:sz w:val="24"/>
                <w:szCs w:val="24"/>
                <w:u w:val="none" w:color="auto"/>
              </w:rPr>
              <w:t>处理后废水排</w:t>
            </w:r>
            <w:r>
              <w:rPr>
                <w:rFonts w:hint="eastAsia" w:ascii="Times New Roman" w:hAnsi="Times New Roman" w:eastAsia="宋体" w:cs="Times New Roman"/>
                <w:color w:val="auto"/>
                <w:sz w:val="24"/>
                <w:szCs w:val="24"/>
                <w:u w:val="none" w:color="auto"/>
                <w:lang w:val="en-US" w:eastAsia="zh-CN"/>
              </w:rPr>
              <w:t>入东塘周家坝渠道</w:t>
            </w:r>
            <w:r>
              <w:rPr>
                <w:rFonts w:hint="default" w:ascii="Times New Roman" w:hAnsi="Times New Roman" w:eastAsia="宋体" w:cs="Times New Roman"/>
                <w:color w:val="auto"/>
                <w:sz w:val="24"/>
                <w:szCs w:val="24"/>
                <w:u w:val="none" w:color="auto"/>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水平衡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用水主要为住院病人用水、就诊人员用水、医院职工用水、检验室用水、洗衣房用水和保洁用水。产生的废水主要为住院病人废水、就诊人员废水、医院职工废水、检验室废水、洗衣房废水和保洁废水。本项目生活污水与医疗废水一起进入</w:t>
            </w:r>
            <w:r>
              <w:rPr>
                <w:rFonts w:hint="eastAsia" w:ascii="Times New Roman" w:hAnsi="Times New Roman" w:eastAsia="宋体" w:cs="Times New Roman"/>
                <w:color w:val="auto"/>
                <w:sz w:val="24"/>
                <w:szCs w:val="24"/>
                <w:u w:val="none" w:color="auto"/>
                <w:lang w:eastAsia="zh-CN"/>
              </w:rPr>
              <w:t>污水处理站</w:t>
            </w:r>
            <w:r>
              <w:rPr>
                <w:rFonts w:hint="default" w:ascii="Times New Roman" w:hAnsi="Times New Roman" w:eastAsia="宋体" w:cs="Times New Roman"/>
                <w:color w:val="auto"/>
                <w:sz w:val="24"/>
                <w:szCs w:val="24"/>
                <w:u w:val="none" w:color="auto"/>
              </w:rPr>
              <w:t>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①住院病人用水（含陪护人员）及废水产生情况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本项目卫生院共</w:t>
            </w:r>
            <w:r>
              <w:rPr>
                <w:rFonts w:hint="eastAsia" w:ascii="Times New Roman" w:hAnsi="Times New Roman" w:eastAsia="宋体" w:cs="Times New Roman"/>
                <w:color w:val="auto"/>
                <w:sz w:val="24"/>
                <w:szCs w:val="24"/>
                <w:u w:val="single" w:color="auto"/>
                <w:lang w:val="en-US" w:eastAsia="zh-CN"/>
              </w:rPr>
              <w:t>有</w:t>
            </w:r>
            <w:r>
              <w:rPr>
                <w:rFonts w:hint="default" w:ascii="Times New Roman" w:hAnsi="Times New Roman" w:eastAsia="宋体" w:cs="Times New Roman"/>
                <w:color w:val="auto"/>
                <w:sz w:val="24"/>
                <w:szCs w:val="24"/>
                <w:u w:val="single" w:color="auto"/>
              </w:rPr>
              <w:t>病床</w:t>
            </w:r>
            <w:r>
              <w:rPr>
                <w:rFonts w:hint="eastAsia" w:ascii="Times New Roman" w:hAnsi="Times New Roman" w:eastAsia="宋体" w:cs="Times New Roman"/>
                <w:color w:val="auto"/>
                <w:sz w:val="24"/>
                <w:szCs w:val="24"/>
                <w:u w:val="single" w:color="auto"/>
                <w:lang w:val="en-US" w:eastAsia="zh-CN"/>
              </w:rPr>
              <w:t>81</w:t>
            </w:r>
            <w:r>
              <w:rPr>
                <w:rFonts w:hint="default" w:ascii="Times New Roman" w:hAnsi="Times New Roman" w:eastAsia="宋体" w:cs="Times New Roman"/>
                <w:color w:val="auto"/>
                <w:sz w:val="24"/>
                <w:szCs w:val="24"/>
                <w:u w:val="single" w:color="auto"/>
              </w:rPr>
              <w:t>张，根据</w:t>
            </w:r>
            <w:r>
              <w:rPr>
                <w:rFonts w:hint="eastAsia" w:ascii="Times New Roman" w:hAnsi="Times New Roman" w:eastAsia="宋体" w:cs="Times New Roman"/>
                <w:color w:val="auto"/>
                <w:sz w:val="24"/>
                <w:szCs w:val="24"/>
                <w:u w:val="single" w:color="auto"/>
                <w:lang w:val="en-US" w:eastAsia="zh-CN"/>
              </w:rPr>
              <w:t>医院提供用水量，</w:t>
            </w:r>
            <w:r>
              <w:rPr>
                <w:rFonts w:hint="default" w:ascii="Times New Roman" w:hAnsi="Times New Roman" w:eastAsia="宋体" w:cs="Times New Roman"/>
                <w:bCs/>
                <w:color w:val="auto"/>
                <w:sz w:val="24"/>
                <w:szCs w:val="24"/>
                <w:u w:val="single" w:color="auto"/>
                <w:lang w:val="en-US" w:eastAsia="zh-CN"/>
              </w:rPr>
              <w:t>本项目以</w:t>
            </w:r>
            <w:r>
              <w:rPr>
                <w:rFonts w:hint="eastAsia" w:cs="Times New Roman"/>
                <w:bCs/>
                <w:color w:val="auto"/>
                <w:sz w:val="24"/>
                <w:szCs w:val="24"/>
                <w:u w:val="single" w:color="auto"/>
                <w:lang w:val="en-US" w:eastAsia="zh-CN"/>
              </w:rPr>
              <w:t>10</w:t>
            </w:r>
            <w:r>
              <w:rPr>
                <w:rFonts w:hint="eastAsia" w:ascii="Times New Roman" w:hAnsi="Times New Roman" w:eastAsia="宋体" w:cs="Times New Roman"/>
                <w:bCs/>
                <w:color w:val="auto"/>
                <w:sz w:val="24"/>
                <w:szCs w:val="24"/>
                <w:u w:val="single" w:color="auto"/>
                <w:lang w:val="en-US" w:eastAsia="zh-CN"/>
              </w:rPr>
              <w:t>0</w:t>
            </w:r>
            <w:r>
              <w:rPr>
                <w:rFonts w:hint="default" w:ascii="Times New Roman" w:hAnsi="Times New Roman" w:eastAsia="宋体" w:cs="Times New Roman"/>
                <w:bCs/>
                <w:color w:val="auto"/>
                <w:sz w:val="24"/>
                <w:szCs w:val="24"/>
                <w:u w:val="single" w:color="auto"/>
                <w:lang w:val="en-US" w:eastAsia="zh-CN"/>
              </w:rPr>
              <w:t>L/床•d计，</w:t>
            </w:r>
            <w:r>
              <w:rPr>
                <w:rFonts w:hint="default" w:ascii="Times New Roman" w:hAnsi="Times New Roman" w:eastAsia="宋体" w:cs="Times New Roman"/>
                <w:bCs/>
                <w:color w:val="auto"/>
                <w:sz w:val="24"/>
                <w:szCs w:val="24"/>
                <w:u w:val="single" w:color="auto"/>
              </w:rPr>
              <w:t>则项目住院病房总用水量为</w:t>
            </w:r>
            <w:r>
              <w:rPr>
                <w:rFonts w:hint="eastAsia" w:cs="Times New Roman"/>
                <w:bCs/>
                <w:color w:val="auto"/>
                <w:sz w:val="24"/>
                <w:szCs w:val="24"/>
                <w:u w:val="single" w:color="auto"/>
                <w:lang w:val="en-US" w:eastAsia="zh-CN"/>
              </w:rPr>
              <w:t>8.1</w:t>
            </w:r>
            <w:r>
              <w:rPr>
                <w:rFonts w:hint="default" w:ascii="Times New Roman" w:hAnsi="Times New Roman" w:eastAsia="宋体" w:cs="Times New Roman"/>
                <w:bCs/>
                <w:color w:val="auto"/>
                <w:sz w:val="24"/>
                <w:szCs w:val="24"/>
                <w:u w:val="single" w:color="auto"/>
              </w:rPr>
              <w:t>m³/d（</w:t>
            </w:r>
            <w:r>
              <w:rPr>
                <w:rFonts w:hint="eastAsia" w:cs="Times New Roman"/>
                <w:bCs/>
                <w:color w:val="auto"/>
                <w:sz w:val="24"/>
                <w:szCs w:val="24"/>
                <w:u w:val="single" w:color="auto"/>
                <w:lang w:val="en-US" w:eastAsia="zh-CN"/>
              </w:rPr>
              <w:t>2956.5</w:t>
            </w:r>
            <w:r>
              <w:rPr>
                <w:rFonts w:hint="default" w:ascii="Times New Roman" w:hAnsi="Times New Roman" w:eastAsia="宋体" w:cs="Times New Roman"/>
                <w:bCs/>
                <w:color w:val="auto"/>
                <w:sz w:val="24"/>
                <w:szCs w:val="24"/>
                <w:u w:val="single" w:color="auto"/>
              </w:rPr>
              <w:t>m³/a）。产污系数以0.8计，则住院病房污水量为</w:t>
            </w:r>
            <w:r>
              <w:rPr>
                <w:rFonts w:hint="eastAsia" w:cs="Times New Roman"/>
                <w:bCs/>
                <w:color w:val="auto"/>
                <w:sz w:val="24"/>
                <w:szCs w:val="24"/>
                <w:u w:val="single" w:color="auto"/>
                <w:lang w:val="en-US" w:eastAsia="zh-CN"/>
              </w:rPr>
              <w:t>6.48</w:t>
            </w:r>
            <w:r>
              <w:rPr>
                <w:rFonts w:hint="default" w:ascii="Times New Roman" w:hAnsi="Times New Roman" w:eastAsia="宋体" w:cs="Times New Roman"/>
                <w:bCs/>
                <w:color w:val="auto"/>
                <w:sz w:val="24"/>
                <w:szCs w:val="24"/>
                <w:u w:val="single" w:color="auto"/>
              </w:rPr>
              <w:t>m³/d（</w:t>
            </w:r>
            <w:r>
              <w:rPr>
                <w:rFonts w:hint="eastAsia" w:cs="Times New Roman"/>
                <w:bCs/>
                <w:color w:val="auto"/>
                <w:sz w:val="24"/>
                <w:szCs w:val="24"/>
                <w:u w:val="single" w:color="auto"/>
                <w:lang w:val="en-US" w:eastAsia="zh-CN"/>
              </w:rPr>
              <w:t>2365.2</w:t>
            </w:r>
            <w:r>
              <w:rPr>
                <w:rFonts w:hint="default" w:ascii="Times New Roman" w:hAnsi="Times New Roman" w:eastAsia="宋体" w:cs="Times New Roman"/>
                <w:bCs/>
                <w:color w:val="auto"/>
                <w:sz w:val="24"/>
                <w:szCs w:val="24"/>
                <w:u w:val="single" w:color="auto"/>
              </w:rPr>
              <w:t>m³/a）。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②</w:t>
            </w:r>
            <w:r>
              <w:rPr>
                <w:rFonts w:hint="eastAsia" w:ascii="Times New Roman" w:hAnsi="Times New Roman" w:eastAsia="宋体" w:cs="Times New Roman"/>
                <w:color w:val="auto"/>
                <w:sz w:val="24"/>
                <w:szCs w:val="24"/>
                <w:u w:val="single" w:color="auto"/>
                <w:lang w:val="en-US" w:eastAsia="zh-CN"/>
              </w:rPr>
              <w:t>门急诊病人</w:t>
            </w:r>
            <w:r>
              <w:rPr>
                <w:rFonts w:hint="default" w:ascii="Times New Roman" w:hAnsi="Times New Roman" w:eastAsia="宋体" w:cs="Times New Roman"/>
                <w:color w:val="auto"/>
                <w:sz w:val="24"/>
                <w:szCs w:val="24"/>
                <w:u w:val="single" w:color="auto"/>
              </w:rPr>
              <w:t>用水及废水产生情况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医院门、急诊最大就医患者约</w:t>
            </w:r>
            <w:r>
              <w:rPr>
                <w:rFonts w:hint="eastAsia" w:ascii="Times New Roman" w:hAnsi="Times New Roman" w:eastAsia="宋体" w:cs="Times New Roman"/>
                <w:color w:val="auto"/>
                <w:sz w:val="24"/>
                <w:szCs w:val="24"/>
                <w:u w:val="single" w:color="auto"/>
                <w:lang w:val="en-US" w:eastAsia="zh-CN"/>
              </w:rPr>
              <w:t>60</w:t>
            </w:r>
            <w:r>
              <w:rPr>
                <w:rFonts w:hint="default" w:ascii="Times New Roman" w:hAnsi="Times New Roman" w:eastAsia="宋体" w:cs="Times New Roman"/>
                <w:color w:val="auto"/>
                <w:sz w:val="24"/>
                <w:szCs w:val="24"/>
                <w:u w:val="single" w:color="auto"/>
              </w:rPr>
              <w:t>人/d，根据</w:t>
            </w:r>
            <w:r>
              <w:rPr>
                <w:rFonts w:hint="eastAsia" w:ascii="Times New Roman" w:hAnsi="Times New Roman" w:eastAsia="宋体" w:cs="Times New Roman"/>
                <w:color w:val="auto"/>
                <w:sz w:val="24"/>
                <w:szCs w:val="24"/>
                <w:u w:val="single" w:color="auto"/>
                <w:lang w:val="en-US" w:eastAsia="zh-CN"/>
              </w:rPr>
              <w:t>医院提供用水量</w:t>
            </w:r>
            <w:r>
              <w:rPr>
                <w:rFonts w:hint="default" w:ascii="Times New Roman" w:hAnsi="Times New Roman" w:eastAsia="宋体" w:cs="Times New Roman"/>
                <w:color w:val="auto"/>
                <w:sz w:val="24"/>
                <w:szCs w:val="24"/>
                <w:u w:val="single" w:color="auto"/>
              </w:rPr>
              <w:t>，门、急诊患者用水量约为</w:t>
            </w:r>
            <w:r>
              <w:rPr>
                <w:rFonts w:hint="eastAsia" w:ascii="Times New Roman" w:hAnsi="Times New Roman" w:eastAsia="宋体" w:cs="Times New Roman"/>
                <w:color w:val="auto"/>
                <w:sz w:val="24"/>
                <w:szCs w:val="24"/>
                <w:u w:val="single" w:color="auto"/>
                <w:lang w:val="en-US" w:eastAsia="zh-CN"/>
              </w:rPr>
              <w:t>15</w:t>
            </w:r>
            <w:r>
              <w:rPr>
                <w:rFonts w:hint="default" w:ascii="Times New Roman" w:hAnsi="Times New Roman" w:eastAsia="宋体" w:cs="Times New Roman"/>
                <w:color w:val="auto"/>
                <w:sz w:val="24"/>
                <w:szCs w:val="24"/>
                <w:u w:val="single" w:color="auto"/>
              </w:rPr>
              <w:t>L/人·次，门、急诊人员用水量为</w:t>
            </w:r>
            <w:r>
              <w:rPr>
                <w:rFonts w:hint="eastAsia" w:ascii="Times New Roman" w:hAnsi="Times New Roman" w:eastAsia="宋体" w:cs="Times New Roman"/>
                <w:color w:val="auto"/>
                <w:sz w:val="24"/>
                <w:szCs w:val="24"/>
                <w:u w:val="single" w:color="auto"/>
                <w:lang w:val="en-US" w:eastAsia="zh-CN"/>
              </w:rPr>
              <w:t>0.9</w:t>
            </w:r>
            <w:r>
              <w:rPr>
                <w:rFonts w:hint="default" w:ascii="Times New Roman" w:hAnsi="Times New Roman" w:eastAsia="宋体" w:cs="Times New Roman"/>
                <w:color w:val="auto"/>
                <w:sz w:val="24"/>
                <w:szCs w:val="24"/>
                <w:u w:val="single" w:color="auto"/>
              </w:rPr>
              <w:t>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/d（</w:t>
            </w:r>
            <w:r>
              <w:rPr>
                <w:rFonts w:hint="eastAsia" w:ascii="Times New Roman" w:hAnsi="Times New Roman" w:eastAsia="宋体" w:cs="Times New Roman"/>
                <w:color w:val="auto"/>
                <w:sz w:val="24"/>
                <w:szCs w:val="24"/>
                <w:u w:val="single" w:color="auto"/>
                <w:lang w:val="en-US" w:eastAsia="zh-CN"/>
              </w:rPr>
              <w:t>328.5</w:t>
            </w:r>
            <w:r>
              <w:rPr>
                <w:rFonts w:hint="default" w:ascii="Times New Roman" w:hAnsi="Times New Roman" w:eastAsia="宋体" w:cs="Times New Roman"/>
                <w:color w:val="auto"/>
                <w:sz w:val="24"/>
                <w:szCs w:val="24"/>
                <w:u w:val="single" w:color="auto"/>
              </w:rPr>
              <w:t>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/a）。废水产生系数按80%计，则废水产生量为</w:t>
            </w:r>
            <w:r>
              <w:rPr>
                <w:rFonts w:hint="eastAsia" w:ascii="Times New Roman" w:hAnsi="Times New Roman" w:eastAsia="宋体" w:cs="Times New Roman"/>
                <w:color w:val="auto"/>
                <w:sz w:val="24"/>
                <w:szCs w:val="24"/>
                <w:u w:val="single" w:color="auto"/>
                <w:lang w:val="en-US" w:eastAsia="zh-CN"/>
              </w:rPr>
              <w:t>0.72</w:t>
            </w:r>
            <w:r>
              <w:rPr>
                <w:rFonts w:hint="default" w:ascii="Times New Roman" w:hAnsi="Times New Roman" w:eastAsia="宋体" w:cs="Times New Roman"/>
                <w:color w:val="auto"/>
                <w:sz w:val="24"/>
                <w:szCs w:val="24"/>
                <w:u w:val="single" w:color="auto"/>
              </w:rPr>
              <w:t>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/d（</w:t>
            </w:r>
            <w:r>
              <w:rPr>
                <w:rFonts w:hint="eastAsia" w:ascii="Times New Roman" w:hAnsi="Times New Roman" w:eastAsia="宋体" w:cs="Times New Roman"/>
                <w:color w:val="auto"/>
                <w:sz w:val="24"/>
                <w:szCs w:val="24"/>
                <w:u w:val="single" w:color="auto"/>
                <w:lang w:val="en-US" w:eastAsia="zh-CN"/>
              </w:rPr>
              <w:t>262.8</w:t>
            </w:r>
            <w:r>
              <w:rPr>
                <w:rFonts w:hint="default" w:ascii="Times New Roman" w:hAnsi="Times New Roman" w:eastAsia="宋体" w:cs="Times New Roman"/>
                <w:color w:val="auto"/>
                <w:sz w:val="24"/>
                <w:szCs w:val="24"/>
                <w:u w:val="single" w:color="auto"/>
              </w:rPr>
              <w:t>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③医院职工用水及</w:t>
            </w:r>
            <w:r>
              <w:rPr>
                <w:rFonts w:hint="eastAsia" w:ascii="Times New Roman" w:hAnsi="Times New Roman" w:eastAsia="宋体" w:cs="Times New Roman"/>
                <w:color w:val="auto"/>
                <w:sz w:val="24"/>
                <w:szCs w:val="24"/>
                <w:u w:val="single" w:color="auto"/>
                <w:lang w:val="en-US" w:eastAsia="zh-CN"/>
              </w:rPr>
              <w:t>废</w:t>
            </w:r>
            <w:r>
              <w:rPr>
                <w:rFonts w:hint="default" w:ascii="Times New Roman" w:hAnsi="Times New Roman" w:eastAsia="宋体" w:cs="Times New Roman"/>
                <w:color w:val="auto"/>
                <w:sz w:val="24"/>
                <w:szCs w:val="24"/>
                <w:u w:val="single" w:color="auto"/>
              </w:rPr>
              <w:t>水产生情况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根据建设方提供</w:t>
            </w:r>
            <w:r>
              <w:rPr>
                <w:rFonts w:hint="default" w:ascii="Times New Roman" w:hAnsi="Times New Roman" w:eastAsia="宋体" w:cs="Times New Roman"/>
                <w:bCs/>
                <w:color w:val="auto"/>
                <w:sz w:val="24"/>
                <w:szCs w:val="24"/>
                <w:u w:val="single" w:color="auto"/>
              </w:rPr>
              <w:t>资料</w:t>
            </w:r>
            <w:r>
              <w:rPr>
                <w:rFonts w:hint="default" w:ascii="Times New Roman" w:hAnsi="Times New Roman" w:eastAsia="宋体" w:cs="Times New Roman"/>
                <w:color w:val="auto"/>
                <w:sz w:val="24"/>
                <w:szCs w:val="24"/>
                <w:u w:val="single" w:color="auto"/>
              </w:rPr>
              <w:t>，每天上班职工</w:t>
            </w:r>
            <w:r>
              <w:rPr>
                <w:rFonts w:hint="eastAsia" w:ascii="Times New Roman" w:hAnsi="Times New Roman" w:eastAsia="宋体" w:cs="Times New Roman"/>
                <w:color w:val="auto"/>
                <w:sz w:val="24"/>
                <w:szCs w:val="24"/>
                <w:u w:val="single" w:color="auto"/>
                <w:lang w:val="en-US" w:eastAsia="zh-CN"/>
              </w:rPr>
              <w:t>72人，</w:t>
            </w:r>
            <w:r>
              <w:rPr>
                <w:rFonts w:hint="default" w:ascii="Times New Roman" w:hAnsi="Times New Roman" w:eastAsia="宋体" w:cs="Times New Roman"/>
                <w:bCs/>
                <w:color w:val="auto"/>
                <w:sz w:val="24"/>
                <w:szCs w:val="24"/>
                <w:u w:val="single" w:color="auto"/>
              </w:rPr>
              <w:t>根据参照《综合医院建筑设计规范》（GB51039-2014）</w:t>
            </w:r>
            <w:r>
              <w:rPr>
                <w:rFonts w:hint="eastAsia" w:cs="Times New Roman"/>
                <w:bCs/>
                <w:color w:val="auto"/>
                <w:sz w:val="24"/>
                <w:szCs w:val="24"/>
                <w:u w:val="single" w:color="auto"/>
                <w:lang w:val="en-US" w:eastAsia="zh-CN"/>
              </w:rPr>
              <w:t>及</w:t>
            </w:r>
            <w:r>
              <w:rPr>
                <w:rFonts w:hint="default" w:ascii="Times New Roman" w:hAnsi="Times New Roman" w:eastAsia="宋体" w:cs="Times New Roman"/>
                <w:color w:val="auto"/>
                <w:sz w:val="24"/>
                <w:szCs w:val="24"/>
                <w:u w:val="single" w:color="auto"/>
              </w:rPr>
              <w:t>根据</w:t>
            </w:r>
            <w:r>
              <w:rPr>
                <w:rFonts w:hint="eastAsia" w:ascii="Times New Roman" w:hAnsi="Times New Roman" w:eastAsia="宋体" w:cs="Times New Roman"/>
                <w:color w:val="auto"/>
                <w:sz w:val="24"/>
                <w:szCs w:val="24"/>
                <w:u w:val="single" w:color="auto"/>
                <w:lang w:val="en-US" w:eastAsia="zh-CN"/>
              </w:rPr>
              <w:t>医院提供用水量</w:t>
            </w:r>
            <w:r>
              <w:rPr>
                <w:rFonts w:hint="default" w:ascii="Times New Roman" w:hAnsi="Times New Roman" w:eastAsia="宋体" w:cs="Times New Roman"/>
                <w:bCs/>
                <w:color w:val="auto"/>
                <w:sz w:val="24"/>
                <w:szCs w:val="24"/>
                <w:u w:val="single" w:color="auto"/>
              </w:rPr>
              <w:t>，医务人员每日用水定额以150L/人计，则项目医护工作人员用水</w:t>
            </w:r>
            <w:r>
              <w:rPr>
                <w:rFonts w:hint="eastAsia" w:cs="Times New Roman"/>
                <w:bCs/>
                <w:color w:val="auto"/>
                <w:sz w:val="24"/>
                <w:szCs w:val="24"/>
                <w:u w:val="single" w:color="auto"/>
                <w:lang w:eastAsia="zh-CN"/>
              </w:rPr>
              <w:t>总量</w:t>
            </w:r>
            <w:r>
              <w:rPr>
                <w:rFonts w:hint="eastAsia" w:ascii="Times New Roman" w:hAnsi="Times New Roman" w:eastAsia="宋体" w:cs="Times New Roman"/>
                <w:bCs/>
                <w:color w:val="auto"/>
                <w:sz w:val="24"/>
                <w:szCs w:val="24"/>
                <w:u w:val="single" w:color="auto"/>
                <w:lang w:val="en-US" w:eastAsia="zh-CN"/>
              </w:rPr>
              <w:t>10.8</w:t>
            </w:r>
            <w:r>
              <w:rPr>
                <w:rFonts w:hint="default" w:ascii="Times New Roman" w:hAnsi="Times New Roman" w:eastAsia="宋体" w:cs="Times New Roman"/>
                <w:bCs/>
                <w:color w:val="auto"/>
                <w:sz w:val="24"/>
                <w:szCs w:val="24"/>
                <w:u w:val="single" w:color="auto"/>
              </w:rPr>
              <w:t>m³/d（</w:t>
            </w:r>
            <w:r>
              <w:rPr>
                <w:rFonts w:hint="eastAsia" w:ascii="Times New Roman" w:hAnsi="Times New Roman" w:eastAsia="宋体" w:cs="Times New Roman"/>
                <w:bCs/>
                <w:color w:val="auto"/>
                <w:sz w:val="24"/>
                <w:szCs w:val="24"/>
                <w:u w:val="single" w:color="auto"/>
                <w:lang w:val="en-US" w:eastAsia="zh-CN"/>
              </w:rPr>
              <w:t>3942</w:t>
            </w:r>
            <w:r>
              <w:rPr>
                <w:rFonts w:hint="default" w:ascii="Times New Roman" w:hAnsi="Times New Roman" w:eastAsia="宋体" w:cs="Times New Roman"/>
                <w:bCs/>
                <w:color w:val="auto"/>
                <w:sz w:val="24"/>
                <w:szCs w:val="24"/>
                <w:u w:val="single" w:color="auto"/>
              </w:rPr>
              <w:t>m³/a）</w:t>
            </w:r>
            <w:r>
              <w:rPr>
                <w:rFonts w:hint="eastAsia" w:ascii="Times New Roman" w:hAnsi="Times New Roman" w:eastAsia="宋体" w:cs="Times New Roman"/>
                <w:bCs/>
                <w:color w:val="auto"/>
                <w:sz w:val="24"/>
                <w:szCs w:val="24"/>
                <w:u w:val="single" w:color="auto"/>
                <w:lang w:eastAsia="zh-CN"/>
              </w:rPr>
              <w:t>，</w:t>
            </w:r>
            <w:r>
              <w:rPr>
                <w:rFonts w:hint="default" w:ascii="Times New Roman" w:hAnsi="Times New Roman" w:eastAsia="宋体" w:cs="Times New Roman"/>
                <w:bCs/>
                <w:color w:val="auto"/>
                <w:sz w:val="24"/>
                <w:szCs w:val="24"/>
                <w:u w:val="single" w:color="auto"/>
              </w:rPr>
              <w:t>产污系数以0.8计，则住院病房污水量为</w:t>
            </w:r>
            <w:r>
              <w:rPr>
                <w:rFonts w:hint="eastAsia" w:ascii="Times New Roman" w:hAnsi="Times New Roman" w:eastAsia="宋体" w:cs="Times New Roman"/>
                <w:bCs/>
                <w:color w:val="auto"/>
                <w:sz w:val="24"/>
                <w:szCs w:val="24"/>
                <w:u w:val="single" w:color="auto"/>
                <w:lang w:val="en-US" w:eastAsia="zh-CN"/>
              </w:rPr>
              <w:t>8.64</w:t>
            </w:r>
            <w:r>
              <w:rPr>
                <w:rFonts w:hint="default" w:ascii="Times New Roman" w:hAnsi="Times New Roman" w:eastAsia="宋体" w:cs="Times New Roman"/>
                <w:bCs/>
                <w:color w:val="auto"/>
                <w:sz w:val="24"/>
                <w:szCs w:val="24"/>
                <w:u w:val="single" w:color="auto"/>
              </w:rPr>
              <w:t>m³/d（</w:t>
            </w:r>
            <w:r>
              <w:rPr>
                <w:rFonts w:hint="eastAsia" w:ascii="Times New Roman" w:hAnsi="Times New Roman" w:eastAsia="宋体" w:cs="Times New Roman"/>
                <w:bCs/>
                <w:color w:val="auto"/>
                <w:sz w:val="24"/>
                <w:szCs w:val="24"/>
                <w:u w:val="single" w:color="auto"/>
                <w:lang w:val="en-US" w:eastAsia="zh-CN"/>
              </w:rPr>
              <w:t>3153.6</w:t>
            </w:r>
            <w:r>
              <w:rPr>
                <w:rFonts w:hint="default" w:ascii="Times New Roman" w:hAnsi="Times New Roman" w:eastAsia="宋体" w:cs="Times New Roman"/>
                <w:bCs/>
                <w:color w:val="auto"/>
                <w:sz w:val="24"/>
                <w:szCs w:val="24"/>
                <w:u w:val="single" w:color="auto"/>
              </w:rPr>
              <w:t>m³/a）</w:t>
            </w:r>
            <w:r>
              <w:rPr>
                <w:rFonts w:hint="eastAsia" w:ascii="Times New Roman" w:hAnsi="Times New Roman" w:eastAsia="宋体" w:cs="Times New Roman"/>
                <w:bCs/>
                <w:color w:val="auto"/>
                <w:sz w:val="24"/>
                <w:szCs w:val="24"/>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④检验室用水及废水产生情况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 xml:space="preserve">本项目检验室主要进行临床常规检测，包括三大常规化验、血液生化检验等。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均为普通实验室，仅涉及病人血液、尿液、粪便等，不涉及单独的微生物</w:t>
            </w:r>
            <w:r>
              <w:rPr>
                <w:rFonts w:hint="eastAsia" w:cs="Times New Roman"/>
                <w:color w:val="auto"/>
                <w:sz w:val="24"/>
                <w:szCs w:val="24"/>
                <w:u w:val="none" w:color="auto"/>
                <w:lang w:val="en-US" w:eastAsia="zh-CN"/>
              </w:rPr>
              <w:t>菌种</w:t>
            </w:r>
            <w:r>
              <w:rPr>
                <w:rFonts w:hint="default" w:ascii="Times New Roman" w:hAnsi="Times New Roman" w:eastAsia="宋体" w:cs="Times New Roman"/>
                <w:color w:val="auto"/>
                <w:sz w:val="24"/>
                <w:szCs w:val="24"/>
                <w:u w:val="none" w:color="auto"/>
                <w:lang w:val="en-US" w:eastAsia="zh-CN"/>
              </w:rPr>
              <w:t xml:space="preserve">或病毒的实验操作。检验室主要采用试剂盒、仪器设备进行化验、检验，试剂盒内配有所需要的全部试剂，不需自制检验试剂，且不含有氰化物和重金属。检验室内常规试剂主要为酒精、双蒸水、生理盐水等，无有毒有害物质。仪器分析后产生的各类废样、废试剂和废试纸等均作为医疗废物处置，暂存于检验室医疗废物暂存点，最后统一汇集至项目医疗废物间内，不排入下水管道。故检验室产生的废水主要是仪器设备、容器等的清洗废水，不含重金属、氰化物等一类污染物。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根据业主提供的相关资料和类比同类项目可知，检验室用水量按</w:t>
            </w:r>
            <w:r>
              <w:rPr>
                <w:rFonts w:hint="eastAsia" w:ascii="Times New Roman" w:hAnsi="Times New Roman" w:eastAsia="宋体" w:cs="Times New Roman"/>
                <w:color w:val="auto"/>
                <w:sz w:val="24"/>
                <w:szCs w:val="24"/>
                <w:u w:val="none" w:color="auto"/>
                <w:lang w:val="en-US" w:eastAsia="zh-CN"/>
              </w:rPr>
              <w:t>5L</w:t>
            </w:r>
            <w:r>
              <w:rPr>
                <w:rFonts w:hint="default"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人·d</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计，每天需要检验人数约有</w:t>
            </w:r>
            <w:r>
              <w:rPr>
                <w:rFonts w:hint="eastAsia" w:ascii="Times New Roman" w:hAnsi="Times New Roman" w:eastAsia="宋体" w:cs="Times New Roman"/>
                <w:color w:val="auto"/>
                <w:sz w:val="24"/>
                <w:szCs w:val="24"/>
                <w:u w:val="none" w:color="auto"/>
                <w:lang w:val="en-US" w:eastAsia="zh-CN"/>
              </w:rPr>
              <w:t>20</w:t>
            </w:r>
            <w:r>
              <w:rPr>
                <w:rFonts w:hint="default" w:ascii="Times New Roman" w:hAnsi="Times New Roman" w:eastAsia="宋体" w:cs="Times New Roman"/>
                <w:color w:val="auto"/>
                <w:sz w:val="24"/>
                <w:szCs w:val="24"/>
                <w:u w:val="none" w:color="auto"/>
                <w:lang w:val="en-US" w:eastAsia="zh-CN"/>
              </w:rPr>
              <w:t>人，则检验室用水量约为0.</w:t>
            </w:r>
            <w:r>
              <w:rPr>
                <w:rFonts w:hint="eastAsia" w:ascii="Times New Roman" w:hAnsi="Times New Roman" w:eastAsia="宋体" w:cs="Times New Roman"/>
                <w:color w:val="auto"/>
                <w:sz w:val="24"/>
                <w:szCs w:val="24"/>
                <w:u w:val="none" w:color="auto"/>
                <w:lang w:val="en-US" w:eastAsia="zh-CN"/>
              </w:rPr>
              <w:t>1</w:t>
            </w:r>
            <w:r>
              <w:rPr>
                <w:rFonts w:hint="default" w:ascii="Times New Roman" w:hAnsi="Times New Roman" w:eastAsia="宋体" w:cs="Times New Roman"/>
                <w:color w:val="auto"/>
                <w:sz w:val="24"/>
                <w:szCs w:val="24"/>
                <w:u w:val="none" w:color="auto"/>
                <w:lang w:val="en-US" w:eastAsia="zh-CN"/>
              </w:rPr>
              <w:t>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w:t>
            </w:r>
            <w:r>
              <w:rPr>
                <w:rFonts w:hint="eastAsia" w:ascii="Times New Roman" w:hAnsi="Times New Roman" w:eastAsia="宋体" w:cs="Times New Roman"/>
                <w:color w:val="auto"/>
                <w:sz w:val="24"/>
                <w:szCs w:val="24"/>
                <w:u w:val="none" w:color="auto"/>
                <w:lang w:val="en-US" w:eastAsia="zh-CN"/>
              </w:rPr>
              <w:t>36.5</w:t>
            </w:r>
            <w:r>
              <w:rPr>
                <w:rFonts w:hint="default" w:ascii="Times New Roman" w:hAnsi="Times New Roman" w:eastAsia="宋体" w:cs="Times New Roman"/>
                <w:color w:val="auto"/>
                <w:sz w:val="24"/>
                <w:szCs w:val="24"/>
                <w:u w:val="none" w:color="auto"/>
                <w:lang w:val="en-US" w:eastAsia="zh-CN"/>
              </w:rPr>
              <w:t>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/a）。废水产生系数按80%计，则废水产生量为</w:t>
            </w:r>
            <w:r>
              <w:rPr>
                <w:rFonts w:hint="eastAsia" w:ascii="Times New Roman" w:hAnsi="Times New Roman" w:eastAsia="宋体" w:cs="Times New Roman"/>
                <w:color w:val="auto"/>
                <w:sz w:val="24"/>
                <w:szCs w:val="24"/>
                <w:u w:val="none" w:color="auto"/>
                <w:lang w:val="en-US" w:eastAsia="zh-CN"/>
              </w:rPr>
              <w:t>0.08</w:t>
            </w:r>
            <w:r>
              <w:rPr>
                <w:rFonts w:hint="default" w:ascii="Times New Roman" w:hAnsi="Times New Roman" w:eastAsia="宋体" w:cs="Times New Roman"/>
                <w:color w:val="auto"/>
                <w:sz w:val="24"/>
                <w:szCs w:val="24"/>
                <w:u w:val="none" w:color="auto"/>
                <w:lang w:val="en-US" w:eastAsia="zh-CN"/>
              </w:rPr>
              <w:t>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w:t>
            </w:r>
            <w:r>
              <w:rPr>
                <w:rFonts w:hint="eastAsia" w:ascii="Times New Roman" w:hAnsi="Times New Roman" w:eastAsia="宋体" w:cs="Times New Roman"/>
                <w:color w:val="auto"/>
                <w:sz w:val="24"/>
                <w:szCs w:val="24"/>
                <w:u w:val="none" w:color="auto"/>
                <w:lang w:val="en-US" w:eastAsia="zh-CN"/>
              </w:rPr>
              <w:t>29.2</w:t>
            </w:r>
            <w:r>
              <w:rPr>
                <w:rFonts w:hint="default" w:ascii="Times New Roman" w:hAnsi="Times New Roman" w:eastAsia="宋体" w:cs="Times New Roman"/>
                <w:color w:val="auto"/>
                <w:sz w:val="24"/>
                <w:szCs w:val="24"/>
                <w:u w:val="none" w:color="auto"/>
                <w:lang w:val="en-US" w:eastAsia="zh-CN"/>
              </w:rPr>
              <w:t>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⑤</w:t>
            </w:r>
            <w:r>
              <w:rPr>
                <w:rFonts w:hint="default" w:ascii="Times New Roman" w:hAnsi="Times New Roman" w:eastAsia="宋体" w:cs="Times New Roman"/>
                <w:color w:val="auto"/>
                <w:sz w:val="24"/>
                <w:szCs w:val="24"/>
                <w:u w:val="none" w:color="auto"/>
              </w:rPr>
              <w:t>洗衣房用水及废水产生情况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医院设有洗衣房，根据《综合医院建筑设计规范》（GB51039-2014）表6.2.2医院生活用水量定额，洗衣房用水</w:t>
            </w:r>
            <w:r>
              <w:rPr>
                <w:rFonts w:hint="default" w:ascii="Times New Roman" w:hAnsi="Times New Roman" w:eastAsia="宋体" w:cs="Times New Roman"/>
                <w:bCs/>
                <w:color w:val="auto"/>
                <w:sz w:val="24"/>
                <w:szCs w:val="24"/>
                <w:u w:val="none" w:color="auto"/>
              </w:rPr>
              <w:t>定额</w:t>
            </w:r>
            <w:r>
              <w:rPr>
                <w:rFonts w:hint="default" w:ascii="Times New Roman" w:hAnsi="Times New Roman" w:eastAsia="宋体" w:cs="Times New Roman"/>
                <w:color w:val="auto"/>
                <w:sz w:val="24"/>
                <w:szCs w:val="24"/>
                <w:u w:val="none" w:color="auto"/>
              </w:rPr>
              <w:t>为</w:t>
            </w:r>
            <w:r>
              <w:rPr>
                <w:rFonts w:hint="eastAsia" w:ascii="Times New Roman" w:hAnsi="Times New Roman" w:eastAsia="宋体" w:cs="Times New Roman"/>
                <w:color w:val="auto"/>
                <w:sz w:val="24"/>
                <w:szCs w:val="24"/>
                <w:u w:val="none" w:color="auto"/>
                <w:lang w:val="en-US" w:eastAsia="zh-CN"/>
              </w:rPr>
              <w:t>60</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8</w:t>
            </w:r>
            <w:r>
              <w:rPr>
                <w:rFonts w:hint="default" w:ascii="Times New Roman" w:hAnsi="Times New Roman" w:eastAsia="宋体" w:cs="Times New Roman"/>
                <w:color w:val="auto"/>
                <w:sz w:val="24"/>
                <w:szCs w:val="24"/>
                <w:u w:val="none" w:color="auto"/>
              </w:rPr>
              <w:t>0L/千克干衣（医院手术衣、白大褂、床单、被套等），本次评价取</w:t>
            </w:r>
            <w:r>
              <w:rPr>
                <w:rFonts w:hint="eastAsia" w:ascii="Times New Roman" w:hAnsi="Times New Roman" w:eastAsia="宋体" w:cs="Times New Roman"/>
                <w:color w:val="auto"/>
                <w:sz w:val="24"/>
                <w:szCs w:val="24"/>
                <w:u w:val="none" w:color="auto"/>
                <w:lang w:val="en-US" w:eastAsia="zh-CN"/>
              </w:rPr>
              <w:t>70</w:t>
            </w:r>
            <w:r>
              <w:rPr>
                <w:rFonts w:hint="default" w:ascii="Times New Roman" w:hAnsi="Times New Roman" w:eastAsia="宋体" w:cs="Times New Roman"/>
                <w:color w:val="auto"/>
                <w:sz w:val="24"/>
                <w:szCs w:val="24"/>
                <w:u w:val="none" w:color="auto"/>
              </w:rPr>
              <w:t>L/千克干衣。根据建设单位提供资料，洗衣房每天洗干衣</w:t>
            </w:r>
            <w:r>
              <w:rPr>
                <w:rFonts w:hint="eastAsia" w:ascii="Times New Roman" w:hAnsi="Times New Roman" w:eastAsia="宋体" w:cs="Times New Roman"/>
                <w:color w:val="auto"/>
                <w:sz w:val="24"/>
                <w:szCs w:val="24"/>
                <w:u w:val="none" w:color="auto"/>
                <w:lang w:val="en-US" w:eastAsia="zh-CN"/>
              </w:rPr>
              <w:t>10</w:t>
            </w:r>
            <w:r>
              <w:rPr>
                <w:rFonts w:hint="default" w:ascii="Times New Roman" w:hAnsi="Times New Roman" w:eastAsia="宋体" w:cs="Times New Roman"/>
                <w:color w:val="auto"/>
                <w:sz w:val="24"/>
                <w:szCs w:val="24"/>
                <w:u w:val="none" w:color="auto"/>
              </w:rPr>
              <w:t>kg，则洗衣用水量为</w:t>
            </w:r>
            <w:r>
              <w:rPr>
                <w:rFonts w:hint="eastAsia" w:ascii="Times New Roman" w:hAnsi="Times New Roman" w:eastAsia="宋体" w:cs="Times New Roman"/>
                <w:color w:val="auto"/>
                <w:sz w:val="24"/>
                <w:szCs w:val="24"/>
                <w:u w:val="none" w:color="auto"/>
                <w:lang w:val="en-US" w:eastAsia="zh-CN"/>
              </w:rPr>
              <w:t>0.7</w:t>
            </w:r>
            <w:r>
              <w:rPr>
                <w:rFonts w:hint="default" w:ascii="Times New Roman" w:hAnsi="Times New Roman" w:eastAsia="宋体" w:cs="Times New Roman"/>
                <w:color w:val="auto"/>
                <w:sz w:val="24"/>
                <w:szCs w:val="24"/>
                <w:u w:val="none" w:color="auto"/>
              </w:rPr>
              <w:t>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/d（</w:t>
            </w:r>
            <w:r>
              <w:rPr>
                <w:rFonts w:hint="eastAsia" w:ascii="Times New Roman" w:hAnsi="Times New Roman" w:eastAsia="宋体" w:cs="Times New Roman"/>
                <w:color w:val="auto"/>
                <w:sz w:val="24"/>
                <w:szCs w:val="24"/>
                <w:u w:val="none" w:color="auto"/>
                <w:lang w:val="en-US" w:eastAsia="zh-CN"/>
              </w:rPr>
              <w:t>255.5</w:t>
            </w:r>
            <w:r>
              <w:rPr>
                <w:rFonts w:hint="default" w:ascii="Times New Roman" w:hAnsi="Times New Roman" w:eastAsia="宋体" w:cs="Times New Roman"/>
                <w:color w:val="auto"/>
                <w:sz w:val="24"/>
                <w:szCs w:val="24"/>
                <w:u w:val="none" w:color="auto"/>
              </w:rPr>
              <w:t>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/a）</w:t>
            </w:r>
            <w:r>
              <w:rPr>
                <w:rFonts w:hint="default" w:ascii="Times New Roman" w:hAnsi="Times New Roman" w:eastAsia="宋体" w:cs="Times New Roman"/>
                <w:color w:val="auto"/>
                <w:spacing w:val="-8"/>
                <w:sz w:val="24"/>
                <w:szCs w:val="24"/>
                <w:u w:val="none" w:color="auto"/>
              </w:rPr>
              <w:t>。废水产生系数按</w:t>
            </w:r>
            <w:r>
              <w:rPr>
                <w:rFonts w:hint="eastAsia" w:ascii="Times New Roman" w:hAnsi="Times New Roman" w:eastAsia="宋体" w:cs="Times New Roman"/>
                <w:color w:val="auto"/>
                <w:spacing w:val="-5"/>
                <w:sz w:val="24"/>
                <w:szCs w:val="24"/>
                <w:u w:val="none" w:color="auto"/>
                <w:lang w:val="en-US" w:eastAsia="zh-CN"/>
              </w:rPr>
              <w:t>90</w:t>
            </w:r>
            <w:r>
              <w:rPr>
                <w:rFonts w:hint="default" w:ascii="Times New Roman" w:hAnsi="Times New Roman" w:eastAsia="宋体" w:cs="Times New Roman"/>
                <w:color w:val="auto"/>
                <w:spacing w:val="-5"/>
                <w:sz w:val="24"/>
                <w:szCs w:val="24"/>
                <w:u w:val="none" w:color="auto"/>
              </w:rPr>
              <w:t>%计，废水排放量为</w:t>
            </w:r>
            <w:r>
              <w:rPr>
                <w:rFonts w:hint="eastAsia" w:ascii="Times New Roman" w:hAnsi="Times New Roman" w:eastAsia="宋体" w:cs="Times New Roman"/>
                <w:color w:val="auto"/>
                <w:sz w:val="24"/>
                <w:szCs w:val="24"/>
                <w:u w:val="none" w:color="auto"/>
                <w:lang w:val="en-US" w:eastAsia="zh-CN"/>
              </w:rPr>
              <w:t>0.63</w:t>
            </w:r>
            <w:r>
              <w:rPr>
                <w:rFonts w:hint="default" w:ascii="Times New Roman" w:hAnsi="Times New Roman" w:eastAsia="宋体" w:cs="Times New Roman"/>
                <w:color w:val="auto"/>
                <w:sz w:val="24"/>
                <w:szCs w:val="24"/>
                <w:u w:val="none" w:color="auto"/>
              </w:rPr>
              <w:t>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/d（</w:t>
            </w:r>
            <w:r>
              <w:rPr>
                <w:rFonts w:hint="eastAsia" w:ascii="Times New Roman" w:hAnsi="Times New Roman" w:eastAsia="宋体" w:cs="Times New Roman"/>
                <w:color w:val="auto"/>
                <w:sz w:val="24"/>
                <w:szCs w:val="24"/>
                <w:u w:val="none" w:color="auto"/>
                <w:lang w:val="en-US" w:eastAsia="zh-CN"/>
              </w:rPr>
              <w:t>230</w:t>
            </w:r>
            <w:r>
              <w:rPr>
                <w:rFonts w:hint="default" w:ascii="Times New Roman" w:hAnsi="Times New Roman" w:eastAsia="宋体" w:cs="Times New Roman"/>
                <w:color w:val="auto"/>
                <w:sz w:val="24"/>
                <w:szCs w:val="24"/>
                <w:u w:val="none" w:color="auto"/>
              </w:rPr>
              <w:t>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/a）。</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⑥食堂用水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kern w:val="0"/>
                <w:sz w:val="24"/>
                <w:szCs w:val="24"/>
                <w:lang w:val="en-US" w:eastAsia="zh-CN" w:bidi="ar"/>
              </w:rPr>
              <w:t>本项目食堂不对外开放，工作人员共72人，项目日均就餐人数按72人计，根据《医院给排水设计规范》中每人每日用水</w:t>
            </w:r>
            <w:r>
              <w:rPr>
                <w:rFonts w:hint="default" w:ascii="Times New Roman" w:hAnsi="Times New Roman" w:eastAsia="宋体" w:cs="Times New Roman"/>
                <w:color w:val="auto"/>
                <w:kern w:val="0"/>
                <w:sz w:val="24"/>
                <w:szCs w:val="24"/>
                <w:lang w:val="en-US" w:eastAsia="zh-CN" w:bidi="ar"/>
              </w:rPr>
              <w:t>20</w:t>
            </w:r>
            <w:r>
              <w:rPr>
                <w:rFonts w:hint="eastAsia" w:ascii="Times New Roman" w:hAnsi="Times New Roman" w:eastAsia="宋体" w:cs="Times New Roman"/>
                <w:color w:val="auto"/>
                <w:kern w:val="0"/>
                <w:sz w:val="24"/>
                <w:szCs w:val="24"/>
                <w:lang w:val="en-US" w:eastAsia="zh-CN" w:bidi="ar"/>
              </w:rPr>
              <w:t>L计，则用水量约为1.44</w:t>
            </w:r>
            <w:r>
              <w:rPr>
                <w:rFonts w:hint="default" w:ascii="Times New Roman" w:hAnsi="Times New Roman" w:eastAsia="宋体" w:cs="Times New Roman"/>
                <w:color w:val="auto"/>
                <w:kern w:val="0"/>
                <w:sz w:val="24"/>
                <w:szCs w:val="24"/>
                <w:lang w:val="en-US" w:eastAsia="zh-CN" w:bidi="ar"/>
              </w:rPr>
              <w:t>t/d</w:t>
            </w:r>
            <w:r>
              <w:rPr>
                <w:rFonts w:hint="eastAsia" w:ascii="Times New Roman" w:hAnsi="Times New Roman" w:eastAsia="宋体" w:cs="Times New Roman"/>
                <w:color w:val="auto"/>
                <w:kern w:val="0"/>
                <w:sz w:val="24"/>
                <w:szCs w:val="24"/>
                <w:lang w:val="en-US" w:eastAsia="zh-CN" w:bidi="ar"/>
              </w:rPr>
              <w:t>（525.6</w:t>
            </w:r>
            <w:r>
              <w:rPr>
                <w:rFonts w:hint="default" w:ascii="Times New Roman" w:hAnsi="Times New Roman" w:eastAsia="宋体" w:cs="Times New Roman"/>
                <w:color w:val="auto"/>
                <w:kern w:val="0"/>
                <w:sz w:val="24"/>
                <w:szCs w:val="24"/>
                <w:lang w:val="en-US" w:eastAsia="zh-CN" w:bidi="ar"/>
              </w:rPr>
              <w:t>t/a</w:t>
            </w:r>
            <w:r>
              <w:rPr>
                <w:rFonts w:hint="eastAsia" w:ascii="Times New Roman" w:hAnsi="Times New Roman" w:eastAsia="宋体" w:cs="Times New Roman"/>
                <w:color w:val="auto"/>
                <w:kern w:val="0"/>
                <w:sz w:val="24"/>
                <w:szCs w:val="24"/>
                <w:lang w:val="en-US" w:eastAsia="zh-CN" w:bidi="ar"/>
              </w:rPr>
              <w:t>），污水排放系数按</w:t>
            </w:r>
            <w:r>
              <w:rPr>
                <w:rFonts w:hint="default" w:ascii="Times New Roman" w:hAnsi="Times New Roman" w:eastAsia="宋体" w:cs="Times New Roman"/>
                <w:color w:val="auto"/>
                <w:kern w:val="0"/>
                <w:sz w:val="24"/>
                <w:szCs w:val="24"/>
                <w:lang w:val="en-US" w:eastAsia="zh-CN" w:bidi="ar"/>
              </w:rPr>
              <w:t>0.8</w:t>
            </w:r>
            <w:r>
              <w:rPr>
                <w:rFonts w:hint="eastAsia" w:ascii="Times New Roman" w:hAnsi="Times New Roman" w:eastAsia="宋体" w:cs="Times New Roman"/>
                <w:color w:val="auto"/>
                <w:kern w:val="0"/>
                <w:sz w:val="24"/>
                <w:szCs w:val="24"/>
                <w:lang w:val="en-US" w:eastAsia="zh-CN" w:bidi="ar"/>
              </w:rPr>
              <w:t>计，则食堂废水产生量约为1.152</w:t>
            </w:r>
            <w:r>
              <w:rPr>
                <w:rFonts w:hint="default" w:ascii="Times New Roman" w:hAnsi="Times New Roman" w:eastAsia="宋体" w:cs="Times New Roman"/>
                <w:color w:val="auto"/>
                <w:kern w:val="0"/>
                <w:sz w:val="24"/>
                <w:szCs w:val="24"/>
                <w:lang w:val="en-US" w:eastAsia="zh-CN" w:bidi="ar"/>
              </w:rPr>
              <w:t>t/d</w:t>
            </w:r>
            <w:r>
              <w:rPr>
                <w:rFonts w:hint="eastAsia" w:ascii="Times New Roman" w:hAnsi="Times New Roman" w:eastAsia="宋体" w:cs="Times New Roman"/>
                <w:color w:val="auto"/>
                <w:kern w:val="0"/>
                <w:sz w:val="24"/>
                <w:szCs w:val="24"/>
                <w:lang w:val="en-US" w:eastAsia="zh-CN" w:bidi="ar"/>
              </w:rPr>
              <w:t>（420.48</w:t>
            </w:r>
            <w:r>
              <w:rPr>
                <w:rFonts w:hint="default" w:ascii="Times New Roman" w:hAnsi="Times New Roman" w:eastAsia="宋体" w:cs="Times New Roman"/>
                <w:color w:val="auto"/>
                <w:kern w:val="0"/>
                <w:sz w:val="24"/>
                <w:szCs w:val="24"/>
                <w:lang w:val="en-US" w:eastAsia="zh-CN" w:bidi="ar"/>
              </w:rPr>
              <w:t>t/a</w:t>
            </w:r>
            <w:r>
              <w:rPr>
                <w:rFonts w:hint="eastAsia" w:ascii="Times New Roman" w:hAnsi="Times New Roman" w:eastAsia="宋体" w:cs="Times New Roman"/>
                <w:color w:val="auto"/>
                <w:kern w:val="0"/>
                <w:sz w:val="24"/>
                <w:szCs w:val="24"/>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综上，项目</w:t>
            </w:r>
            <w:r>
              <w:rPr>
                <w:rFonts w:hint="eastAsia" w:ascii="Times New Roman" w:hAnsi="Times New Roman" w:eastAsia="宋体" w:cs="Times New Roman"/>
                <w:color w:val="auto"/>
                <w:sz w:val="24"/>
                <w:szCs w:val="24"/>
                <w:u w:val="none" w:color="auto"/>
                <w:lang w:val="en-US" w:eastAsia="zh-CN"/>
              </w:rPr>
              <w:t>扩建后总的</w:t>
            </w:r>
            <w:r>
              <w:rPr>
                <w:rFonts w:hint="default" w:ascii="Times New Roman" w:hAnsi="Times New Roman" w:eastAsia="宋体" w:cs="Times New Roman"/>
                <w:color w:val="auto"/>
                <w:sz w:val="24"/>
                <w:szCs w:val="24"/>
                <w:u w:val="none" w:color="auto"/>
              </w:rPr>
              <w:t>用水和排水情况见表2-</w:t>
            </w:r>
            <w:r>
              <w:rPr>
                <w:rFonts w:hint="eastAsia" w:ascii="Times New Roman" w:hAnsi="Times New Roman" w:eastAsia="宋体" w:cs="Times New Roman"/>
                <w:color w:val="auto"/>
                <w:sz w:val="24"/>
                <w:szCs w:val="24"/>
                <w:u w:val="none" w:color="auto"/>
                <w:lang w:val="en-US" w:eastAsia="zh-CN"/>
              </w:rPr>
              <w:t>4，水平衡图见图2-1</w:t>
            </w:r>
            <w:r>
              <w:rPr>
                <w:rFonts w:hint="default" w:ascii="Times New Roman" w:hAnsi="Times New Roman" w:eastAsia="宋体" w:cs="Times New Roman"/>
                <w:color w:val="auto"/>
                <w:sz w:val="24"/>
                <w:szCs w:val="24"/>
                <w:u w:val="none" w:color="auto"/>
              </w:rPr>
              <w:t>。项目废水进入</w:t>
            </w:r>
            <w:r>
              <w:rPr>
                <w:rFonts w:hint="eastAsia" w:ascii="Times New Roman" w:hAnsi="Times New Roman" w:eastAsia="宋体" w:cs="Times New Roman"/>
                <w:color w:val="auto"/>
                <w:sz w:val="24"/>
                <w:szCs w:val="24"/>
                <w:u w:val="none" w:color="auto"/>
                <w:lang w:eastAsia="zh-CN"/>
              </w:rPr>
              <w:t>地埋式污水处理系统</w:t>
            </w:r>
            <w:r>
              <w:rPr>
                <w:rFonts w:hint="default" w:ascii="Times New Roman" w:hAnsi="Times New Roman" w:eastAsia="宋体" w:cs="Times New Roman"/>
                <w:color w:val="auto"/>
                <w:sz w:val="24"/>
                <w:szCs w:val="24"/>
                <w:u w:val="none" w:color="auto"/>
              </w:rPr>
              <w:t>处理达《医疗机构水污染物排放标准》（GB18466-2005）中表2预处理标准后，通过市政污水管网排入</w:t>
            </w:r>
            <w:r>
              <w:rPr>
                <w:rFonts w:hint="eastAsia" w:ascii="Times New Roman" w:hAnsi="Times New Roman" w:eastAsia="宋体" w:cs="Times New Roman"/>
                <w:color w:val="auto"/>
                <w:sz w:val="24"/>
                <w:szCs w:val="24"/>
                <w:u w:val="none" w:color="auto"/>
                <w:lang w:eastAsia="zh-CN"/>
              </w:rPr>
              <w:t>湘阴县东塘镇污水处理厂</w:t>
            </w:r>
            <w:r>
              <w:rPr>
                <w:rFonts w:hint="default" w:ascii="Times New Roman" w:hAnsi="Times New Roman" w:eastAsia="宋体" w:cs="Times New Roman"/>
                <w:color w:val="auto"/>
                <w:sz w:val="24"/>
                <w:szCs w:val="24"/>
                <w:u w:val="none" w:color="auto"/>
              </w:rPr>
              <w:t>处理达《城镇污水处理厂污染物排放标准》（GB18918-2002）</w:t>
            </w:r>
            <w:r>
              <w:rPr>
                <w:rFonts w:hint="eastAsia" w:ascii="Times New Roman" w:hAnsi="Times New Roman" w:eastAsia="宋体" w:cs="Times New Roman"/>
                <w:color w:val="auto"/>
                <w:sz w:val="24"/>
                <w:szCs w:val="24"/>
                <w:u w:val="none" w:color="auto"/>
                <w:lang w:val="en-US" w:eastAsia="zh-CN"/>
              </w:rPr>
              <w:t>表1</w:t>
            </w:r>
            <w:r>
              <w:rPr>
                <w:rFonts w:hint="default" w:ascii="Times New Roman" w:hAnsi="Times New Roman" w:eastAsia="宋体" w:cs="Times New Roman"/>
                <w:color w:val="auto"/>
                <w:sz w:val="24"/>
                <w:szCs w:val="24"/>
                <w:u w:val="none" w:color="auto"/>
              </w:rPr>
              <w:t>一级A标准后排入</w:t>
            </w:r>
            <w:r>
              <w:rPr>
                <w:rFonts w:hint="eastAsia" w:ascii="Times New Roman" w:hAnsi="Times New Roman" w:eastAsia="宋体" w:cs="Times New Roman"/>
                <w:color w:val="auto"/>
                <w:sz w:val="24"/>
                <w:szCs w:val="24"/>
                <w:u w:val="none" w:color="auto"/>
                <w:lang w:val="en-US" w:eastAsia="zh-CN"/>
              </w:rPr>
              <w:t>东塘周家坝渠道</w:t>
            </w:r>
            <w:r>
              <w:rPr>
                <w:rFonts w:hint="default" w:ascii="Times New Roman" w:hAnsi="Times New Roman" w:eastAsia="宋体" w:cs="Times New Roman"/>
                <w:color w:val="auto"/>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表2-</w:t>
            </w:r>
            <w:r>
              <w:rPr>
                <w:rFonts w:hint="eastAsia" w:ascii="Times New Roman" w:hAnsi="Times New Roman" w:eastAsia="宋体" w:cs="Times New Roman"/>
                <w:color w:val="auto"/>
                <w:sz w:val="24"/>
                <w:szCs w:val="24"/>
                <w:u w:val="none" w:color="auto"/>
                <w:lang w:val="en-US" w:eastAsia="zh-CN"/>
              </w:rPr>
              <w:t>4</w:t>
            </w:r>
            <w:r>
              <w:rPr>
                <w:rFonts w:hint="default" w:ascii="Times New Roman" w:hAnsi="Times New Roman" w:eastAsia="宋体" w:cs="Times New Roman"/>
                <w:color w:val="auto"/>
                <w:sz w:val="24"/>
                <w:szCs w:val="24"/>
                <w:u w:val="none" w:color="auto"/>
              </w:rPr>
              <w:t>项目用、排水情况一览表</w:t>
            </w:r>
          </w:p>
          <w:tbl>
            <w:tblPr>
              <w:tblStyle w:val="21"/>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1"/>
              <w:gridCol w:w="1096"/>
              <w:gridCol w:w="992"/>
              <w:gridCol w:w="739"/>
              <w:gridCol w:w="773"/>
              <w:gridCol w:w="1223"/>
              <w:gridCol w:w="484"/>
              <w:gridCol w:w="912"/>
              <w:gridCol w:w="808"/>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1"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序号</w:t>
                  </w:r>
                </w:p>
              </w:tc>
              <w:tc>
                <w:tcPr>
                  <w:tcW w:w="1096"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用水项目</w:t>
                  </w:r>
                </w:p>
              </w:tc>
              <w:tc>
                <w:tcPr>
                  <w:tcW w:w="992"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用水标准</w:t>
                  </w:r>
                </w:p>
              </w:tc>
              <w:tc>
                <w:tcPr>
                  <w:tcW w:w="739"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用水</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规模</w:t>
                  </w:r>
                </w:p>
              </w:tc>
              <w:tc>
                <w:tcPr>
                  <w:tcW w:w="1996" w:type="dxa"/>
                  <w:gridSpan w:val="2"/>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用水量</w:t>
                  </w:r>
                </w:p>
              </w:tc>
              <w:tc>
                <w:tcPr>
                  <w:tcW w:w="484"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产污系数</w:t>
                  </w:r>
                </w:p>
              </w:tc>
              <w:tc>
                <w:tcPr>
                  <w:tcW w:w="91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损耗量</w:t>
                  </w:r>
                </w:p>
              </w:tc>
              <w:tc>
                <w:tcPr>
                  <w:tcW w:w="1821" w:type="dxa"/>
                  <w:gridSpan w:val="2"/>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废水产生量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1"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096"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99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739"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77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rPr>
                    <w:t>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/d</w:t>
                  </w:r>
                </w:p>
              </w:tc>
              <w:tc>
                <w:tcPr>
                  <w:tcW w:w="122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rPr>
                    <w:t>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/a</w:t>
                  </w:r>
                </w:p>
              </w:tc>
              <w:tc>
                <w:tcPr>
                  <w:tcW w:w="484"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91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rPr>
                    <w:t>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/d</w:t>
                  </w:r>
                </w:p>
              </w:tc>
              <w:tc>
                <w:tcPr>
                  <w:tcW w:w="80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rPr>
                    <w:t>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/d</w:t>
                  </w:r>
                </w:p>
              </w:tc>
              <w:tc>
                <w:tcPr>
                  <w:tcW w:w="101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rPr>
                    <w:t>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1</w:t>
                  </w:r>
                </w:p>
              </w:tc>
              <w:tc>
                <w:tcPr>
                  <w:tcW w:w="109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rPr>
                  </w:pPr>
                  <w:r>
                    <w:rPr>
                      <w:rFonts w:hint="eastAsia" w:ascii="宋体" w:hAnsi="宋体" w:eastAsia="宋体" w:cs="宋体"/>
                      <w:i w:val="0"/>
                      <w:iCs w:val="0"/>
                      <w:color w:val="auto"/>
                      <w:kern w:val="0"/>
                      <w:sz w:val="21"/>
                      <w:szCs w:val="21"/>
                      <w:u w:val="none" w:color="auto"/>
                      <w:lang w:val="en-US" w:eastAsia="zh-CN" w:bidi="ar"/>
                    </w:rPr>
                    <w:t>住院病人</w:t>
                  </w:r>
                </w:p>
              </w:tc>
              <w:tc>
                <w:tcPr>
                  <w:tcW w:w="9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eastAsia="zh-CN"/>
                    </w:rPr>
                  </w:pPr>
                  <w:r>
                    <w:rPr>
                      <w:rFonts w:hint="eastAsia" w:cs="Times New Roman"/>
                      <w:i w:val="0"/>
                      <w:iCs w:val="0"/>
                      <w:color w:val="auto"/>
                      <w:kern w:val="0"/>
                      <w:sz w:val="21"/>
                      <w:szCs w:val="21"/>
                      <w:u w:val="none" w:color="auto"/>
                      <w:lang w:val="en-US" w:eastAsia="zh-CN" w:bidi="ar"/>
                    </w:rPr>
                    <w:t>10</w:t>
                  </w:r>
                  <w:r>
                    <w:rPr>
                      <w:rFonts w:hint="eastAsia" w:ascii="Times New Roman" w:hAnsi="Times New Roman" w:eastAsia="宋体" w:cs="Times New Roman"/>
                      <w:i w:val="0"/>
                      <w:iCs w:val="0"/>
                      <w:color w:val="auto"/>
                      <w:kern w:val="0"/>
                      <w:sz w:val="21"/>
                      <w:szCs w:val="21"/>
                      <w:u w:val="none" w:color="auto"/>
                      <w:lang w:val="en-US" w:eastAsia="zh-CN" w:bidi="ar"/>
                    </w:rPr>
                    <w:t>0</w:t>
                  </w:r>
                  <w:r>
                    <w:rPr>
                      <w:rFonts w:hint="default" w:ascii="Times New Roman" w:hAnsi="Times New Roman" w:eastAsia="宋体" w:cs="Times New Roman"/>
                      <w:i w:val="0"/>
                      <w:iCs w:val="0"/>
                      <w:color w:val="auto"/>
                      <w:kern w:val="0"/>
                      <w:sz w:val="21"/>
                      <w:szCs w:val="21"/>
                      <w:u w:val="none" w:color="auto"/>
                      <w:lang w:val="en-US" w:eastAsia="zh-CN" w:bidi="ar"/>
                    </w:rPr>
                    <w:t>L/</w:t>
                  </w:r>
                  <w:r>
                    <w:rPr>
                      <w:rFonts w:hint="eastAsia" w:ascii="宋体" w:hAnsi="宋体" w:eastAsia="宋体" w:cs="宋体"/>
                      <w:i w:val="0"/>
                      <w:iCs w:val="0"/>
                      <w:color w:val="auto"/>
                      <w:kern w:val="0"/>
                      <w:sz w:val="21"/>
                      <w:szCs w:val="21"/>
                      <w:u w:val="none" w:color="auto"/>
                      <w:lang w:val="en-US" w:eastAsia="zh-CN" w:bidi="ar"/>
                    </w:rPr>
                    <w:t>床</w:t>
                  </w:r>
                  <w:r>
                    <w:rPr>
                      <w:rFonts w:hint="default" w:ascii="Times New Roman" w:hAnsi="Times New Roman" w:eastAsia="宋体" w:cs="Times New Roman"/>
                      <w:b/>
                      <w:bCs/>
                      <w:i w:val="0"/>
                      <w:iCs w:val="0"/>
                      <w:color w:val="auto"/>
                      <w:kern w:val="0"/>
                      <w:sz w:val="21"/>
                      <w:szCs w:val="21"/>
                      <w:u w:val="none" w:color="auto"/>
                      <w:lang w:val="en-US" w:eastAsia="zh-CN" w:bidi="ar"/>
                    </w:rPr>
                    <w:t>·</w:t>
                  </w:r>
                  <w:r>
                    <w:rPr>
                      <w:rFonts w:hint="default" w:ascii="Times New Roman" w:hAnsi="Times New Roman" w:eastAsia="宋体" w:cs="Times New Roman"/>
                      <w:i w:val="0"/>
                      <w:iCs w:val="0"/>
                      <w:color w:val="auto"/>
                      <w:kern w:val="0"/>
                      <w:sz w:val="21"/>
                      <w:szCs w:val="21"/>
                      <w:u w:val="none" w:color="auto"/>
                      <w:lang w:val="en-US" w:eastAsia="zh-CN" w:bidi="ar"/>
                    </w:rPr>
                    <w:t>d</w:t>
                  </w:r>
                </w:p>
              </w:tc>
              <w:tc>
                <w:tcPr>
                  <w:tcW w:w="73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i w:val="0"/>
                      <w:iCs w:val="0"/>
                      <w:color w:val="auto"/>
                      <w:kern w:val="0"/>
                      <w:sz w:val="21"/>
                      <w:szCs w:val="21"/>
                      <w:u w:val="none" w:color="auto"/>
                      <w:lang w:val="en-US" w:eastAsia="zh-CN" w:bidi="ar"/>
                    </w:rPr>
                    <w:t>81床</w:t>
                  </w:r>
                </w:p>
              </w:tc>
              <w:tc>
                <w:tcPr>
                  <w:tcW w:w="7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8.1</w:t>
                  </w:r>
                </w:p>
              </w:tc>
              <w:tc>
                <w:tcPr>
                  <w:tcW w:w="12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2956.5</w:t>
                  </w:r>
                </w:p>
              </w:tc>
              <w:tc>
                <w:tcPr>
                  <w:tcW w:w="48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0.8</w:t>
                  </w:r>
                </w:p>
              </w:tc>
              <w:tc>
                <w:tcPr>
                  <w:tcW w:w="9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1.62</w:t>
                  </w:r>
                </w:p>
              </w:tc>
              <w:tc>
                <w:tcPr>
                  <w:tcW w:w="8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6.48</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2365.2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2</w:t>
                  </w:r>
                </w:p>
              </w:tc>
              <w:tc>
                <w:tcPr>
                  <w:tcW w:w="109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eastAsia="zh-CN"/>
                    </w:rPr>
                  </w:pPr>
                  <w:r>
                    <w:rPr>
                      <w:rFonts w:hint="eastAsia" w:ascii="宋体" w:hAnsi="宋体" w:eastAsia="宋体" w:cs="宋体"/>
                      <w:i w:val="0"/>
                      <w:iCs w:val="0"/>
                      <w:color w:val="auto"/>
                      <w:kern w:val="0"/>
                      <w:sz w:val="21"/>
                      <w:szCs w:val="21"/>
                      <w:u w:val="none" w:color="auto"/>
                      <w:lang w:val="en-US" w:eastAsia="zh-CN" w:bidi="ar"/>
                    </w:rPr>
                    <w:t>门急诊病人</w:t>
                  </w:r>
                </w:p>
              </w:tc>
              <w:tc>
                <w:tcPr>
                  <w:tcW w:w="9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eastAsia="zh-CN"/>
                    </w:rPr>
                  </w:pPr>
                  <w:r>
                    <w:rPr>
                      <w:rFonts w:hint="eastAsia" w:ascii="Times New Roman" w:hAnsi="Times New Roman" w:eastAsia="宋体" w:cs="Times New Roman"/>
                      <w:i w:val="0"/>
                      <w:iCs w:val="0"/>
                      <w:color w:val="auto"/>
                      <w:kern w:val="0"/>
                      <w:sz w:val="21"/>
                      <w:szCs w:val="21"/>
                      <w:u w:val="none" w:color="auto"/>
                      <w:lang w:val="en-US" w:eastAsia="zh-CN" w:bidi="ar"/>
                    </w:rPr>
                    <w:t>15</w:t>
                  </w:r>
                  <w:r>
                    <w:rPr>
                      <w:rFonts w:hint="default" w:ascii="Times New Roman" w:hAnsi="Times New Roman" w:eastAsia="宋体" w:cs="Times New Roman"/>
                      <w:i w:val="0"/>
                      <w:iCs w:val="0"/>
                      <w:color w:val="auto"/>
                      <w:kern w:val="0"/>
                      <w:sz w:val="21"/>
                      <w:szCs w:val="21"/>
                      <w:u w:val="none" w:color="auto"/>
                      <w:lang w:val="en-US" w:eastAsia="zh-CN" w:bidi="ar"/>
                    </w:rPr>
                    <w:t>L/</w:t>
                  </w:r>
                  <w:r>
                    <w:rPr>
                      <w:rFonts w:hint="eastAsia" w:ascii="宋体" w:hAnsi="宋体" w:eastAsia="宋体" w:cs="宋体"/>
                      <w:i w:val="0"/>
                      <w:iCs w:val="0"/>
                      <w:color w:val="auto"/>
                      <w:kern w:val="0"/>
                      <w:sz w:val="21"/>
                      <w:szCs w:val="21"/>
                      <w:u w:val="none" w:color="auto"/>
                      <w:lang w:val="en-US" w:eastAsia="zh-CN" w:bidi="ar"/>
                    </w:rPr>
                    <w:t>人</w:t>
                  </w:r>
                  <w:r>
                    <w:rPr>
                      <w:rFonts w:hint="default" w:ascii="Times New Roman" w:hAnsi="Times New Roman" w:eastAsia="宋体" w:cs="Times New Roman"/>
                      <w:b/>
                      <w:bCs/>
                      <w:i w:val="0"/>
                      <w:iCs w:val="0"/>
                      <w:color w:val="auto"/>
                      <w:kern w:val="0"/>
                      <w:sz w:val="21"/>
                      <w:szCs w:val="21"/>
                      <w:u w:val="none" w:color="auto"/>
                      <w:lang w:val="en-US" w:eastAsia="zh-CN" w:bidi="ar"/>
                    </w:rPr>
                    <w:t>·</w:t>
                  </w:r>
                  <w:r>
                    <w:rPr>
                      <w:rFonts w:hint="eastAsia" w:ascii="宋体" w:hAnsi="宋体" w:eastAsia="宋体" w:cs="宋体"/>
                      <w:i w:val="0"/>
                      <w:iCs w:val="0"/>
                      <w:color w:val="auto"/>
                      <w:kern w:val="0"/>
                      <w:sz w:val="21"/>
                      <w:szCs w:val="21"/>
                      <w:u w:val="none" w:color="auto"/>
                      <w:lang w:val="en-US" w:eastAsia="zh-CN" w:bidi="ar"/>
                    </w:rPr>
                    <w:t>次</w:t>
                  </w:r>
                </w:p>
              </w:tc>
              <w:tc>
                <w:tcPr>
                  <w:tcW w:w="73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i w:val="0"/>
                      <w:iCs w:val="0"/>
                      <w:color w:val="auto"/>
                      <w:kern w:val="0"/>
                      <w:sz w:val="21"/>
                      <w:szCs w:val="21"/>
                      <w:u w:val="none" w:color="auto"/>
                      <w:lang w:val="en-US" w:eastAsia="zh-CN" w:bidi="ar"/>
                    </w:rPr>
                    <w:t>60人</w:t>
                  </w:r>
                </w:p>
              </w:tc>
              <w:tc>
                <w:tcPr>
                  <w:tcW w:w="7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0.9</w:t>
                  </w:r>
                </w:p>
              </w:tc>
              <w:tc>
                <w:tcPr>
                  <w:tcW w:w="12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328.5</w:t>
                  </w:r>
                </w:p>
              </w:tc>
              <w:tc>
                <w:tcPr>
                  <w:tcW w:w="484" w:type="dxa"/>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0.8</w:t>
                  </w:r>
                </w:p>
              </w:tc>
              <w:tc>
                <w:tcPr>
                  <w:tcW w:w="9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0.18</w:t>
                  </w:r>
                </w:p>
              </w:tc>
              <w:tc>
                <w:tcPr>
                  <w:tcW w:w="8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0.72</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3</w:t>
                  </w:r>
                </w:p>
              </w:tc>
              <w:tc>
                <w:tcPr>
                  <w:tcW w:w="109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color="auto"/>
                      <w:lang w:val="en-US" w:eastAsia="zh-CN" w:bidi="ar"/>
                    </w:rPr>
                  </w:pPr>
                  <w:r>
                    <w:rPr>
                      <w:rFonts w:hint="eastAsia" w:ascii="宋体" w:hAnsi="宋体" w:eastAsia="宋体" w:cs="宋体"/>
                      <w:i w:val="0"/>
                      <w:iCs w:val="0"/>
                      <w:color w:val="auto"/>
                      <w:kern w:val="0"/>
                      <w:sz w:val="21"/>
                      <w:szCs w:val="21"/>
                      <w:u w:val="none" w:color="auto"/>
                      <w:lang w:val="en-US" w:eastAsia="zh-CN" w:bidi="ar"/>
                    </w:rPr>
                    <w:t>医院职工</w:t>
                  </w:r>
                </w:p>
              </w:tc>
              <w:tc>
                <w:tcPr>
                  <w:tcW w:w="9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eastAsia="zh-CN"/>
                    </w:rPr>
                  </w:pPr>
                  <w:r>
                    <w:rPr>
                      <w:rFonts w:hint="eastAsia" w:ascii="Times New Roman" w:hAnsi="Times New Roman" w:eastAsia="宋体" w:cs="Times New Roman"/>
                      <w:i w:val="0"/>
                      <w:iCs w:val="0"/>
                      <w:color w:val="auto"/>
                      <w:kern w:val="0"/>
                      <w:sz w:val="21"/>
                      <w:szCs w:val="21"/>
                      <w:u w:val="none" w:color="auto"/>
                      <w:lang w:val="en-US" w:eastAsia="zh-CN" w:bidi="ar"/>
                    </w:rPr>
                    <w:t>150</w:t>
                  </w:r>
                  <w:r>
                    <w:rPr>
                      <w:rFonts w:hint="default" w:ascii="Times New Roman" w:hAnsi="Times New Roman" w:eastAsia="宋体" w:cs="Times New Roman"/>
                      <w:i w:val="0"/>
                      <w:iCs w:val="0"/>
                      <w:color w:val="auto"/>
                      <w:kern w:val="0"/>
                      <w:sz w:val="21"/>
                      <w:szCs w:val="21"/>
                      <w:u w:val="none" w:color="auto"/>
                      <w:lang w:val="en-US" w:eastAsia="zh-CN" w:bidi="ar"/>
                    </w:rPr>
                    <w:t>L/</w:t>
                  </w:r>
                  <w:r>
                    <w:rPr>
                      <w:rFonts w:hint="eastAsia" w:ascii="宋体" w:hAnsi="宋体" w:eastAsia="宋体" w:cs="宋体"/>
                      <w:i w:val="0"/>
                      <w:iCs w:val="0"/>
                      <w:color w:val="auto"/>
                      <w:kern w:val="0"/>
                      <w:sz w:val="21"/>
                      <w:szCs w:val="21"/>
                      <w:u w:val="none" w:color="auto"/>
                      <w:lang w:val="en-US" w:eastAsia="zh-CN" w:bidi="ar"/>
                    </w:rPr>
                    <w:t>人</w:t>
                  </w:r>
                  <w:r>
                    <w:rPr>
                      <w:rFonts w:hint="default" w:ascii="Times New Roman" w:hAnsi="Times New Roman" w:eastAsia="宋体" w:cs="Times New Roman"/>
                      <w:b/>
                      <w:bCs/>
                      <w:i w:val="0"/>
                      <w:iCs w:val="0"/>
                      <w:color w:val="auto"/>
                      <w:kern w:val="0"/>
                      <w:sz w:val="21"/>
                      <w:szCs w:val="21"/>
                      <w:u w:val="none" w:color="auto"/>
                      <w:lang w:val="en-US" w:eastAsia="zh-CN" w:bidi="ar"/>
                    </w:rPr>
                    <w:t>·</w:t>
                  </w:r>
                  <w:r>
                    <w:rPr>
                      <w:rFonts w:hint="default" w:ascii="Times New Roman" w:hAnsi="Times New Roman" w:eastAsia="宋体" w:cs="Times New Roman"/>
                      <w:i w:val="0"/>
                      <w:iCs w:val="0"/>
                      <w:color w:val="auto"/>
                      <w:kern w:val="0"/>
                      <w:sz w:val="21"/>
                      <w:szCs w:val="21"/>
                      <w:u w:val="none" w:color="auto"/>
                      <w:lang w:val="en-US" w:eastAsia="zh-CN" w:bidi="ar"/>
                    </w:rPr>
                    <w:t>d</w:t>
                  </w:r>
                </w:p>
              </w:tc>
              <w:tc>
                <w:tcPr>
                  <w:tcW w:w="73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i w:val="0"/>
                      <w:iCs w:val="0"/>
                      <w:color w:val="auto"/>
                      <w:kern w:val="0"/>
                      <w:sz w:val="21"/>
                      <w:szCs w:val="21"/>
                      <w:u w:val="none" w:color="auto"/>
                      <w:lang w:val="en-US" w:eastAsia="zh-CN" w:bidi="ar"/>
                    </w:rPr>
                    <w:t>72人</w:t>
                  </w:r>
                </w:p>
              </w:tc>
              <w:tc>
                <w:tcPr>
                  <w:tcW w:w="7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10.8</w:t>
                  </w:r>
                </w:p>
              </w:tc>
              <w:tc>
                <w:tcPr>
                  <w:tcW w:w="12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3942</w:t>
                  </w:r>
                </w:p>
              </w:tc>
              <w:tc>
                <w:tcPr>
                  <w:tcW w:w="484" w:type="dxa"/>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0.8</w:t>
                  </w:r>
                </w:p>
              </w:tc>
              <w:tc>
                <w:tcPr>
                  <w:tcW w:w="9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2.16</w:t>
                  </w:r>
                </w:p>
              </w:tc>
              <w:tc>
                <w:tcPr>
                  <w:tcW w:w="8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8.64</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3153.6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4</w:t>
                  </w:r>
                </w:p>
              </w:tc>
              <w:tc>
                <w:tcPr>
                  <w:tcW w:w="109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实验室用水</w:t>
                  </w:r>
                </w:p>
              </w:tc>
              <w:tc>
                <w:tcPr>
                  <w:tcW w:w="9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10L</w:t>
                  </w:r>
                  <w:r>
                    <w:rPr>
                      <w:rFonts w:hint="default" w:ascii="Times New Roman" w:hAnsi="Times New Roman" w:eastAsia="宋体" w:cs="Times New Roman"/>
                      <w:i w:val="0"/>
                      <w:iCs w:val="0"/>
                      <w:color w:val="auto"/>
                      <w:kern w:val="0"/>
                      <w:sz w:val="21"/>
                      <w:szCs w:val="21"/>
                      <w:u w:val="none" w:color="auto"/>
                      <w:lang w:val="en-US" w:eastAsia="zh-CN" w:bidi="ar"/>
                    </w:rPr>
                    <w:t>/</w:t>
                  </w:r>
                  <w:r>
                    <w:rPr>
                      <w:rFonts w:hint="eastAsia" w:ascii="宋体" w:hAnsi="宋体" w:eastAsia="宋体" w:cs="宋体"/>
                      <w:i w:val="0"/>
                      <w:iCs w:val="0"/>
                      <w:color w:val="auto"/>
                      <w:kern w:val="0"/>
                      <w:sz w:val="21"/>
                      <w:szCs w:val="21"/>
                      <w:u w:val="none" w:color="auto"/>
                      <w:lang w:val="en-US" w:eastAsia="zh-CN" w:bidi="ar"/>
                    </w:rPr>
                    <w:t>人</w:t>
                  </w:r>
                  <w:r>
                    <w:rPr>
                      <w:rFonts w:hint="default" w:ascii="Times New Roman" w:hAnsi="Times New Roman" w:eastAsia="宋体" w:cs="Times New Roman"/>
                      <w:b/>
                      <w:bCs/>
                      <w:i w:val="0"/>
                      <w:iCs w:val="0"/>
                      <w:color w:val="auto"/>
                      <w:kern w:val="0"/>
                      <w:sz w:val="21"/>
                      <w:szCs w:val="21"/>
                      <w:u w:val="none" w:color="auto"/>
                      <w:lang w:val="en-US" w:eastAsia="zh-CN" w:bidi="ar"/>
                    </w:rPr>
                    <w:t>·</w:t>
                  </w:r>
                  <w:r>
                    <w:rPr>
                      <w:rFonts w:hint="eastAsia" w:ascii="宋体" w:hAnsi="宋体" w:eastAsia="宋体" w:cs="宋体"/>
                      <w:i w:val="0"/>
                      <w:iCs w:val="0"/>
                      <w:color w:val="auto"/>
                      <w:kern w:val="0"/>
                      <w:sz w:val="21"/>
                      <w:szCs w:val="21"/>
                      <w:u w:val="none" w:color="auto"/>
                      <w:lang w:val="en-US" w:eastAsia="zh-CN" w:bidi="ar"/>
                    </w:rPr>
                    <w:t>次</w:t>
                  </w:r>
                </w:p>
              </w:tc>
              <w:tc>
                <w:tcPr>
                  <w:tcW w:w="73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20人</w:t>
                  </w:r>
                </w:p>
              </w:tc>
              <w:tc>
                <w:tcPr>
                  <w:tcW w:w="7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0.1</w:t>
                  </w:r>
                </w:p>
              </w:tc>
              <w:tc>
                <w:tcPr>
                  <w:tcW w:w="12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36.5</w:t>
                  </w:r>
                </w:p>
              </w:tc>
              <w:tc>
                <w:tcPr>
                  <w:tcW w:w="484" w:type="dxa"/>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0.8</w:t>
                  </w:r>
                </w:p>
              </w:tc>
              <w:tc>
                <w:tcPr>
                  <w:tcW w:w="9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0.02</w:t>
                  </w:r>
                </w:p>
              </w:tc>
              <w:tc>
                <w:tcPr>
                  <w:tcW w:w="8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0.08</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ascii="Times New Roman" w:hAnsi="Times New Roman" w:eastAsia="宋体" w:cs="Times New Roman"/>
                      <w:i w:val="0"/>
                      <w:iCs w:val="0"/>
                      <w:color w:val="auto"/>
                      <w:kern w:val="0"/>
                      <w:sz w:val="21"/>
                      <w:szCs w:val="21"/>
                      <w:u w:val="none" w:color="auto"/>
                      <w:lang w:val="en-US" w:eastAsia="zh-CN" w:bidi="ar"/>
                    </w:rPr>
                    <w:t>5</w:t>
                  </w:r>
                </w:p>
              </w:tc>
              <w:tc>
                <w:tcPr>
                  <w:tcW w:w="109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宋体" w:hAnsi="宋体" w:eastAsia="宋体" w:cs="宋体"/>
                      <w:i w:val="0"/>
                      <w:iCs w:val="0"/>
                      <w:color w:val="auto"/>
                      <w:kern w:val="0"/>
                      <w:sz w:val="21"/>
                      <w:szCs w:val="21"/>
                      <w:u w:val="none" w:color="auto"/>
                      <w:lang w:val="en-US" w:eastAsia="zh-CN" w:bidi="ar"/>
                    </w:rPr>
                    <w:t>洗衣房</w:t>
                  </w:r>
                </w:p>
              </w:tc>
              <w:tc>
                <w:tcPr>
                  <w:tcW w:w="9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i w:val="0"/>
                      <w:iCs w:val="0"/>
                      <w:color w:val="auto"/>
                      <w:kern w:val="0"/>
                      <w:sz w:val="21"/>
                      <w:szCs w:val="21"/>
                      <w:u w:val="none" w:color="auto"/>
                      <w:lang w:val="en-US" w:eastAsia="zh-CN" w:bidi="ar"/>
                    </w:rPr>
                    <w:t>70</w:t>
                  </w:r>
                  <w:r>
                    <w:rPr>
                      <w:rFonts w:hint="default" w:ascii="Times New Roman" w:hAnsi="Times New Roman" w:eastAsia="宋体" w:cs="Times New Roman"/>
                      <w:i w:val="0"/>
                      <w:iCs w:val="0"/>
                      <w:color w:val="auto"/>
                      <w:kern w:val="0"/>
                      <w:sz w:val="21"/>
                      <w:szCs w:val="21"/>
                      <w:u w:val="none" w:color="auto"/>
                      <w:lang w:val="en-US" w:eastAsia="zh-CN" w:bidi="ar"/>
                    </w:rPr>
                    <w:t>L/</w:t>
                  </w:r>
                  <w:r>
                    <w:rPr>
                      <w:rFonts w:hint="eastAsia" w:ascii="宋体" w:hAnsi="宋体" w:eastAsia="宋体" w:cs="宋体"/>
                      <w:i w:val="0"/>
                      <w:iCs w:val="0"/>
                      <w:color w:val="auto"/>
                      <w:kern w:val="0"/>
                      <w:sz w:val="21"/>
                      <w:szCs w:val="21"/>
                      <w:u w:val="none" w:color="auto"/>
                      <w:lang w:val="en-US" w:eastAsia="zh-CN" w:bidi="ar"/>
                    </w:rPr>
                    <w:t>kg</w:t>
                  </w:r>
                </w:p>
              </w:tc>
              <w:tc>
                <w:tcPr>
                  <w:tcW w:w="73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i w:val="0"/>
                      <w:iCs w:val="0"/>
                      <w:color w:val="auto"/>
                      <w:kern w:val="0"/>
                      <w:sz w:val="21"/>
                      <w:szCs w:val="21"/>
                      <w:u w:val="none" w:color="auto"/>
                      <w:lang w:val="en-US" w:eastAsia="zh-CN" w:bidi="ar"/>
                    </w:rPr>
                    <w:t>10</w:t>
                  </w:r>
                  <w:r>
                    <w:rPr>
                      <w:rFonts w:hint="eastAsia" w:ascii="宋体" w:hAnsi="宋体" w:eastAsia="宋体" w:cs="宋体"/>
                      <w:i w:val="0"/>
                      <w:iCs w:val="0"/>
                      <w:color w:val="auto"/>
                      <w:kern w:val="0"/>
                      <w:sz w:val="21"/>
                      <w:szCs w:val="21"/>
                      <w:u w:val="none" w:color="auto"/>
                      <w:lang w:val="en-US" w:eastAsia="zh-CN" w:bidi="ar"/>
                    </w:rPr>
                    <w:t>kg/d</w:t>
                  </w:r>
                </w:p>
              </w:tc>
              <w:tc>
                <w:tcPr>
                  <w:tcW w:w="7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0.7</w:t>
                  </w:r>
                </w:p>
              </w:tc>
              <w:tc>
                <w:tcPr>
                  <w:tcW w:w="12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255.5</w:t>
                  </w:r>
                </w:p>
              </w:tc>
              <w:tc>
                <w:tcPr>
                  <w:tcW w:w="484" w:type="dxa"/>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0.9</w:t>
                  </w:r>
                </w:p>
              </w:tc>
              <w:tc>
                <w:tcPr>
                  <w:tcW w:w="9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0.07</w:t>
                  </w:r>
                </w:p>
              </w:tc>
              <w:tc>
                <w:tcPr>
                  <w:tcW w:w="8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0.63</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 w:hRule="atLeast"/>
              </w:trPr>
              <w:tc>
                <w:tcPr>
                  <w:tcW w:w="29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ascii="Times New Roman" w:hAnsi="Times New Roman" w:eastAsia="宋体" w:cs="Times New Roman"/>
                      <w:i w:val="0"/>
                      <w:iCs w:val="0"/>
                      <w:color w:val="auto"/>
                      <w:kern w:val="0"/>
                      <w:sz w:val="21"/>
                      <w:szCs w:val="21"/>
                      <w:u w:val="none" w:color="auto"/>
                      <w:lang w:val="en-US" w:eastAsia="zh-CN" w:bidi="ar"/>
                    </w:rPr>
                    <w:t>6</w:t>
                  </w:r>
                </w:p>
              </w:tc>
              <w:tc>
                <w:tcPr>
                  <w:tcW w:w="109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color="auto"/>
                      <w:lang w:val="en-US" w:eastAsia="zh-CN" w:bidi="ar"/>
                    </w:rPr>
                  </w:pPr>
                  <w:r>
                    <w:rPr>
                      <w:rFonts w:hint="eastAsia" w:ascii="宋体" w:hAnsi="宋体" w:eastAsia="宋体" w:cs="宋体"/>
                      <w:i w:val="0"/>
                      <w:iCs w:val="0"/>
                      <w:color w:val="auto"/>
                      <w:kern w:val="0"/>
                      <w:sz w:val="21"/>
                      <w:szCs w:val="21"/>
                      <w:u w:val="none" w:color="auto"/>
                      <w:lang w:val="en-US" w:eastAsia="zh-CN" w:bidi="ar"/>
                    </w:rPr>
                    <w:t>食堂用水</w:t>
                  </w:r>
                </w:p>
              </w:tc>
              <w:tc>
                <w:tcPr>
                  <w:tcW w:w="9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default" w:ascii="Times New Roman" w:hAnsi="Times New Roman" w:eastAsia="宋体" w:cs="Times New Roman"/>
                      <w:color w:val="auto"/>
                      <w:kern w:val="0"/>
                      <w:sz w:val="24"/>
                      <w:szCs w:val="24"/>
                      <w:lang w:val="en-US" w:eastAsia="zh-CN" w:bidi="ar"/>
                    </w:rPr>
                    <w:t>20L/</w:t>
                  </w:r>
                  <w:r>
                    <w:rPr>
                      <w:rFonts w:hint="eastAsia" w:ascii="Times New Roman" w:hAnsi="Times New Roman" w:eastAsia="宋体" w:cs="Times New Roman"/>
                      <w:color w:val="auto"/>
                      <w:kern w:val="0"/>
                      <w:sz w:val="24"/>
                      <w:szCs w:val="24"/>
                      <w:lang w:val="en-US" w:eastAsia="zh-CN" w:bidi="ar"/>
                    </w:rPr>
                    <w:t>d</w:t>
                  </w:r>
                </w:p>
              </w:tc>
              <w:tc>
                <w:tcPr>
                  <w:tcW w:w="73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ascii="Times New Roman" w:hAnsi="Times New Roman" w:eastAsia="宋体" w:cs="Times New Roman"/>
                      <w:i w:val="0"/>
                      <w:iCs w:val="0"/>
                      <w:color w:val="auto"/>
                      <w:kern w:val="0"/>
                      <w:sz w:val="21"/>
                      <w:szCs w:val="21"/>
                      <w:u w:val="none" w:color="auto"/>
                      <w:lang w:val="en-US" w:eastAsia="zh-CN" w:bidi="ar"/>
                    </w:rPr>
                    <w:t>72人</w:t>
                  </w:r>
                </w:p>
              </w:tc>
              <w:tc>
                <w:tcPr>
                  <w:tcW w:w="7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1.44</w:t>
                  </w:r>
                </w:p>
              </w:tc>
              <w:tc>
                <w:tcPr>
                  <w:tcW w:w="12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525.6</w:t>
                  </w:r>
                </w:p>
              </w:tc>
              <w:tc>
                <w:tcPr>
                  <w:tcW w:w="484" w:type="dxa"/>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0.8</w:t>
                  </w:r>
                </w:p>
              </w:tc>
              <w:tc>
                <w:tcPr>
                  <w:tcW w:w="9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0.288</w:t>
                  </w:r>
                </w:p>
              </w:tc>
              <w:tc>
                <w:tcPr>
                  <w:tcW w:w="8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1.152</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420.48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7" w:type="dxa"/>
                  <w:gridSpan w:val="2"/>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lang w:val="en-US" w:eastAsia="zh-CN"/>
                    </w:rPr>
                  </w:pPr>
                  <w:r>
                    <w:rPr>
                      <w:rFonts w:hint="eastAsia" w:ascii="宋体" w:hAnsi="宋体" w:eastAsia="宋体" w:cs="宋体"/>
                      <w:i w:val="0"/>
                      <w:iCs w:val="0"/>
                      <w:color w:val="auto"/>
                      <w:kern w:val="0"/>
                      <w:sz w:val="21"/>
                      <w:szCs w:val="21"/>
                      <w:u w:val="none" w:color="auto"/>
                      <w:lang w:val="en-US" w:eastAsia="zh-CN" w:bidi="ar"/>
                    </w:rPr>
                    <w:t>合计</w:t>
                  </w:r>
                </w:p>
              </w:tc>
              <w:tc>
                <w:tcPr>
                  <w:tcW w:w="9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i w:val="0"/>
                      <w:iCs w:val="0"/>
                      <w:color w:val="auto"/>
                      <w:kern w:val="0"/>
                      <w:sz w:val="21"/>
                      <w:szCs w:val="21"/>
                      <w:u w:val="none" w:color="auto"/>
                      <w:lang w:val="en-US" w:eastAsia="zh-CN" w:bidi="ar"/>
                    </w:rPr>
                    <w:t>/</w:t>
                  </w:r>
                </w:p>
              </w:tc>
              <w:tc>
                <w:tcPr>
                  <w:tcW w:w="73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i w:val="0"/>
                      <w:iCs w:val="0"/>
                      <w:color w:val="auto"/>
                      <w:kern w:val="0"/>
                      <w:sz w:val="21"/>
                      <w:szCs w:val="21"/>
                      <w:u w:val="none" w:color="auto"/>
                      <w:lang w:val="en-US" w:eastAsia="zh-CN" w:bidi="ar"/>
                    </w:rPr>
                    <w:t>/</w:t>
                  </w:r>
                </w:p>
              </w:tc>
              <w:tc>
                <w:tcPr>
                  <w:tcW w:w="77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rPr>
                  </w:pPr>
                  <w:r>
                    <w:rPr>
                      <w:rFonts w:hint="default" w:ascii="Times New Roman" w:hAnsi="Times New Roman" w:eastAsia="宋体" w:cs="Times New Roman"/>
                      <w:i w:val="0"/>
                      <w:iCs w:val="0"/>
                      <w:color w:val="auto"/>
                      <w:kern w:val="0"/>
                      <w:sz w:val="21"/>
                      <w:szCs w:val="21"/>
                      <w:u w:val="none"/>
                      <w:lang w:val="en-US" w:eastAsia="zh-CN" w:bidi="ar"/>
                    </w:rPr>
                    <w:t>22.04</w:t>
                  </w:r>
                </w:p>
              </w:tc>
              <w:tc>
                <w:tcPr>
                  <w:tcW w:w="12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yellow"/>
                      <w:u w:val="none" w:color="auto"/>
                      <w:vertAlign w:val="baseline"/>
                      <w:lang w:val="en-US"/>
                    </w:rPr>
                  </w:pPr>
                  <w:r>
                    <w:rPr>
                      <w:rFonts w:hint="default" w:ascii="Times New Roman" w:hAnsi="Times New Roman" w:eastAsia="宋体" w:cs="Times New Roman"/>
                      <w:i w:val="0"/>
                      <w:iCs w:val="0"/>
                      <w:color w:val="auto"/>
                      <w:kern w:val="0"/>
                      <w:sz w:val="21"/>
                      <w:szCs w:val="21"/>
                      <w:u w:val="none"/>
                      <w:lang w:val="en-US" w:eastAsia="zh-CN" w:bidi="ar"/>
                    </w:rPr>
                    <w:t>8044.6</w:t>
                  </w:r>
                </w:p>
              </w:tc>
              <w:tc>
                <w:tcPr>
                  <w:tcW w:w="48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9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rPr>
                  </w:pPr>
                  <w:r>
                    <w:rPr>
                      <w:rFonts w:hint="default" w:ascii="Times New Roman" w:hAnsi="Times New Roman" w:eastAsia="宋体" w:cs="Times New Roman"/>
                      <w:i w:val="0"/>
                      <w:iCs w:val="0"/>
                      <w:color w:val="auto"/>
                      <w:kern w:val="0"/>
                      <w:sz w:val="21"/>
                      <w:szCs w:val="21"/>
                      <w:u w:val="none"/>
                      <w:lang w:val="en-US" w:eastAsia="zh-CN" w:bidi="ar"/>
                    </w:rPr>
                    <w:t>4.338</w:t>
                  </w:r>
                </w:p>
              </w:tc>
              <w:tc>
                <w:tcPr>
                  <w:tcW w:w="8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vertAlign w:val="baseline"/>
                      <w:lang w:val="en-US"/>
                    </w:rPr>
                  </w:pPr>
                  <w:r>
                    <w:rPr>
                      <w:rFonts w:hint="default" w:ascii="Times New Roman" w:hAnsi="Times New Roman" w:eastAsia="宋体" w:cs="Times New Roman"/>
                      <w:i w:val="0"/>
                      <w:iCs w:val="0"/>
                      <w:color w:val="auto"/>
                      <w:kern w:val="0"/>
                      <w:sz w:val="21"/>
                      <w:szCs w:val="21"/>
                      <w:u w:val="none"/>
                      <w:lang w:val="en-US" w:eastAsia="zh-CN" w:bidi="ar"/>
                    </w:rPr>
                    <w:t>17.702</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yellow"/>
                      <w:u w:val="none" w:color="auto"/>
                      <w:vertAlign w:val="baseline"/>
                      <w:lang w:val="en-US"/>
                    </w:rPr>
                  </w:pPr>
                  <w:r>
                    <w:rPr>
                      <w:rFonts w:hint="default" w:ascii="Times New Roman" w:hAnsi="Times New Roman" w:eastAsia="宋体" w:cs="Times New Roman"/>
                      <w:i w:val="0"/>
                      <w:iCs w:val="0"/>
                      <w:color w:val="auto"/>
                      <w:kern w:val="0"/>
                      <w:sz w:val="21"/>
                      <w:szCs w:val="21"/>
                      <w:u w:val="none"/>
                      <w:lang w:val="en-US" w:eastAsia="zh-CN" w:bidi="ar"/>
                    </w:rPr>
                    <w:t>6461.23</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drawing>
                <wp:inline distT="0" distB="0" distL="114300" distR="114300">
                  <wp:extent cx="5326380" cy="3790315"/>
                  <wp:effectExtent l="0" t="0" r="0" b="0"/>
                  <wp:docPr id="126" name="ECB019B1-382A-4266-B25C-5B523AA43C14-1" descr="C:/Users/Administrator/AppData/Local/Temp/wps.fkqTK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ECB019B1-382A-4266-B25C-5B523AA43C14-1" descr="C:/Users/Administrator/AppData/Local/Temp/wps.fkqTKqwps"/>
                          <pic:cNvPicPr>
                            <a:picLocks noChangeAspect="1"/>
                          </pic:cNvPicPr>
                        </pic:nvPicPr>
                        <pic:blipFill>
                          <a:blip r:embed="rId12"/>
                          <a:stretch>
                            <a:fillRect/>
                          </a:stretch>
                        </pic:blipFill>
                        <pic:spPr>
                          <a:xfrm>
                            <a:off x="0" y="0"/>
                            <a:ext cx="5326380" cy="37903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图2-1 水平衡图（单位：m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（4）</w:t>
            </w:r>
            <w:r>
              <w:rPr>
                <w:rFonts w:hint="default" w:ascii="Times New Roman" w:hAnsi="Times New Roman" w:eastAsia="宋体" w:cs="Times New Roman"/>
                <w:bCs/>
                <w:color w:val="auto"/>
                <w:sz w:val="24"/>
                <w:szCs w:val="24"/>
                <w:u w:val="none" w:color="auto"/>
              </w:rPr>
              <w:t>供电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项目用电为当地</w:t>
            </w:r>
            <w:r>
              <w:rPr>
                <w:rFonts w:hint="default" w:ascii="Times New Roman" w:hAnsi="Times New Roman" w:eastAsia="宋体" w:cs="Times New Roman"/>
                <w:bCs/>
                <w:color w:val="auto"/>
                <w:sz w:val="24"/>
                <w:szCs w:val="24"/>
                <w:highlight w:val="none"/>
                <w:u w:val="none" w:color="auto"/>
              </w:rPr>
              <w:t>供电系统</w:t>
            </w:r>
            <w:r>
              <w:rPr>
                <w:rFonts w:hint="default" w:ascii="Times New Roman" w:hAnsi="Times New Roman" w:eastAsia="宋体" w:cs="Times New Roman"/>
                <w:color w:val="auto"/>
                <w:sz w:val="24"/>
                <w:szCs w:val="24"/>
                <w:highlight w:val="none"/>
                <w:u w:val="none" w:color="auto"/>
              </w:rPr>
              <w:t>提供，一路10kV电源+自备柴油发电机供电，采用双回路供电，一台备用柴油发电机</w:t>
            </w:r>
            <w:r>
              <w:rPr>
                <w:rFonts w:hint="eastAsia" w:cs="Times New Roman"/>
                <w:color w:val="auto"/>
                <w:sz w:val="24"/>
                <w:szCs w:val="24"/>
                <w:highlight w:val="none"/>
                <w:u w:val="none" w:color="auto"/>
                <w:lang w:val="en-US" w:eastAsia="zh-CN"/>
              </w:rPr>
              <w:t>位</w:t>
            </w:r>
            <w:r>
              <w:rPr>
                <w:rFonts w:hint="default" w:ascii="Times New Roman" w:hAnsi="Times New Roman" w:eastAsia="宋体" w:cs="Times New Roman"/>
                <w:color w:val="auto"/>
                <w:sz w:val="24"/>
                <w:szCs w:val="24"/>
                <w:highlight w:val="none"/>
                <w:u w:val="none" w:color="auto"/>
              </w:rPr>
              <w:t>于发电机房。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5</w:t>
            </w:r>
            <w:r>
              <w:rPr>
                <w:rFonts w:hint="default" w:ascii="Times New Roman" w:hAnsi="Times New Roman" w:eastAsia="宋体" w:cs="Times New Roman"/>
                <w:color w:val="auto"/>
                <w:sz w:val="24"/>
                <w:szCs w:val="24"/>
                <w:u w:val="none" w:color="auto"/>
              </w:rPr>
              <w:t>）供暖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本项目不设置锅炉，由空调供暖。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6</w:t>
            </w:r>
            <w:r>
              <w:rPr>
                <w:rFonts w:hint="default" w:ascii="Times New Roman" w:hAnsi="Times New Roman" w:eastAsia="宋体" w:cs="Times New Roman"/>
                <w:color w:val="auto"/>
                <w:sz w:val="24"/>
                <w:szCs w:val="24"/>
                <w:u w:val="none" w:color="auto"/>
              </w:rPr>
              <w:t>）供热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w:t>
            </w:r>
            <w:r>
              <w:rPr>
                <w:rFonts w:hint="default" w:ascii="Times New Roman" w:hAnsi="Times New Roman" w:eastAsia="宋体" w:cs="Times New Roman"/>
                <w:bCs/>
                <w:color w:val="auto"/>
                <w:sz w:val="24"/>
                <w:szCs w:val="24"/>
                <w:u w:val="none" w:color="auto"/>
              </w:rPr>
              <w:t>项目</w:t>
            </w:r>
            <w:r>
              <w:rPr>
                <w:rFonts w:hint="default" w:ascii="Times New Roman" w:hAnsi="Times New Roman" w:eastAsia="宋体" w:cs="Times New Roman"/>
                <w:color w:val="auto"/>
                <w:sz w:val="24"/>
                <w:szCs w:val="24"/>
                <w:u w:val="none" w:color="auto"/>
              </w:rPr>
              <w:t>不设置锅炉供热，所需热水由电能提供。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7</w:t>
            </w:r>
            <w:r>
              <w:rPr>
                <w:rFonts w:hint="default" w:ascii="Times New Roman" w:hAnsi="Times New Roman" w:eastAsia="宋体" w:cs="Times New Roman"/>
                <w:color w:val="auto"/>
                <w:sz w:val="24"/>
                <w:szCs w:val="24"/>
                <w:u w:val="none" w:color="auto"/>
              </w:rPr>
              <w:t>）通风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各设备用房设机械排</w:t>
            </w:r>
            <w:r>
              <w:rPr>
                <w:rFonts w:hint="eastAsia" w:ascii="Times New Roman" w:hAnsi="Times New Roman" w:eastAsia="宋体" w:cs="Times New Roman"/>
                <w:color w:val="auto"/>
                <w:sz w:val="24"/>
                <w:szCs w:val="24"/>
                <w:u w:val="none" w:color="auto"/>
                <w:lang w:val="en-US" w:eastAsia="zh-CN"/>
              </w:rPr>
              <w:t>风</w:t>
            </w:r>
            <w:r>
              <w:rPr>
                <w:rFonts w:hint="default" w:ascii="Times New Roman" w:hAnsi="Times New Roman" w:eastAsia="宋体" w:cs="Times New Roman"/>
                <w:color w:val="auto"/>
                <w:sz w:val="24"/>
                <w:szCs w:val="24"/>
                <w:u w:val="none" w:color="auto"/>
              </w:rPr>
              <w:t>系统；各病房及卫生间设换气设施；检验室设通风换气设施。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8</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kern w:val="2"/>
                <w:sz w:val="24"/>
                <w:szCs w:val="24"/>
                <w:u w:val="none" w:color="auto"/>
                <w:lang w:val="en-US" w:eastAsia="zh-CN" w:bidi="ar-SA"/>
              </w:rPr>
              <w:t>消防设计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rPr>
            </w:pPr>
            <w:r>
              <w:rPr>
                <w:rFonts w:hint="default" w:ascii="Times New Roman" w:hAnsi="Times New Roman" w:eastAsia="宋体" w:cs="Times New Roman"/>
                <w:color w:val="auto"/>
                <w:sz w:val="24"/>
                <w:szCs w:val="24"/>
                <w:u w:val="none" w:color="auto"/>
              </w:rPr>
              <w:t>本项目根据《建筑设计防火规范</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lang w:val="en-US" w:eastAsia="zh-CN"/>
              </w:rPr>
              <w:t>2018年版</w:t>
            </w:r>
            <w:r>
              <w:rPr>
                <w:rFonts w:hint="eastAsia"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》（GB50016-20</w:t>
            </w:r>
            <w:r>
              <w:rPr>
                <w:rFonts w:hint="eastAsia" w:ascii="Times New Roman" w:hAnsi="Times New Roman" w:eastAsia="宋体" w:cs="Times New Roman"/>
                <w:color w:val="auto"/>
                <w:sz w:val="24"/>
                <w:szCs w:val="24"/>
                <w:u w:val="none" w:color="auto"/>
                <w:lang w:val="en-US" w:eastAsia="zh-CN"/>
              </w:rPr>
              <w:t>14</w:t>
            </w:r>
            <w:r>
              <w:rPr>
                <w:rFonts w:hint="default" w:ascii="Times New Roman" w:hAnsi="Times New Roman" w:eastAsia="宋体" w:cs="Times New Roman"/>
                <w:color w:val="auto"/>
                <w:sz w:val="24"/>
                <w:szCs w:val="24"/>
                <w:u w:val="none" w:color="auto"/>
              </w:rPr>
              <w:t>）的相关规定，设置消火</w:t>
            </w:r>
            <w:r>
              <w:rPr>
                <w:rFonts w:hint="default" w:ascii="Times New Roman" w:hAnsi="Times New Roman" w:eastAsia="宋体" w:cs="Times New Roman"/>
                <w:color w:val="auto"/>
                <w:spacing w:val="-2"/>
                <w:sz w:val="24"/>
                <w:szCs w:val="24"/>
                <w:u w:val="none" w:color="auto"/>
              </w:rPr>
              <w:t>栓给水系统。室内消防给水系统与生活给水系统分开独立设置，并在各科室、病房</w:t>
            </w:r>
            <w:r>
              <w:rPr>
                <w:rFonts w:hint="default" w:ascii="Times New Roman" w:hAnsi="Times New Roman" w:eastAsia="宋体" w:cs="Times New Roman"/>
                <w:color w:val="auto"/>
                <w:sz w:val="24"/>
                <w:szCs w:val="24"/>
                <w:u w:val="none" w:color="auto"/>
              </w:rPr>
              <w:t>内等配置普通灭火器。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dxa"/>
            <w:noWrap w:val="0"/>
            <w:vAlign w:val="center"/>
          </w:tcPr>
          <w:p>
            <w:pPr>
              <w:pStyle w:val="18"/>
              <w:adjustRightInd w:val="0"/>
              <w:snapToGrid w:val="0"/>
              <w:spacing w:before="0" w:beforeAutospacing="0" w:after="0" w:afterAutospacing="0"/>
              <w:jc w:val="center"/>
              <w:rPr>
                <w:rFonts w:cs="宋体"/>
                <w:color w:val="auto"/>
                <w:sz w:val="24"/>
                <w:szCs w:val="24"/>
                <w:u w:val="none" w:color="auto"/>
              </w:rPr>
            </w:pPr>
            <w:r>
              <w:rPr>
                <w:rFonts w:hint="eastAsia" w:cs="宋体"/>
                <w:color w:val="auto"/>
                <w:sz w:val="24"/>
                <w:szCs w:val="24"/>
                <w:u w:val="none" w:color="auto"/>
              </w:rPr>
              <w:t>工艺流程和产排污环节</w:t>
            </w:r>
          </w:p>
        </w:tc>
        <w:tc>
          <w:tcPr>
            <w:tcW w:w="858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2.3工艺流程简述</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2.3.1施工期工艺流程及产污位置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highlight w:val="none"/>
                <w:u w:val="none" w:color="auto"/>
                <w:lang w:val="en-US" w:eastAsia="zh-CN"/>
              </w:rPr>
            </w:pPr>
            <w:r>
              <w:rPr>
                <w:rFonts w:hint="eastAsia" w:ascii="Times New Roman" w:hAnsi="Times New Roman" w:eastAsia="宋体" w:cs="Times New Roman"/>
                <w:bCs/>
                <w:color w:val="auto"/>
                <w:sz w:val="24"/>
                <w:szCs w:val="24"/>
                <w:highlight w:val="none"/>
                <w:u w:val="none" w:color="auto"/>
                <w:lang w:val="en-US" w:eastAsia="zh-CN"/>
              </w:rPr>
              <w:t>本项目施工期工艺流程如图2-2所示。施工期的主要污染物如下：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施工期的影响主要是在施工过程中产生的废水、废气、噪声以及固体废物对环境的影响。</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废水：地基开挖、基础打桩产生的施工废水以及在建设过程中施工人员产生的废水。</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0"/>
              <w:jc w:val="left"/>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废气：施工过程产生的扬尘以及装修时产生的废气。</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0"/>
              <w:jc w:val="left"/>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噪声：施工过程中产生的机械噪声以及设备噪声。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Cs/>
                <w:color w:val="auto"/>
                <w:sz w:val="24"/>
                <w:szCs w:val="24"/>
                <w:highlight w:val="none"/>
                <w:u w:val="none" w:color="auto"/>
                <w:lang w:val="en-US" w:eastAsia="zh-CN"/>
              </w:rPr>
            </w:pPr>
            <w:r>
              <w:rPr>
                <w:rFonts w:hint="eastAsia" w:ascii="Times New Roman" w:hAnsi="Times New Roman" w:eastAsia="宋体" w:cs="Times New Roman"/>
                <w:color w:val="auto"/>
                <w:sz w:val="24"/>
                <w:szCs w:val="24"/>
                <w:u w:val="none" w:color="auto"/>
                <w:lang w:val="en-US" w:eastAsia="zh-CN"/>
              </w:rPr>
              <w:t>（4）固体废物：施工过程中产生的土石方、建筑垃圾以及包装废物。</w:t>
            </w:r>
          </w:p>
          <w:p>
            <w:pPr>
              <w:pStyle w:val="10"/>
              <w:bidi w:val="0"/>
              <w:rPr>
                <w:color w:val="auto"/>
                <w:u w:val="none" w:color="auto"/>
              </w:rPr>
            </w:pPr>
            <w:r>
              <w:rPr>
                <w:color w:val="auto"/>
                <w:u w:val="none" w:color="auto"/>
              </w:rPr>
              <w:t>本项目为</w:t>
            </w:r>
            <w:r>
              <w:rPr>
                <w:rFonts w:hint="eastAsia"/>
                <w:color w:val="auto"/>
                <w:u w:val="none" w:color="auto"/>
              </w:rPr>
              <w:t>改</w:t>
            </w:r>
            <w:r>
              <w:rPr>
                <w:color w:val="auto"/>
                <w:u w:val="none" w:color="auto"/>
              </w:rPr>
              <w:t>扩建项目，根据项目的建设内容，项目施工期包括</w:t>
            </w:r>
            <w:r>
              <w:rPr>
                <w:rFonts w:hint="eastAsia"/>
                <w:color w:val="auto"/>
                <w:u w:val="none" w:color="auto"/>
              </w:rPr>
              <w:t>现有建构筑物的拆除和新</w:t>
            </w:r>
            <w:r>
              <w:rPr>
                <w:color w:val="auto"/>
                <w:u w:val="none" w:color="auto"/>
              </w:rPr>
              <w:t>建（构）筑物建设，其工艺流程及产污环节详见图</w:t>
            </w:r>
            <w:r>
              <w:rPr>
                <w:rFonts w:hint="eastAsia"/>
                <w:color w:val="auto"/>
                <w:u w:val="none" w:color="auto"/>
              </w:rPr>
              <w:t>2-</w:t>
            </w:r>
            <w:r>
              <w:rPr>
                <w:rFonts w:hint="eastAsia"/>
                <w:color w:val="auto"/>
                <w:u w:val="none" w:color="auto"/>
                <w:lang w:val="en-US" w:eastAsia="zh-CN"/>
              </w:rPr>
              <w:t>2</w:t>
            </w:r>
            <w:r>
              <w:rPr>
                <w:color w:val="auto"/>
                <w:u w:val="none" w:color="auto"/>
              </w:rPr>
              <w:t>。</w:t>
            </w:r>
          </w:p>
          <w:p>
            <w:pPr>
              <w:rPr>
                <w:rFonts w:hint="eastAsia" w:eastAsia="宋体"/>
                <w:color w:val="auto"/>
                <w:lang w:eastAsia="zh-CN"/>
              </w:rPr>
            </w:pPr>
            <w:r>
              <w:rPr>
                <w:rFonts w:hint="eastAsia" w:eastAsia="宋体"/>
                <w:color w:val="auto"/>
                <w:lang w:eastAsia="zh-CN"/>
              </w:rPr>
              <w:drawing>
                <wp:inline distT="0" distB="0" distL="114300" distR="114300">
                  <wp:extent cx="5309235" cy="2199005"/>
                  <wp:effectExtent l="0" t="0" r="0" b="0"/>
                  <wp:docPr id="66" name="ECB019B1-382A-4266-B25C-5B523AA43C14-2" descr="C:/Users/Administrator/AppData/Local/Temp/wps.XrSUY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ECB019B1-382A-4266-B25C-5B523AA43C14-2" descr="C:/Users/Administrator/AppData/Local/Temp/wps.XrSUYYwps"/>
                          <pic:cNvPicPr>
                            <a:picLocks noChangeAspect="1"/>
                          </pic:cNvPicPr>
                        </pic:nvPicPr>
                        <pic:blipFill>
                          <a:blip r:embed="rId13"/>
                          <a:stretch>
                            <a:fillRect/>
                          </a:stretch>
                        </pic:blipFill>
                        <pic:spPr>
                          <a:xfrm>
                            <a:off x="0" y="0"/>
                            <a:ext cx="5309235" cy="2199005"/>
                          </a:xfrm>
                          <a:prstGeom prst="rect">
                            <a:avLst/>
                          </a:prstGeom>
                          <a:noFill/>
                          <a:ln>
                            <a:noFill/>
                          </a:ln>
                        </pic:spPr>
                      </pic:pic>
                    </a:graphicData>
                  </a:graphic>
                </wp:inline>
              </w:drawing>
            </w:r>
          </w:p>
          <w:p>
            <w:pPr>
              <w:pStyle w:val="10"/>
              <w:bidi w:val="0"/>
              <w:jc w:val="center"/>
              <w:rPr>
                <w:b/>
                <w:bCs/>
                <w:color w:val="auto"/>
                <w:u w:val="none" w:color="auto"/>
              </w:rPr>
            </w:pPr>
            <w:r>
              <w:rPr>
                <w:b/>
                <w:bCs/>
                <w:color w:val="auto"/>
                <w:u w:val="none" w:color="auto"/>
              </w:rPr>
              <w:t>图</w:t>
            </w:r>
            <w:r>
              <w:rPr>
                <w:rFonts w:hint="eastAsia"/>
                <w:b/>
                <w:bCs/>
                <w:color w:val="auto"/>
                <w:u w:val="none" w:color="auto"/>
              </w:rPr>
              <w:t>2-</w:t>
            </w:r>
            <w:r>
              <w:rPr>
                <w:rFonts w:hint="eastAsia"/>
                <w:b/>
                <w:bCs/>
                <w:color w:val="auto"/>
                <w:u w:val="none" w:color="auto"/>
                <w:lang w:val="en-US" w:eastAsia="zh-CN"/>
              </w:rPr>
              <w:t>2</w:t>
            </w:r>
            <w:r>
              <w:rPr>
                <w:rFonts w:hint="eastAsia"/>
                <w:b/>
                <w:bCs/>
                <w:color w:val="auto"/>
                <w:u w:val="none" w:color="auto"/>
              </w:rPr>
              <w:t xml:space="preserve"> 施工</w:t>
            </w:r>
            <w:r>
              <w:rPr>
                <w:b/>
                <w:bCs/>
                <w:color w:val="auto"/>
                <w:u w:val="none" w:color="auto"/>
              </w:rPr>
              <w:t>工艺流程及产污环节</w:t>
            </w:r>
            <w:r>
              <w:rPr>
                <w:rFonts w:hint="eastAsia"/>
                <w:b/>
                <w:bCs/>
                <w:color w:val="auto"/>
                <w:u w:val="none" w:color="auto"/>
              </w:rPr>
              <w:t>图</w:t>
            </w:r>
          </w:p>
          <w:p>
            <w:pPr>
              <w:pStyle w:val="10"/>
              <w:bidi w:val="0"/>
              <w:rPr>
                <w:color w:val="auto"/>
                <w:u w:val="none" w:color="auto"/>
              </w:rPr>
            </w:pPr>
            <w:r>
              <w:rPr>
                <w:color w:val="auto"/>
                <w:u w:val="none" w:color="auto"/>
              </w:rPr>
              <w:t>施工流程简述：</w:t>
            </w:r>
          </w:p>
          <w:p>
            <w:pPr>
              <w:pStyle w:val="10"/>
              <w:bidi w:val="0"/>
              <w:rPr>
                <w:color w:val="auto"/>
              </w:rPr>
            </w:pPr>
            <w:r>
              <w:rPr>
                <w:color w:val="auto"/>
              </w:rPr>
              <w:t>（</w:t>
            </w:r>
            <w:r>
              <w:rPr>
                <w:rFonts w:hint="eastAsia"/>
                <w:color w:val="auto"/>
                <w:lang w:val="en-US" w:eastAsia="zh-CN"/>
              </w:rPr>
              <w:t>1</w:t>
            </w:r>
            <w:r>
              <w:rPr>
                <w:color w:val="auto"/>
              </w:rPr>
              <w:t>）基础建设：本项目工程的基础建设主要为场地的挖方、填土、平整和夯实；</w:t>
            </w:r>
          </w:p>
          <w:p>
            <w:pPr>
              <w:pStyle w:val="10"/>
              <w:bidi w:val="0"/>
              <w:rPr>
                <w:color w:val="auto"/>
              </w:rPr>
            </w:pPr>
            <w:r>
              <w:rPr>
                <w:color w:val="auto"/>
              </w:rPr>
              <w:t>（</w:t>
            </w:r>
            <w:r>
              <w:rPr>
                <w:rFonts w:hint="eastAsia"/>
                <w:color w:val="auto"/>
                <w:lang w:val="en-US" w:eastAsia="zh-CN"/>
              </w:rPr>
              <w:t>2</w:t>
            </w:r>
            <w:r>
              <w:rPr>
                <w:color w:val="auto"/>
              </w:rPr>
              <w:t>）主体工程：本项目主体工程主要为</w:t>
            </w:r>
            <w:r>
              <w:rPr>
                <w:rFonts w:hint="eastAsia"/>
                <w:color w:val="auto"/>
              </w:rPr>
              <w:t>各建筑物</w:t>
            </w:r>
            <w:r>
              <w:rPr>
                <w:color w:val="auto"/>
              </w:rPr>
              <w:t>的建设、厂区道路的修建等；</w:t>
            </w:r>
          </w:p>
          <w:p>
            <w:pPr>
              <w:pStyle w:val="10"/>
              <w:bidi w:val="0"/>
              <w:rPr>
                <w:color w:val="auto"/>
              </w:rPr>
            </w:pPr>
            <w:r>
              <w:rPr>
                <w:color w:val="auto"/>
              </w:rPr>
              <w:t>（</w:t>
            </w:r>
            <w:r>
              <w:rPr>
                <w:rFonts w:hint="eastAsia"/>
                <w:color w:val="auto"/>
                <w:lang w:val="en-US" w:eastAsia="zh-CN"/>
              </w:rPr>
              <w:t>3</w:t>
            </w:r>
            <w:r>
              <w:rPr>
                <w:color w:val="auto"/>
              </w:rPr>
              <w:t>）装修工程：对</w:t>
            </w:r>
            <w:r>
              <w:rPr>
                <w:rFonts w:hint="eastAsia"/>
                <w:color w:val="auto"/>
                <w:lang w:val="en-US" w:eastAsia="zh-CN"/>
              </w:rPr>
              <w:t>新建综合大楼进行</w:t>
            </w:r>
            <w:r>
              <w:rPr>
                <w:color w:val="auto"/>
              </w:rPr>
              <w:t>装修、安装水电等装修工程；</w:t>
            </w:r>
            <w:r>
              <w:rPr>
                <w:rFonts w:hint="eastAsia"/>
                <w:color w:val="auto"/>
                <w:lang w:val="en-US" w:eastAsia="zh-CN"/>
              </w:rPr>
              <w:t>完</w:t>
            </w:r>
            <w:r>
              <w:rPr>
                <w:color w:val="auto"/>
              </w:rPr>
              <w:t>成后进行工程验收。</w:t>
            </w:r>
          </w:p>
          <w:p>
            <w:pPr>
              <w:pStyle w:val="10"/>
              <w:bidi w:val="0"/>
              <w:rPr>
                <w:rFonts w:hint="default"/>
                <w:color w:val="auto"/>
                <w:lang w:val="en-US" w:eastAsia="zh-CN"/>
              </w:rPr>
            </w:pPr>
            <w:r>
              <w:rPr>
                <w:color w:val="auto"/>
              </w:rPr>
              <w:t>（</w:t>
            </w:r>
            <w:r>
              <w:rPr>
                <w:rFonts w:hint="eastAsia"/>
                <w:color w:val="auto"/>
                <w:lang w:val="en-US" w:eastAsia="zh-CN"/>
              </w:rPr>
              <w:t>4</w:t>
            </w:r>
            <w:r>
              <w:rPr>
                <w:color w:val="auto"/>
              </w:rPr>
              <w:t>）</w:t>
            </w:r>
            <w:r>
              <w:rPr>
                <w:rFonts w:hint="eastAsia"/>
                <w:color w:val="auto"/>
                <w:lang w:val="en-US" w:eastAsia="zh-CN"/>
              </w:rPr>
              <w:t>搬迁：将现有门诊楼设备等搬至新建的综合大楼。</w:t>
            </w:r>
          </w:p>
          <w:p>
            <w:pPr>
              <w:pStyle w:val="10"/>
              <w:bidi w:val="0"/>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拆除工程：对</w:t>
            </w:r>
            <w:r>
              <w:rPr>
                <w:rFonts w:hint="eastAsia"/>
                <w:color w:val="auto"/>
                <w:lang w:val="en-US" w:eastAsia="zh-CN"/>
              </w:rPr>
              <w:t>门诊楼</w:t>
            </w:r>
            <w:r>
              <w:rPr>
                <w:rFonts w:hint="eastAsia"/>
                <w:color w:val="auto"/>
              </w:rPr>
              <w:t>进行拆除</w:t>
            </w:r>
            <w:r>
              <w:rPr>
                <w:rFonts w:hint="eastAsia"/>
                <w:color w:val="auto"/>
                <w:lang w:eastAsia="zh-CN"/>
              </w:rPr>
              <w:t>，</w:t>
            </w:r>
            <w:r>
              <w:rPr>
                <w:rFonts w:hint="eastAsia"/>
                <w:color w:val="auto"/>
                <w:lang w:val="en-US" w:eastAsia="zh-CN"/>
              </w:rPr>
              <w:t>拆除后进行绿化和场地硬化</w:t>
            </w:r>
            <w:r>
              <w:rPr>
                <w:rFonts w:hint="eastAsia"/>
                <w:color w:val="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2.3.2营运期工艺流程及产污位置</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u w:val="none" w:color="auto"/>
              </w:rPr>
            </w:pPr>
            <w:r>
              <w:rPr>
                <w:rFonts w:hint="default" w:ascii="Times New Roman" w:hAnsi="Times New Roman" w:eastAsia="宋体" w:cs="Times New Roman"/>
                <w:bCs/>
                <w:color w:val="auto"/>
                <w:sz w:val="24"/>
                <w:szCs w:val="24"/>
                <w:u w:val="none" w:color="auto"/>
              </w:rPr>
              <w:t>工艺流程</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pacing w:val="-2"/>
                <w:sz w:val="24"/>
                <w:szCs w:val="24"/>
                <w:u w:val="none" w:color="auto"/>
              </w:rPr>
              <w:t>工艺流程简述：患者进入医院门诊部后先挂号，分别由相应科室的医生进行简单诊断，开具检查单后根据病情需要进行一些简单检查，主要为人工检查及医疗器械检查等，根据检查、诊断结果看病人是否需要住院。对于不需住院的，主要进行药物治疗；对于需要住院的病人，进行办理住院手续、住院观察、药物治疗、医院</w:t>
            </w:r>
            <w:r>
              <w:rPr>
                <w:rFonts w:hint="default" w:ascii="Times New Roman" w:hAnsi="Times New Roman" w:eastAsia="宋体" w:cs="Times New Roman"/>
                <w:color w:val="auto"/>
                <w:sz w:val="24"/>
                <w:szCs w:val="24"/>
                <w:u w:val="none" w:color="auto"/>
              </w:rPr>
              <w:t>静养、出院。</w:t>
            </w:r>
            <w:r>
              <w:rPr>
                <w:rFonts w:hint="eastAsia" w:ascii="Times New Roman" w:hAnsi="Times New Roman" w:eastAsia="宋体" w:cs="Times New Roman"/>
                <w:color w:val="auto"/>
                <w:sz w:val="24"/>
                <w:szCs w:val="24"/>
                <w:u w:val="none" w:color="auto"/>
                <w:lang w:val="en-US" w:eastAsia="zh-CN"/>
              </w:rPr>
              <w:t>运营期工艺流程详见图2-3。主要污染物产生情况见表2-5。</w:t>
            </w:r>
          </w:p>
          <w:p>
            <w:pPr>
              <w:autoSpaceDE w:val="0"/>
              <w:autoSpaceDN w:val="0"/>
              <w:snapToGrid w:val="0"/>
              <w:spacing w:line="360" w:lineRule="auto"/>
              <w:ind w:firstLine="480" w:firstLineChars="200"/>
              <w:rPr>
                <w:rFonts w:hint="eastAsia" w:eastAsia="宋体"/>
                <w:b w:val="0"/>
                <w:bCs w:val="0"/>
                <w:color w:val="auto"/>
                <w:kern w:val="0"/>
                <w:sz w:val="24"/>
                <w:u w:val="none" w:color="auto"/>
                <w:lang w:val="en-US" w:eastAsia="zh-CN"/>
              </w:rPr>
            </w:pPr>
            <w:r>
              <w:rPr>
                <w:b w:val="0"/>
                <w:bCs w:val="0"/>
                <w:color w:val="auto"/>
                <w:kern w:val="0"/>
                <w:sz w:val="24"/>
                <w:u w:val="none" w:color="auto"/>
              </w:rPr>
              <w:t>项目运营过程中产生的主要污染物</w:t>
            </w:r>
            <w:r>
              <w:rPr>
                <w:rFonts w:hint="eastAsia"/>
                <w:b w:val="0"/>
                <w:bCs w:val="0"/>
                <w:color w:val="auto"/>
                <w:kern w:val="0"/>
                <w:sz w:val="24"/>
                <w:u w:val="none" w:color="auto"/>
                <w:lang w:val="en-US" w:eastAsia="zh-CN"/>
              </w:rPr>
              <w:t>如下：</w:t>
            </w:r>
          </w:p>
          <w:p>
            <w:pPr>
              <w:autoSpaceDE w:val="0"/>
              <w:autoSpaceDN w:val="0"/>
              <w:snapToGrid w:val="0"/>
              <w:spacing w:line="360" w:lineRule="auto"/>
              <w:ind w:firstLine="480" w:firstLineChars="200"/>
              <w:rPr>
                <w:color w:val="auto"/>
                <w:kern w:val="0"/>
                <w:sz w:val="24"/>
                <w:u w:val="none" w:color="auto"/>
              </w:rPr>
            </w:pPr>
            <w:r>
              <w:rPr>
                <w:rFonts w:hint="eastAsia"/>
                <w:color w:val="auto"/>
                <w:kern w:val="0"/>
                <w:sz w:val="24"/>
                <w:u w:val="none" w:color="auto"/>
              </w:rPr>
              <w:t>①</w:t>
            </w:r>
            <w:r>
              <w:rPr>
                <w:color w:val="auto"/>
                <w:kern w:val="0"/>
                <w:sz w:val="24"/>
                <w:u w:val="none" w:color="auto"/>
              </w:rPr>
              <w:t>废气：营运期废气主要为食堂油烟，备用柴油发电机尾气，污水处理站恶臭等。</w:t>
            </w:r>
          </w:p>
          <w:p>
            <w:pPr>
              <w:autoSpaceDE w:val="0"/>
              <w:autoSpaceDN w:val="0"/>
              <w:snapToGrid w:val="0"/>
              <w:spacing w:line="360" w:lineRule="auto"/>
              <w:ind w:firstLine="480" w:firstLineChars="200"/>
              <w:rPr>
                <w:color w:val="auto"/>
                <w:kern w:val="0"/>
                <w:sz w:val="24"/>
                <w:u w:val="none" w:color="auto"/>
              </w:rPr>
            </w:pPr>
            <w:r>
              <w:rPr>
                <w:rFonts w:hint="eastAsia"/>
                <w:color w:val="auto"/>
                <w:kern w:val="0"/>
                <w:sz w:val="24"/>
                <w:u w:val="none" w:color="auto"/>
              </w:rPr>
              <w:t>②</w:t>
            </w:r>
            <w:r>
              <w:rPr>
                <w:color w:val="auto"/>
                <w:kern w:val="0"/>
                <w:sz w:val="24"/>
                <w:u w:val="none" w:color="auto"/>
              </w:rPr>
              <w:t>废水：主要包括医疗废水</w:t>
            </w:r>
            <w:r>
              <w:rPr>
                <w:rFonts w:hint="eastAsia"/>
                <w:color w:val="auto"/>
                <w:kern w:val="0"/>
                <w:sz w:val="24"/>
                <w:u w:val="none" w:color="auto"/>
                <w:lang w:eastAsia="zh-CN"/>
              </w:rPr>
              <w:t>（</w:t>
            </w:r>
            <w:r>
              <w:rPr>
                <w:color w:val="auto"/>
                <w:kern w:val="0"/>
                <w:sz w:val="24"/>
                <w:u w:val="none" w:color="auto"/>
              </w:rPr>
              <w:t>门诊、病房区床位等</w:t>
            </w:r>
            <w:r>
              <w:rPr>
                <w:rFonts w:hint="eastAsia"/>
                <w:color w:val="auto"/>
                <w:kern w:val="0"/>
                <w:sz w:val="24"/>
                <w:u w:val="none" w:color="auto"/>
                <w:lang w:eastAsia="zh-CN"/>
              </w:rPr>
              <w:t>）</w:t>
            </w:r>
            <w:r>
              <w:rPr>
                <w:color w:val="auto"/>
                <w:kern w:val="0"/>
                <w:sz w:val="24"/>
                <w:u w:val="none" w:color="auto"/>
              </w:rPr>
              <w:t>、生活污水。</w:t>
            </w:r>
          </w:p>
          <w:p>
            <w:pPr>
              <w:autoSpaceDE w:val="0"/>
              <w:autoSpaceDN w:val="0"/>
              <w:snapToGrid w:val="0"/>
              <w:spacing w:line="360" w:lineRule="auto"/>
              <w:ind w:firstLine="480" w:firstLineChars="200"/>
              <w:rPr>
                <w:color w:val="auto"/>
                <w:kern w:val="0"/>
                <w:sz w:val="24"/>
                <w:u w:val="none" w:color="auto"/>
              </w:rPr>
            </w:pPr>
            <w:r>
              <w:rPr>
                <w:rFonts w:hint="eastAsia"/>
                <w:color w:val="auto"/>
                <w:kern w:val="0"/>
                <w:sz w:val="24"/>
                <w:u w:val="none" w:color="auto"/>
              </w:rPr>
              <w:t>③</w:t>
            </w:r>
            <w:r>
              <w:rPr>
                <w:color w:val="auto"/>
                <w:kern w:val="0"/>
                <w:sz w:val="24"/>
                <w:u w:val="none" w:color="auto"/>
              </w:rPr>
              <w:t>噪声：噪声主要有来自水泵、空调外机、等公建配套设施运转时</w:t>
            </w:r>
            <w:r>
              <w:rPr>
                <w:rFonts w:hint="eastAsia"/>
                <w:color w:val="auto"/>
                <w:kern w:val="0"/>
                <w:sz w:val="24"/>
                <w:u w:val="none" w:color="auto"/>
                <w:lang w:eastAsia="zh-CN"/>
              </w:rPr>
              <w:t>产生</w:t>
            </w:r>
            <w:r>
              <w:rPr>
                <w:color w:val="auto"/>
                <w:kern w:val="0"/>
                <w:sz w:val="24"/>
                <w:u w:val="none" w:color="auto"/>
              </w:rPr>
              <w:t>的设备噪声，以及人员社会活动噪声等。</w:t>
            </w:r>
          </w:p>
          <w:p>
            <w:pPr>
              <w:autoSpaceDE w:val="0"/>
              <w:autoSpaceDN w:val="0"/>
              <w:snapToGrid w:val="0"/>
              <w:spacing w:line="360" w:lineRule="auto"/>
              <w:ind w:firstLine="480" w:firstLineChars="200"/>
              <w:rPr>
                <w:color w:val="auto"/>
                <w:kern w:val="0"/>
                <w:sz w:val="24"/>
                <w:u w:val="none" w:color="auto"/>
              </w:rPr>
            </w:pPr>
            <w:r>
              <w:rPr>
                <w:rFonts w:hint="eastAsia"/>
                <w:color w:val="auto"/>
                <w:kern w:val="0"/>
                <w:sz w:val="24"/>
                <w:u w:val="none" w:color="auto"/>
              </w:rPr>
              <w:t>④</w:t>
            </w:r>
            <w:r>
              <w:rPr>
                <w:color w:val="auto"/>
                <w:kern w:val="0"/>
                <w:sz w:val="24"/>
                <w:u w:val="none" w:color="auto"/>
              </w:rPr>
              <w:t>固废：本项目固体废物主要包括员工及患者产生的生活垃圾、患者诊疗过程中产生的医疗废物、医疗废水处理设施产生的少量污泥等。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Cs/>
                <w:color w:val="auto"/>
                <w:sz w:val="24"/>
                <w:szCs w:val="24"/>
                <w:u w:val="none" w:color="auto"/>
              </w:rPr>
            </w:pPr>
            <w:r>
              <w:rPr>
                <w:color w:val="auto"/>
                <w:u w:val="none" w:color="auto"/>
              </w:rPr>
              <w:object>
                <v:shape id="_x0000_i1025" o:spt="75" type="#_x0000_t75" style="height:149.6pt;width:416.8pt;" o:ole="t" filled="f" o:preferrelative="t" stroked="f" coordsize="21600,21600">
                  <v:path/>
                  <v:fill on="f" focussize="0,0"/>
                  <v:stroke on="f"/>
                  <v:imagedata r:id="rId15" o:title=""/>
                  <o:lock v:ext="edit" aspectratio="t"/>
                  <w10:wrap type="none"/>
                  <w10:anchorlock/>
                </v:shape>
                <o:OLEObject Type="Embed" ProgID="Visio.Drawing.11" ShapeID="_x0000_i1025" DrawAspect="Content" ObjectID="_1468075725" r:id="rId14">
                  <o:LockedField>false</o:LockedField>
                </o:OLEObject>
              </w:object>
            </w:r>
          </w:p>
          <w:p>
            <w:pPr>
              <w:pStyle w:val="43"/>
              <w:keepNext w:val="0"/>
              <w:keepLines w:val="0"/>
              <w:pageBreakBefore w:val="0"/>
              <w:widowControl w:val="0"/>
              <w:kinsoku/>
              <w:wordWrap/>
              <w:overflowPunct/>
              <w:topLinePunct w:val="0"/>
              <w:bidi w:val="0"/>
              <w:spacing w:line="360" w:lineRule="auto"/>
              <w:ind w:left="0" w:leftChars="0" w:right="101" w:firstLine="0" w:firstLineChars="0"/>
              <w:jc w:val="center"/>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图2-</w:t>
            </w:r>
            <w:r>
              <w:rPr>
                <w:rFonts w:hint="eastAsia" w:ascii="Times New Roman" w:hAnsi="Times New Roman" w:eastAsia="宋体"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rPr>
              <w:t>运营期工艺流程及产污位置图</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表2-</w:t>
            </w:r>
            <w:r>
              <w:rPr>
                <w:rFonts w:hint="eastAsia" w:ascii="Times New Roman" w:hAnsi="Times New Roman" w:eastAsia="宋体" w:cs="Times New Roman"/>
                <w:color w:val="auto"/>
                <w:sz w:val="24"/>
                <w:szCs w:val="24"/>
                <w:u w:val="none" w:color="auto"/>
                <w:lang w:val="en-US" w:eastAsia="zh-CN"/>
              </w:rPr>
              <w:t xml:space="preserve">5  </w:t>
            </w:r>
            <w:r>
              <w:rPr>
                <w:rFonts w:hint="default" w:ascii="Times New Roman" w:hAnsi="Times New Roman" w:eastAsia="宋体" w:cs="Times New Roman"/>
                <w:color w:val="auto"/>
                <w:sz w:val="24"/>
                <w:szCs w:val="24"/>
                <w:u w:val="none" w:color="auto"/>
              </w:rPr>
              <w:t>主要污染物产生情况</w:t>
            </w:r>
          </w:p>
          <w:tbl>
            <w:tblPr>
              <w:tblStyle w:val="21"/>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951"/>
              <w:gridCol w:w="1488"/>
              <w:gridCol w:w="2652"/>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污染物类别</w:t>
                  </w: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污染物名称</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产污节点</w:t>
                  </w:r>
                </w:p>
              </w:tc>
              <w:tc>
                <w:tcPr>
                  <w:tcW w:w="265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处理方式</w:t>
                  </w:r>
                </w:p>
              </w:tc>
              <w:tc>
                <w:tcPr>
                  <w:tcW w:w="1224"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污染物去向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废水</w:t>
                  </w: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门急诊病人</w:t>
                  </w:r>
                  <w:r>
                    <w:rPr>
                      <w:rFonts w:hint="default" w:ascii="Times New Roman" w:hAnsi="Times New Roman" w:eastAsia="宋体" w:cs="Times New Roman"/>
                      <w:color w:val="auto"/>
                      <w:sz w:val="21"/>
                      <w:szCs w:val="21"/>
                      <w:u w:val="none" w:color="auto"/>
                      <w:vertAlign w:val="baseline"/>
                    </w:rPr>
                    <w:t>废水</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病人就诊</w:t>
                  </w:r>
                </w:p>
              </w:tc>
              <w:tc>
                <w:tcPr>
                  <w:tcW w:w="2652"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院内</w:t>
                  </w:r>
                  <w:r>
                    <w:rPr>
                      <w:rFonts w:hint="default" w:ascii="Times New Roman" w:hAnsi="Times New Roman" w:eastAsia="宋体" w:cs="Times New Roman"/>
                      <w:color w:val="auto"/>
                      <w:sz w:val="21"/>
                      <w:szCs w:val="21"/>
                      <w:u w:val="none" w:color="auto"/>
                      <w:vertAlign w:val="baseline"/>
                    </w:rPr>
                    <w:t>废水</w:t>
                  </w:r>
                  <w:r>
                    <w:rPr>
                      <w:rFonts w:hint="eastAsia" w:ascii="Times New Roman" w:hAnsi="Times New Roman" w:eastAsia="宋体" w:cs="Times New Roman"/>
                      <w:color w:val="auto"/>
                      <w:sz w:val="21"/>
                      <w:szCs w:val="21"/>
                      <w:u w:val="none" w:color="auto"/>
                      <w:vertAlign w:val="baseline"/>
                      <w:lang w:val="en-US" w:eastAsia="zh-CN"/>
                    </w:rPr>
                    <w:t>经管道进入</w:t>
                  </w:r>
                  <w:r>
                    <w:rPr>
                      <w:rFonts w:hint="eastAsia" w:ascii="Times New Roman" w:hAnsi="Times New Roman" w:eastAsia="宋体" w:cs="Times New Roman"/>
                      <w:color w:val="auto"/>
                      <w:sz w:val="21"/>
                      <w:szCs w:val="21"/>
                      <w:u w:val="none" w:color="auto"/>
                      <w:vertAlign w:val="baseline"/>
                      <w:lang w:eastAsia="zh-CN"/>
                    </w:rPr>
                    <w:t>地埋式污水处理系统</w:t>
                  </w:r>
                  <w:r>
                    <w:rPr>
                      <w:rFonts w:hint="default" w:ascii="Times New Roman" w:hAnsi="Times New Roman" w:eastAsia="宋体" w:cs="Times New Roman"/>
                      <w:color w:val="auto"/>
                      <w:sz w:val="21"/>
                      <w:szCs w:val="21"/>
                      <w:u w:val="none" w:color="auto"/>
                      <w:vertAlign w:val="baseline"/>
                    </w:rPr>
                    <w:t>处理达标后，通过污水管网排入</w:t>
                  </w:r>
                  <w:r>
                    <w:rPr>
                      <w:rFonts w:hint="eastAsia" w:ascii="Times New Roman" w:hAnsi="Times New Roman" w:eastAsia="宋体" w:cs="Times New Roman"/>
                      <w:color w:val="auto"/>
                      <w:sz w:val="21"/>
                      <w:szCs w:val="21"/>
                      <w:u w:val="none" w:color="auto"/>
                      <w:vertAlign w:val="baseline"/>
                      <w:lang w:eastAsia="zh-CN"/>
                    </w:rPr>
                    <w:t>湘阴县东塘镇污水处理厂</w:t>
                  </w:r>
                </w:p>
              </w:tc>
              <w:tc>
                <w:tcPr>
                  <w:tcW w:w="1224"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u w:val="none" w:color="auto"/>
                      <w:vertAlign w:val="baseline"/>
                      <w:lang w:eastAsia="zh-CN"/>
                    </w:rPr>
                  </w:pPr>
                  <w:r>
                    <w:rPr>
                      <w:rFonts w:hint="eastAsia" w:ascii="Times New Roman" w:hAnsi="Times New Roman" w:eastAsia="宋体" w:cs="Times New Roman"/>
                      <w:color w:val="auto"/>
                      <w:sz w:val="21"/>
                      <w:szCs w:val="21"/>
                      <w:u w:val="none" w:color="auto"/>
                      <w:vertAlign w:val="baseline"/>
                      <w:lang w:eastAsia="zh-CN"/>
                    </w:rPr>
                    <w:t>湘阴县东塘镇污水处理厂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住院病人废水</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住院、治疗、护理</w:t>
                  </w:r>
                </w:p>
              </w:tc>
              <w:tc>
                <w:tcPr>
                  <w:tcW w:w="265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224"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医院职工</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工作期间</w:t>
                  </w:r>
                </w:p>
              </w:tc>
              <w:tc>
                <w:tcPr>
                  <w:tcW w:w="265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224"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85"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rPr>
                    <w:t>检验室废水</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rPr>
                    <w:t>检查诊断</w:t>
                  </w:r>
                </w:p>
              </w:tc>
              <w:tc>
                <w:tcPr>
                  <w:tcW w:w="265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224"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洗衣废水</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rPr>
                    <w:t>洗衣</w:t>
                  </w:r>
                  <w:r>
                    <w:rPr>
                      <w:rFonts w:hint="eastAsia" w:ascii="Times New Roman" w:hAnsi="Times New Roman" w:eastAsia="宋体" w:cs="Times New Roman"/>
                      <w:color w:val="auto"/>
                      <w:sz w:val="21"/>
                      <w:szCs w:val="21"/>
                      <w:u w:val="none" w:color="auto"/>
                      <w:vertAlign w:val="baseline"/>
                      <w:lang w:val="en-US" w:eastAsia="zh-CN"/>
                    </w:rPr>
                    <w:t>时</w:t>
                  </w:r>
                </w:p>
              </w:tc>
              <w:tc>
                <w:tcPr>
                  <w:tcW w:w="265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224"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废气</w:t>
                  </w: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检验室废气</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检查诊断</w:t>
                  </w:r>
                </w:p>
              </w:tc>
              <w:tc>
                <w:tcPr>
                  <w:tcW w:w="265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加强通风</w:t>
                  </w:r>
                </w:p>
              </w:tc>
              <w:tc>
                <w:tcPr>
                  <w:tcW w:w="1224"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u w:val="none" w:color="auto"/>
                      <w:vertAlign w:val="baseline"/>
                      <w:lang w:val="en-US" w:eastAsia="zh-CN"/>
                    </w:rPr>
                  </w:pP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污水处理厂臭气</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污水处理</w:t>
                  </w:r>
                </w:p>
              </w:tc>
              <w:tc>
                <w:tcPr>
                  <w:tcW w:w="265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无组织排放</w:t>
                  </w:r>
                </w:p>
              </w:tc>
              <w:tc>
                <w:tcPr>
                  <w:tcW w:w="1224"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固体废物</w:t>
                  </w: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生活垃圾</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就医、办公</w:t>
                  </w:r>
                </w:p>
              </w:tc>
              <w:tc>
                <w:tcPr>
                  <w:tcW w:w="3876" w:type="dxa"/>
                  <w:gridSpan w:val="2"/>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highlight w:val="none"/>
                      <w:u w:val="none" w:color="auto"/>
                      <w:vertAlign w:val="baseline"/>
                      <w:lang w:val="en-US" w:eastAsia="zh-CN"/>
                    </w:rPr>
                    <w:t>交由</w:t>
                  </w:r>
                  <w:r>
                    <w:rPr>
                      <w:rFonts w:hint="eastAsia" w:ascii="Times New Roman" w:hAnsi="Times New Roman" w:eastAsia="宋体" w:cs="Times New Roman"/>
                      <w:color w:val="auto"/>
                      <w:sz w:val="21"/>
                      <w:szCs w:val="21"/>
                      <w:u w:val="none" w:color="auto"/>
                      <w:vertAlign w:val="baseline"/>
                      <w:lang w:val="en-US" w:eastAsia="zh-CN"/>
                    </w:rPr>
                    <w:t>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5"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医疗废物</w:t>
                  </w:r>
                </w:p>
              </w:tc>
              <w:tc>
                <w:tcPr>
                  <w:tcW w:w="148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检查诊断</w:t>
                  </w:r>
                </w:p>
              </w:tc>
              <w:tc>
                <w:tcPr>
                  <w:tcW w:w="3876" w:type="dxa"/>
                  <w:gridSpan w:val="2"/>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暂存在医疗废物暂存间，交由岳阳市方向固废安全处置有限公司处理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输液</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瓶（袋）及玻璃瓶</w:t>
                  </w:r>
                </w:p>
              </w:tc>
              <w:tc>
                <w:tcPr>
                  <w:tcW w:w="1488" w:type="dxa"/>
                  <w:vMerge w:val="restart"/>
                  <w:noWrap w:val="0"/>
                  <w:vAlign w:val="center"/>
                </w:tcPr>
                <w:p>
                  <w:pPr>
                    <w:keepNext w:val="0"/>
                    <w:keepLines w:val="0"/>
                    <w:widowControl/>
                    <w:suppressLineNumbers w:val="0"/>
                    <w:jc w:val="center"/>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 xml:space="preserve">住院、治疗、 </w:t>
                  </w:r>
                </w:p>
                <w:p>
                  <w:pPr>
                    <w:keepNext w:val="0"/>
                    <w:keepLines w:val="0"/>
                    <w:widowControl/>
                    <w:suppressLineNumbers w:val="0"/>
                    <w:jc w:val="center"/>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护理</w:t>
                  </w:r>
                </w:p>
                <w:p>
                  <w:pPr>
                    <w:keepNext w:val="0"/>
                    <w:keepLines w:val="0"/>
                    <w:widowControl/>
                    <w:suppressLineNumbers w:val="0"/>
                    <w:jc w:val="center"/>
                    <w:rPr>
                      <w:rFonts w:hint="default" w:ascii="Times New Roman" w:hAnsi="Times New Roman" w:eastAsia="宋体" w:cs="Times New Roman"/>
                      <w:color w:val="auto"/>
                      <w:sz w:val="21"/>
                      <w:szCs w:val="21"/>
                      <w:highlight w:val="none"/>
                      <w:u w:val="none" w:color="auto"/>
                      <w:vertAlign w:val="baseline"/>
                      <w:lang w:val="en-US" w:eastAsia="zh-CN"/>
                    </w:rPr>
                  </w:pPr>
                </w:p>
              </w:tc>
              <w:tc>
                <w:tcPr>
                  <w:tcW w:w="3876" w:type="dxa"/>
                  <w:gridSpan w:val="2"/>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交由湖南博晟卫生材料有限公司处理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1951"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废包装材料</w:t>
                  </w:r>
                </w:p>
              </w:tc>
              <w:tc>
                <w:tcPr>
                  <w:tcW w:w="1488"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p>
              </w:tc>
              <w:tc>
                <w:tcPr>
                  <w:tcW w:w="3876" w:type="dxa"/>
                  <w:gridSpan w:val="2"/>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收集后出售</w:t>
                  </w:r>
                </w:p>
              </w:tc>
            </w:tr>
          </w:tbl>
          <w:p>
            <w:pPr>
              <w:bidi w:val="0"/>
              <w:rPr>
                <w:rFonts w:hint="default"/>
                <w:color w:val="auto"/>
              </w:rPr>
            </w:pPr>
          </w:p>
          <w:p>
            <w:pPr>
              <w:bidi w:val="0"/>
              <w:rPr>
                <w:rFonts w:hint="default"/>
                <w:color w:val="auto"/>
              </w:rPr>
            </w:pPr>
          </w:p>
          <w:p>
            <w:pPr>
              <w:bidi w:val="0"/>
              <w:rPr>
                <w:rFonts w:hint="default"/>
                <w:color w:val="auto"/>
              </w:rPr>
            </w:pPr>
          </w:p>
          <w:p>
            <w:pPr>
              <w:ind w:left="0" w:leftChars="0" w:firstLine="0" w:firstLineChars="0"/>
              <w:rPr>
                <w:rFonts w:hint="default" w:ascii="Times New Roman" w:hAnsi="Times New Roman" w:eastAsia="宋体" w:cs="Times New Roman"/>
                <w:color w:val="auto"/>
                <w:sz w:val="24"/>
                <w:szCs w:val="24"/>
                <w:u w:val="none" w:color="auto"/>
              </w:rPr>
            </w:pPr>
          </w:p>
          <w:p>
            <w:pPr>
              <w:rPr>
                <w:rFonts w:hint="default" w:ascii="Times New Roman" w:hAnsi="Times New Roman" w:eastAsia="宋体" w:cs="Times New Roman"/>
                <w:color w:val="auto"/>
                <w:sz w:val="24"/>
                <w:szCs w:val="24"/>
                <w:u w:val="none" w:color="auto"/>
              </w:rPr>
            </w:pPr>
          </w:p>
          <w:p>
            <w:pPr>
              <w:ind w:left="0" w:leftChars="0" w:firstLine="0" w:firstLineChars="0"/>
              <w:rPr>
                <w:rFonts w:hint="default" w:ascii="Times New Roman" w:hAnsi="Times New Roman" w:eastAsia="宋体" w:cs="Times New Roman"/>
                <w:color w:val="auto"/>
                <w:sz w:val="24"/>
                <w:szCs w:val="24"/>
                <w:u w:val="none" w:color="auto"/>
              </w:rPr>
            </w:pPr>
          </w:p>
          <w:p>
            <w:pPr>
              <w:rPr>
                <w:rFonts w:hint="default" w:ascii="Times New Roman" w:hAnsi="Times New Roman" w:eastAsia="宋体" w:cs="Times New Roman"/>
                <w:color w:val="auto"/>
                <w:sz w:val="24"/>
                <w:szCs w:val="24"/>
                <w:u w:val="none" w:color="auto"/>
              </w:rPr>
            </w:pPr>
          </w:p>
          <w:p>
            <w:pPr>
              <w:ind w:left="0" w:leftChars="0" w:firstLine="0" w:firstLineChars="0"/>
              <w:rPr>
                <w:rFonts w:hint="default"/>
                <w:color w:val="auto"/>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4" w:hRule="atLeast"/>
          <w:jc w:val="center"/>
        </w:trPr>
        <w:tc>
          <w:tcPr>
            <w:tcW w:w="462" w:type="dxa"/>
            <w:noWrap w:val="0"/>
            <w:vAlign w:val="center"/>
          </w:tcPr>
          <w:p>
            <w:pPr>
              <w:pStyle w:val="18"/>
              <w:adjustRightInd w:val="0"/>
              <w:snapToGrid w:val="0"/>
              <w:spacing w:before="0" w:beforeAutospacing="0" w:after="0" w:afterAutospacing="0"/>
              <w:jc w:val="center"/>
              <w:rPr>
                <w:rFonts w:cs="宋体"/>
                <w:color w:val="auto"/>
                <w:sz w:val="24"/>
                <w:szCs w:val="24"/>
                <w:u w:val="none" w:color="auto"/>
              </w:rPr>
            </w:pPr>
            <w:r>
              <w:rPr>
                <w:rFonts w:hint="eastAsia" w:cs="宋体"/>
                <w:bCs/>
                <w:color w:val="auto"/>
                <w:kern w:val="2"/>
                <w:sz w:val="24"/>
                <w:szCs w:val="24"/>
                <w:u w:val="none" w:color="auto"/>
              </w:rPr>
              <w:t>与项目有关的原有环境污染问题</w:t>
            </w:r>
          </w:p>
        </w:tc>
        <w:tc>
          <w:tcPr>
            <w:tcW w:w="8582" w:type="dxa"/>
            <w:noWrap w:val="0"/>
            <w:vAlign w:val="top"/>
          </w:tcPr>
          <w:p>
            <w:pPr>
              <w:pStyle w:val="10"/>
              <w:bidi w:val="0"/>
              <w:rPr>
                <w:b/>
                <w:bCs/>
                <w:color w:val="auto"/>
              </w:rPr>
            </w:pPr>
            <w:r>
              <w:rPr>
                <w:rFonts w:hint="eastAsia"/>
                <w:b/>
                <w:bCs/>
                <w:color w:val="auto"/>
              </w:rPr>
              <w:t>1、公司现有工程履行环保手续情况</w:t>
            </w:r>
          </w:p>
          <w:p>
            <w:pPr>
              <w:pStyle w:val="10"/>
              <w:bidi w:val="0"/>
              <w:rPr>
                <w:rFonts w:hint="default"/>
                <w:color w:val="auto"/>
                <w:lang w:val="en-US" w:eastAsia="zh-CN"/>
              </w:rPr>
            </w:pPr>
            <w:r>
              <w:rPr>
                <w:rFonts w:hint="default" w:ascii="Times New Roman" w:hAnsi="Times New Roman" w:eastAsia="宋体" w:cs="Times New Roman"/>
                <w:bCs/>
                <w:color w:val="auto"/>
                <w:sz w:val="24"/>
                <w:szCs w:val="24"/>
                <w:highlight w:val="none"/>
                <w:u w:val="none" w:color="auto"/>
              </w:rPr>
              <w:t>湘阴县</w:t>
            </w:r>
            <w:r>
              <w:rPr>
                <w:rFonts w:hint="eastAsia" w:ascii="Times New Roman" w:hAnsi="Times New Roman" w:eastAsia="宋体" w:cs="Times New Roman"/>
                <w:bCs/>
                <w:color w:val="auto"/>
                <w:sz w:val="24"/>
                <w:szCs w:val="24"/>
                <w:highlight w:val="none"/>
                <w:u w:val="none" w:color="auto"/>
                <w:lang w:eastAsia="zh-CN"/>
              </w:rPr>
              <w:t>东塘中心卫生院</w:t>
            </w:r>
            <w:r>
              <w:rPr>
                <w:rFonts w:hint="default" w:ascii="Times New Roman" w:hAnsi="Times New Roman" w:eastAsia="宋体" w:cs="Times New Roman"/>
                <w:bCs/>
                <w:color w:val="auto"/>
                <w:sz w:val="24"/>
                <w:szCs w:val="24"/>
                <w:highlight w:val="none"/>
                <w:u w:val="none" w:color="auto"/>
              </w:rPr>
              <w:t>位于湘阴县</w:t>
            </w:r>
            <w:r>
              <w:rPr>
                <w:rFonts w:hint="eastAsia" w:ascii="Times New Roman" w:hAnsi="Times New Roman" w:eastAsia="宋体" w:cs="Times New Roman"/>
                <w:bCs/>
                <w:color w:val="auto"/>
                <w:sz w:val="24"/>
                <w:szCs w:val="24"/>
                <w:highlight w:val="none"/>
                <w:u w:val="none" w:color="auto"/>
                <w:lang w:eastAsia="zh-CN"/>
              </w:rPr>
              <w:t>东塘</w:t>
            </w:r>
            <w:r>
              <w:rPr>
                <w:rFonts w:hint="eastAsia" w:ascii="Times New Roman" w:hAnsi="Times New Roman" w:eastAsia="宋体" w:cs="Times New Roman"/>
                <w:bCs/>
                <w:color w:val="auto"/>
                <w:sz w:val="24"/>
                <w:szCs w:val="24"/>
                <w:highlight w:val="none"/>
                <w:u w:val="none" w:color="auto"/>
                <w:lang w:val="en-US" w:eastAsia="zh-CN"/>
              </w:rPr>
              <w:t>镇东塘村</w:t>
            </w:r>
            <w:r>
              <w:rPr>
                <w:rFonts w:hint="default" w:ascii="Times New Roman" w:hAnsi="Times New Roman" w:eastAsia="宋体" w:cs="Times New Roman"/>
                <w:bCs/>
                <w:color w:val="auto"/>
                <w:sz w:val="24"/>
                <w:szCs w:val="24"/>
                <w:highlight w:val="none"/>
                <w:u w:val="none" w:color="auto"/>
              </w:rPr>
              <w:t>，是一所集临床医疗、妇幼保健、疾病预防、国家基本公共卫生服务于一体的</w:t>
            </w:r>
            <w:r>
              <w:rPr>
                <w:rFonts w:hint="eastAsia" w:ascii="Times New Roman" w:hAnsi="Times New Roman" w:eastAsia="宋体" w:cs="Times New Roman"/>
                <w:bCs/>
                <w:color w:val="auto"/>
                <w:sz w:val="24"/>
                <w:szCs w:val="24"/>
                <w:highlight w:val="none"/>
                <w:u w:val="none" w:color="auto"/>
                <w:lang w:val="en-US" w:eastAsia="zh-CN"/>
              </w:rPr>
              <w:t>乡镇</w:t>
            </w:r>
            <w:r>
              <w:rPr>
                <w:rFonts w:hint="default" w:ascii="Times New Roman" w:hAnsi="Times New Roman" w:eastAsia="宋体" w:cs="Times New Roman"/>
                <w:bCs/>
                <w:color w:val="auto"/>
                <w:sz w:val="24"/>
                <w:szCs w:val="24"/>
                <w:highlight w:val="none"/>
                <w:u w:val="none" w:color="auto"/>
              </w:rPr>
              <w:t>医院。</w:t>
            </w:r>
            <w:r>
              <w:rPr>
                <w:rFonts w:hint="eastAsia" w:ascii="Times New Roman" w:hAnsi="Times New Roman" w:eastAsia="宋体" w:cs="Times New Roman"/>
                <w:bCs/>
                <w:color w:val="auto"/>
                <w:sz w:val="24"/>
                <w:szCs w:val="24"/>
                <w:highlight w:val="none"/>
                <w:u w:val="none" w:color="auto"/>
                <w:lang w:val="en-US" w:eastAsia="zh-CN"/>
              </w:rPr>
              <w:t>于2017年新建1栋三层公卫楼，医院设有78张床位；</w:t>
            </w:r>
            <w:r>
              <w:rPr>
                <w:rFonts w:hint="default" w:ascii="Times New Roman" w:hAnsi="Times New Roman" w:eastAsia="宋体" w:cs="Times New Roman"/>
                <w:color w:val="auto"/>
                <w:spacing w:val="2"/>
                <w:sz w:val="24"/>
                <w:szCs w:val="24"/>
                <w:highlight w:val="none"/>
                <w:u w:val="none" w:color="auto"/>
              </w:rPr>
              <w:t>卫生院职</w:t>
            </w:r>
            <w:r>
              <w:rPr>
                <w:rFonts w:hint="default" w:ascii="Times New Roman" w:hAnsi="Times New Roman" w:eastAsia="宋体" w:cs="Times New Roman"/>
                <w:color w:val="auto"/>
                <w:sz w:val="24"/>
                <w:szCs w:val="24"/>
                <w:highlight w:val="none"/>
                <w:u w:val="none" w:color="auto"/>
              </w:rPr>
              <w:t>工共计</w:t>
            </w:r>
            <w:r>
              <w:rPr>
                <w:rFonts w:hint="eastAsia" w:ascii="Times New Roman" w:hAnsi="Times New Roman" w:eastAsia="宋体" w:cs="Times New Roman"/>
                <w:color w:val="auto"/>
                <w:sz w:val="24"/>
                <w:szCs w:val="24"/>
                <w:highlight w:val="none"/>
                <w:u w:val="none" w:color="auto"/>
                <w:lang w:val="en-US" w:eastAsia="zh-CN"/>
              </w:rPr>
              <w:t>72</w:t>
            </w:r>
            <w:r>
              <w:rPr>
                <w:rFonts w:hint="default" w:ascii="Times New Roman" w:hAnsi="Times New Roman" w:eastAsia="宋体" w:cs="Times New Roman"/>
                <w:color w:val="auto"/>
                <w:sz w:val="24"/>
                <w:szCs w:val="24"/>
                <w:highlight w:val="none"/>
                <w:u w:val="none" w:color="auto"/>
              </w:rPr>
              <w:t>人</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卫生院设置的诊疗科目包括预防保健科、全科医疗科、内科、外科、</w:t>
            </w:r>
            <w:r>
              <w:rPr>
                <w:rFonts w:hint="eastAsia" w:ascii="Times New Roman" w:hAnsi="Times New Roman" w:eastAsia="宋体" w:cs="Times New Roman"/>
                <w:color w:val="auto"/>
                <w:sz w:val="24"/>
                <w:szCs w:val="24"/>
                <w:highlight w:val="none"/>
                <w:u w:val="none" w:color="auto"/>
                <w:lang w:val="en-US" w:eastAsia="zh-CN"/>
              </w:rPr>
              <w:t>普通外科专业、</w:t>
            </w:r>
            <w:r>
              <w:rPr>
                <w:rFonts w:hint="default" w:ascii="Times New Roman" w:hAnsi="Times New Roman" w:eastAsia="宋体" w:cs="Times New Roman"/>
                <w:color w:val="auto"/>
                <w:sz w:val="24"/>
                <w:szCs w:val="24"/>
                <w:highlight w:val="none"/>
                <w:u w:val="none" w:color="auto"/>
              </w:rPr>
              <w:t>妇科</w:t>
            </w:r>
            <w:r>
              <w:rPr>
                <w:rFonts w:hint="eastAsia" w:ascii="Times New Roman" w:hAnsi="Times New Roman" w:eastAsia="宋体" w:cs="Times New Roman"/>
                <w:color w:val="auto"/>
                <w:sz w:val="24"/>
                <w:szCs w:val="24"/>
                <w:highlight w:val="none"/>
                <w:u w:val="none" w:color="auto"/>
                <w:lang w:val="en-US" w:eastAsia="zh-CN"/>
              </w:rPr>
              <w:t>专业</w:t>
            </w: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eastAsia="宋体" w:cs="Times New Roman"/>
                <w:color w:val="auto"/>
                <w:spacing w:val="-2"/>
                <w:sz w:val="24"/>
                <w:szCs w:val="24"/>
                <w:highlight w:val="none"/>
                <w:u w:val="none" w:color="auto"/>
              </w:rPr>
              <w:t>妇女保健科、儿童保健科、</w:t>
            </w:r>
            <w:r>
              <w:rPr>
                <w:rFonts w:hint="eastAsia" w:ascii="Times New Roman" w:hAnsi="Times New Roman" w:eastAsia="宋体" w:cs="Times New Roman"/>
                <w:color w:val="auto"/>
                <w:spacing w:val="-2"/>
                <w:sz w:val="24"/>
                <w:szCs w:val="24"/>
                <w:highlight w:val="none"/>
                <w:u w:val="none" w:color="auto"/>
                <w:lang w:val="en-US" w:eastAsia="zh-CN"/>
              </w:rPr>
              <w:t>口腔科、急诊医学科、</w:t>
            </w:r>
            <w:r>
              <w:rPr>
                <w:rFonts w:hint="default" w:ascii="Times New Roman" w:hAnsi="Times New Roman" w:eastAsia="宋体" w:cs="Times New Roman"/>
                <w:color w:val="auto"/>
                <w:spacing w:val="-2"/>
                <w:sz w:val="24"/>
                <w:szCs w:val="24"/>
                <w:highlight w:val="none"/>
                <w:u w:val="none" w:color="auto"/>
              </w:rPr>
              <w:t>医学检验科、医学影像科、中医科等</w:t>
            </w:r>
            <w:r>
              <w:rPr>
                <w:rFonts w:hint="eastAsia" w:ascii="Times New Roman" w:hAnsi="Times New Roman" w:eastAsia="宋体" w:cs="Times New Roman"/>
                <w:color w:val="auto"/>
                <w:spacing w:val="-2"/>
                <w:sz w:val="24"/>
                <w:szCs w:val="24"/>
                <w:highlight w:val="none"/>
                <w:u w:val="none" w:color="auto"/>
                <w:lang w:eastAsia="zh-CN"/>
              </w:rPr>
              <w:t>，</w:t>
            </w:r>
            <w:r>
              <w:rPr>
                <w:rFonts w:hint="eastAsia" w:ascii="Times New Roman" w:hAnsi="Times New Roman" w:eastAsia="宋体" w:cs="Times New Roman"/>
                <w:color w:val="auto"/>
                <w:spacing w:val="-2"/>
                <w:sz w:val="24"/>
                <w:szCs w:val="24"/>
                <w:highlight w:val="none"/>
                <w:u w:val="none" w:color="auto"/>
                <w:lang w:val="en-US" w:eastAsia="zh-CN"/>
              </w:rPr>
              <w:t>口腔科不涉及重金属物质的使用。</w:t>
            </w:r>
            <w:r>
              <w:rPr>
                <w:rFonts w:hint="eastAsia" w:ascii="Times New Roman" w:hAnsi="Times New Roman" w:eastAsia="宋体" w:cs="Times New Roman"/>
                <w:bCs/>
                <w:color w:val="auto"/>
                <w:sz w:val="24"/>
                <w:szCs w:val="24"/>
                <w:highlight w:val="none"/>
                <w:u w:val="none" w:color="auto"/>
                <w:lang w:val="en-US" w:eastAsia="zh-CN"/>
              </w:rPr>
              <w:t>2023年</w:t>
            </w:r>
            <w:r>
              <w:rPr>
                <w:rFonts w:hint="default" w:ascii="Times New Roman" w:hAnsi="Times New Roman" w:eastAsia="宋体" w:cs="Times New Roman"/>
                <w:bCs/>
                <w:color w:val="auto"/>
                <w:sz w:val="24"/>
                <w:szCs w:val="24"/>
                <w:highlight w:val="none"/>
                <w:u w:val="none" w:color="auto"/>
              </w:rPr>
              <w:t>湘阴县</w:t>
            </w:r>
            <w:r>
              <w:rPr>
                <w:rFonts w:hint="eastAsia" w:ascii="Times New Roman" w:hAnsi="Times New Roman" w:eastAsia="宋体" w:cs="Times New Roman"/>
                <w:bCs/>
                <w:color w:val="auto"/>
                <w:sz w:val="24"/>
                <w:szCs w:val="24"/>
                <w:highlight w:val="none"/>
                <w:u w:val="none" w:color="auto"/>
                <w:lang w:eastAsia="zh-CN"/>
              </w:rPr>
              <w:t>东塘中心卫生院</w:t>
            </w:r>
            <w:r>
              <w:rPr>
                <w:rFonts w:hint="eastAsia" w:ascii="Times New Roman" w:hAnsi="Times New Roman" w:eastAsia="宋体" w:cs="Times New Roman"/>
                <w:bCs/>
                <w:color w:val="auto"/>
                <w:sz w:val="24"/>
                <w:szCs w:val="24"/>
                <w:highlight w:val="none"/>
                <w:u w:val="none" w:color="auto"/>
                <w:lang w:val="en-US" w:eastAsia="zh-CN"/>
              </w:rPr>
              <w:t>进行补办环评，2023年9月26日岳阳市生态环境局以《关于</w:t>
            </w:r>
            <w:r>
              <w:rPr>
                <w:rFonts w:hint="eastAsia" w:cs="Times New Roman"/>
                <w:bCs/>
                <w:color w:val="auto"/>
                <w:sz w:val="24"/>
                <w:szCs w:val="24"/>
                <w:highlight w:val="none"/>
                <w:u w:val="none" w:color="auto"/>
                <w:lang w:val="en-US" w:eastAsia="zh-CN"/>
              </w:rPr>
              <w:t>湘阴县人民医院医疗副中心（二期）东塘卫生院分中心建设项目</w:t>
            </w:r>
            <w:r>
              <w:rPr>
                <w:rFonts w:hint="eastAsia" w:ascii="Times New Roman" w:hAnsi="Times New Roman" w:eastAsia="宋体" w:cs="Times New Roman"/>
                <w:bCs/>
                <w:color w:val="auto"/>
                <w:sz w:val="24"/>
                <w:szCs w:val="24"/>
                <w:highlight w:val="none"/>
                <w:u w:val="none" w:color="auto"/>
                <w:lang w:val="en-US" w:eastAsia="zh-CN"/>
              </w:rPr>
              <w:t>环境影响报告表的批复》（岳湘阴环评</w:t>
            </w:r>
            <w:r>
              <w:rPr>
                <w:rFonts w:hint="eastAsia" w:cs="Times New Roman"/>
                <w:bCs/>
                <w:color w:val="auto"/>
                <w:sz w:val="24"/>
                <w:szCs w:val="24"/>
                <w:highlight w:val="none"/>
                <w:u w:val="none" w:color="auto"/>
                <w:lang w:val="en-US" w:eastAsia="zh-CN"/>
              </w:rPr>
              <w:t>（</w:t>
            </w:r>
            <w:r>
              <w:rPr>
                <w:rFonts w:hint="eastAsia" w:ascii="Times New Roman" w:hAnsi="Times New Roman" w:eastAsia="宋体" w:cs="Times New Roman"/>
                <w:bCs/>
                <w:color w:val="auto"/>
                <w:sz w:val="24"/>
                <w:szCs w:val="24"/>
                <w:highlight w:val="none"/>
                <w:u w:val="none" w:color="auto"/>
                <w:lang w:val="en-US" w:eastAsia="zh-CN"/>
              </w:rPr>
              <w:t>2023)31号）文件进行批复，</w:t>
            </w:r>
            <w:r>
              <w:rPr>
                <w:rFonts w:hint="eastAsia"/>
                <w:color w:val="auto"/>
              </w:rPr>
              <w:t>但未进行验收等相关环保手续。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color w:val="auto"/>
                <w:sz w:val="24"/>
                <w:szCs w:val="24"/>
                <w:u w:val="none" w:color="auto"/>
                <w:lang w:val="en-US" w:eastAsia="zh-CN"/>
              </w:rPr>
            </w:pPr>
            <w:r>
              <w:rPr>
                <w:rFonts w:hint="default"/>
                <w:b/>
                <w:bCs/>
                <w:color w:val="auto"/>
                <w:sz w:val="24"/>
                <w:szCs w:val="24"/>
                <w:u w:val="none" w:color="auto"/>
                <w:lang w:val="en-US" w:eastAsia="zh-CN"/>
              </w:rPr>
              <w:t>2、项目污染源情况</w:t>
            </w:r>
          </w:p>
          <w:p>
            <w:pPr>
              <w:pStyle w:val="10"/>
              <w:rPr>
                <w:rFonts w:hint="default"/>
                <w:color w:val="auto"/>
                <w:lang w:val="en-US" w:eastAsia="zh-CN"/>
              </w:rPr>
            </w:pPr>
            <w:r>
              <w:rPr>
                <w:rFonts w:hint="eastAsia"/>
                <w:color w:val="auto"/>
              </w:rPr>
              <w:t>根据原项目环境影响报告表，现场踏勘以及</w:t>
            </w:r>
            <w:r>
              <w:rPr>
                <w:rFonts w:hint="eastAsia" w:ascii="Times New Roman" w:hAnsi="Times New Roman" w:eastAsia="宋体" w:cs="Times New Roman"/>
                <w:color w:val="auto"/>
                <w:sz w:val="24"/>
                <w:szCs w:val="24"/>
                <w:u w:val="none" w:color="auto"/>
                <w:lang w:val="en-US" w:eastAsia="zh-CN"/>
              </w:rPr>
              <w:t>卫生院</w:t>
            </w:r>
            <w:r>
              <w:rPr>
                <w:rFonts w:hint="eastAsia"/>
                <w:color w:val="auto"/>
              </w:rPr>
              <w:t>提供的其他资料，</w:t>
            </w:r>
            <w:r>
              <w:rPr>
                <w:rFonts w:hint="eastAsia" w:ascii="Times New Roman" w:hAnsi="Times New Roman" w:eastAsia="宋体" w:cs="Times New Roman"/>
                <w:color w:val="auto"/>
                <w:sz w:val="24"/>
                <w:szCs w:val="24"/>
                <w:u w:val="none" w:color="auto"/>
                <w:lang w:val="en-US" w:eastAsia="zh-CN"/>
              </w:rPr>
              <w:t>卫生院</w:t>
            </w:r>
            <w:r>
              <w:rPr>
                <w:rFonts w:hint="eastAsia"/>
                <w:color w:val="auto"/>
              </w:rPr>
              <w:t>产排污及环保设施建设情况如下：</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卫生院产生的废水主要为检测废水、一般医疗废水（门诊废水、病房废水、地面消毒、清洁废水）、</w:t>
            </w:r>
            <w:r>
              <w:rPr>
                <w:rFonts w:hint="eastAsia" w:cs="Times New Roman"/>
                <w:color w:val="auto"/>
                <w:sz w:val="24"/>
                <w:szCs w:val="24"/>
                <w:u w:val="none" w:color="auto"/>
                <w:lang w:val="en-US" w:eastAsia="zh-CN"/>
              </w:rPr>
              <w:t>其他生活</w:t>
            </w:r>
            <w:r>
              <w:rPr>
                <w:rFonts w:hint="eastAsia" w:ascii="Times New Roman" w:hAnsi="Times New Roman" w:eastAsia="宋体" w:cs="Times New Roman"/>
                <w:color w:val="auto"/>
                <w:sz w:val="24"/>
                <w:szCs w:val="24"/>
                <w:u w:val="none" w:color="auto"/>
                <w:lang w:val="en-US" w:eastAsia="zh-CN"/>
              </w:rPr>
              <w:t>污水（医务人员生活污水）、食堂废水。</w:t>
            </w:r>
            <w:r>
              <w:rPr>
                <w:rFonts w:hint="default" w:ascii="Times New Roman" w:hAnsi="Times New Roman" w:eastAsia="宋体" w:cs="Times New Roman"/>
                <w:color w:val="auto"/>
                <w:sz w:val="24"/>
                <w:szCs w:val="24"/>
                <w:u w:val="none" w:color="auto"/>
                <w:lang w:val="en-US" w:eastAsia="zh-CN"/>
              </w:rPr>
              <w:t>根据现场踏勘可知，项目设置了</w:t>
            </w:r>
            <w:r>
              <w:rPr>
                <w:rFonts w:hint="eastAsia" w:cs="Times New Roman"/>
                <w:color w:val="auto"/>
                <w:sz w:val="24"/>
                <w:szCs w:val="24"/>
                <w:u w:val="none" w:color="auto"/>
                <w:lang w:val="en-US" w:eastAsia="zh-CN"/>
              </w:rPr>
              <w:t>一处</w:t>
            </w:r>
            <w:r>
              <w:rPr>
                <w:rFonts w:hint="default" w:ascii="Times New Roman" w:hAnsi="Times New Roman" w:eastAsia="宋体" w:cs="Times New Roman"/>
                <w:color w:val="auto"/>
                <w:sz w:val="24"/>
                <w:szCs w:val="24"/>
                <w:u w:val="none" w:color="auto"/>
                <w:lang w:val="en-US" w:eastAsia="zh-CN"/>
              </w:rPr>
              <w:t>废水处理站。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u w:val="none" w:color="auto"/>
                <w:lang w:val="en-US" w:eastAsia="zh-CN"/>
              </w:rPr>
              <w:t>本次环评</w:t>
            </w:r>
            <w:r>
              <w:rPr>
                <w:rFonts w:hint="eastAsia" w:cs="Times New Roman"/>
                <w:color w:val="auto"/>
                <w:sz w:val="24"/>
                <w:szCs w:val="24"/>
                <w:u w:val="none" w:color="auto"/>
                <w:lang w:val="en-US" w:eastAsia="zh-CN"/>
              </w:rPr>
              <w:t>引用</w:t>
            </w:r>
            <w:r>
              <w:rPr>
                <w:rFonts w:hint="eastAsia" w:ascii="Times New Roman" w:hAnsi="Times New Roman" w:eastAsia="宋体" w:cs="Times New Roman"/>
                <w:color w:val="auto"/>
                <w:sz w:val="24"/>
                <w:szCs w:val="24"/>
                <w:highlight w:val="none"/>
                <w:u w:val="none" w:color="auto"/>
                <w:lang w:val="en-US" w:eastAsia="zh-CN"/>
              </w:rPr>
              <w:t>湖南山水检测</w:t>
            </w:r>
            <w:r>
              <w:rPr>
                <w:rFonts w:hint="default" w:ascii="Times New Roman" w:hAnsi="Times New Roman" w:eastAsia="宋体" w:cs="Times New Roman"/>
                <w:color w:val="auto"/>
                <w:sz w:val="24"/>
                <w:szCs w:val="24"/>
                <w:highlight w:val="none"/>
                <w:u w:val="none" w:color="auto"/>
              </w:rPr>
              <w:t>有限公司</w:t>
            </w:r>
            <w:r>
              <w:rPr>
                <w:rFonts w:hint="eastAsia" w:ascii="Times New Roman" w:hAnsi="Times New Roman" w:eastAsia="宋体" w:cs="Times New Roman"/>
                <w:color w:val="auto"/>
                <w:sz w:val="24"/>
                <w:szCs w:val="24"/>
                <w:highlight w:val="none"/>
                <w:u w:val="none" w:color="auto"/>
                <w:lang w:val="en-US" w:eastAsia="zh-CN"/>
              </w:rPr>
              <w:t>于</w:t>
            </w:r>
            <w:r>
              <w:rPr>
                <w:rFonts w:hint="default" w:ascii="Times New Roman" w:hAnsi="Times New Roman" w:eastAsia="宋体" w:cs="Times New Roman"/>
                <w:color w:val="auto"/>
                <w:sz w:val="24"/>
                <w:szCs w:val="24"/>
                <w:highlight w:val="none"/>
                <w:u w:val="none" w:color="auto"/>
              </w:rPr>
              <w:t>202</w:t>
            </w:r>
            <w:r>
              <w:rPr>
                <w:rFonts w:hint="eastAsia" w:ascii="Times New Roman" w:hAnsi="Times New Roman" w:eastAsia="宋体" w:cs="Times New Roman"/>
                <w:color w:val="auto"/>
                <w:sz w:val="24"/>
                <w:szCs w:val="24"/>
                <w:highlight w:val="none"/>
                <w:u w:val="none" w:color="auto"/>
                <w:lang w:val="en-US" w:eastAsia="zh-CN"/>
              </w:rPr>
              <w:t>3</w:t>
            </w:r>
            <w:r>
              <w:rPr>
                <w:rFonts w:hint="default" w:ascii="Times New Roman" w:hAnsi="Times New Roman" w:eastAsia="宋体" w:cs="Times New Roman"/>
                <w:color w:val="auto"/>
                <w:sz w:val="24"/>
                <w:szCs w:val="24"/>
                <w:highlight w:val="none"/>
                <w:u w:val="none" w:color="auto"/>
              </w:rPr>
              <w:t>年</w:t>
            </w:r>
            <w:r>
              <w:rPr>
                <w:rFonts w:hint="eastAsia" w:ascii="Times New Roman" w:hAnsi="Times New Roman" w:eastAsia="宋体" w:cs="Times New Roman"/>
                <w:color w:val="auto"/>
                <w:sz w:val="24"/>
                <w:szCs w:val="24"/>
                <w:highlight w:val="none"/>
                <w:u w:val="none" w:color="auto"/>
                <w:lang w:val="en-US" w:eastAsia="zh-CN"/>
              </w:rPr>
              <w:t>9</w:t>
            </w:r>
            <w:r>
              <w:rPr>
                <w:rFonts w:hint="default" w:ascii="Times New Roman" w:hAnsi="Times New Roman" w:eastAsia="宋体" w:cs="Times New Roman"/>
                <w:color w:val="auto"/>
                <w:sz w:val="24"/>
                <w:szCs w:val="24"/>
                <w:highlight w:val="none"/>
                <w:u w:val="none" w:color="auto"/>
              </w:rPr>
              <w:t>月</w:t>
            </w:r>
            <w:r>
              <w:rPr>
                <w:rFonts w:hint="eastAsia" w:ascii="Times New Roman" w:hAnsi="Times New Roman" w:eastAsia="宋体" w:cs="Times New Roman"/>
                <w:color w:val="auto"/>
                <w:sz w:val="24"/>
                <w:szCs w:val="24"/>
                <w:highlight w:val="none"/>
                <w:u w:val="none" w:color="auto"/>
                <w:lang w:val="en-US" w:eastAsia="zh-CN"/>
              </w:rPr>
              <w:t>10</w:t>
            </w:r>
            <w:r>
              <w:rPr>
                <w:rFonts w:hint="default" w:ascii="Times New Roman" w:hAnsi="Times New Roman" w:eastAsia="宋体" w:cs="Times New Roman"/>
                <w:color w:val="auto"/>
                <w:sz w:val="24"/>
                <w:szCs w:val="24"/>
                <w:highlight w:val="none"/>
                <w:u w:val="none" w:color="auto"/>
              </w:rPr>
              <w:t>日</w:t>
            </w:r>
            <w:r>
              <w:rPr>
                <w:rFonts w:hint="eastAsia" w:ascii="Times New Roman" w:hAnsi="Times New Roman" w:eastAsia="宋体" w:cs="Times New Roman"/>
                <w:color w:val="auto"/>
                <w:sz w:val="24"/>
                <w:szCs w:val="24"/>
                <w:highlight w:val="none"/>
                <w:u w:val="none" w:color="auto"/>
                <w:lang w:val="en-US" w:eastAsia="zh-CN"/>
              </w:rPr>
              <w:t>对</w:t>
            </w:r>
            <w:r>
              <w:rPr>
                <w:rFonts w:hint="default" w:ascii="Times New Roman" w:hAnsi="Times New Roman" w:eastAsia="宋体" w:cs="Times New Roman"/>
                <w:color w:val="auto"/>
                <w:spacing w:val="-2"/>
                <w:sz w:val="24"/>
                <w:szCs w:val="24"/>
                <w:highlight w:val="none"/>
                <w:u w:val="none" w:color="auto"/>
              </w:rPr>
              <w:t>现有</w:t>
            </w:r>
            <w:r>
              <w:rPr>
                <w:rFonts w:hint="eastAsia" w:ascii="Times New Roman" w:hAnsi="Times New Roman" w:eastAsia="宋体" w:cs="Times New Roman"/>
                <w:color w:val="auto"/>
                <w:spacing w:val="-2"/>
                <w:sz w:val="24"/>
                <w:szCs w:val="24"/>
                <w:highlight w:val="none"/>
                <w:u w:val="none" w:color="auto"/>
                <w:lang w:eastAsia="zh-CN"/>
              </w:rPr>
              <w:t>地埋式污水处理系统</w:t>
            </w:r>
            <w:r>
              <w:rPr>
                <w:rFonts w:hint="eastAsia" w:ascii="Times New Roman" w:hAnsi="Times New Roman" w:eastAsia="宋体" w:cs="Times New Roman"/>
                <w:color w:val="auto"/>
                <w:spacing w:val="-2"/>
                <w:sz w:val="24"/>
                <w:szCs w:val="24"/>
                <w:highlight w:val="none"/>
                <w:u w:val="none" w:color="auto"/>
                <w:lang w:val="en-US" w:eastAsia="zh-CN"/>
              </w:rPr>
              <w:t>的</w:t>
            </w:r>
            <w:r>
              <w:rPr>
                <w:rFonts w:hint="default" w:ascii="Times New Roman" w:hAnsi="Times New Roman" w:eastAsia="宋体" w:cs="Times New Roman"/>
                <w:color w:val="auto"/>
                <w:spacing w:val="-2"/>
                <w:sz w:val="24"/>
                <w:szCs w:val="24"/>
                <w:highlight w:val="none"/>
                <w:u w:val="none" w:color="auto"/>
              </w:rPr>
              <w:t>废水</w:t>
            </w:r>
            <w:r>
              <w:rPr>
                <w:rFonts w:hint="eastAsia" w:ascii="Times New Roman" w:hAnsi="Times New Roman" w:eastAsia="宋体" w:cs="Times New Roman"/>
                <w:color w:val="auto"/>
                <w:spacing w:val="-2"/>
                <w:sz w:val="24"/>
                <w:szCs w:val="24"/>
                <w:highlight w:val="none"/>
                <w:u w:val="none" w:color="auto"/>
                <w:lang w:val="en-US" w:eastAsia="zh-CN"/>
              </w:rPr>
              <w:t>进行监测，</w:t>
            </w:r>
            <w:r>
              <w:rPr>
                <w:rFonts w:hint="default" w:ascii="Times New Roman" w:hAnsi="Times New Roman" w:eastAsia="宋体" w:cs="Times New Roman"/>
                <w:color w:val="auto"/>
                <w:spacing w:val="-2"/>
                <w:sz w:val="24"/>
                <w:szCs w:val="24"/>
                <w:highlight w:val="none"/>
                <w:u w:val="none" w:color="auto"/>
              </w:rPr>
              <w:t>监测数据如下：</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表</w:t>
            </w:r>
            <w:r>
              <w:rPr>
                <w:rFonts w:hint="eastAsia" w:ascii="Times New Roman" w:hAnsi="Times New Roman" w:eastAsia="宋体" w:cs="Times New Roman"/>
                <w:color w:val="auto"/>
                <w:sz w:val="24"/>
                <w:szCs w:val="24"/>
                <w:highlight w:val="none"/>
                <w:u w:val="none" w:color="auto"/>
                <w:lang w:val="en-US" w:eastAsia="zh-CN"/>
              </w:rPr>
              <w:t>2</w:t>
            </w:r>
            <w:r>
              <w:rPr>
                <w:rFonts w:hint="default" w:ascii="Times New Roman" w:hAnsi="Times New Roman" w:eastAsia="宋体" w:cs="Times New Roman"/>
                <w:color w:val="auto"/>
                <w:sz w:val="24"/>
                <w:szCs w:val="24"/>
                <w:highlight w:val="none"/>
                <w:u w:val="none" w:color="auto"/>
              </w:rPr>
              <w:t>-6</w:t>
            </w:r>
            <w:r>
              <w:rPr>
                <w:rFonts w:hint="eastAsia" w:cs="Times New Roman"/>
                <w:color w:val="auto"/>
                <w:sz w:val="24"/>
                <w:szCs w:val="24"/>
                <w:highlight w:val="none"/>
                <w:u w:val="none" w:color="auto"/>
                <w:lang w:val="en-US" w:eastAsia="zh-CN"/>
              </w:rPr>
              <w:t xml:space="preserve">  </w:t>
            </w:r>
            <w:r>
              <w:rPr>
                <w:rFonts w:hint="default" w:ascii="Times New Roman" w:hAnsi="Times New Roman" w:eastAsia="宋体" w:cs="Times New Roman"/>
                <w:color w:val="auto"/>
                <w:sz w:val="24"/>
                <w:szCs w:val="24"/>
                <w:highlight w:val="none"/>
                <w:u w:val="none" w:color="auto"/>
              </w:rPr>
              <w:t>现有项目废水主要污染因子排污情况一览表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123"/>
              <w:gridCol w:w="1147"/>
              <w:gridCol w:w="1528"/>
              <w:gridCol w:w="1149"/>
              <w:gridCol w:w="1150"/>
              <w:gridCol w:w="1150"/>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trPr>
              <w:tc>
                <w:tcPr>
                  <w:tcW w:w="11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采样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日期</w:t>
                  </w:r>
                </w:p>
              </w:tc>
              <w:tc>
                <w:tcPr>
                  <w:tcW w:w="11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检测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点位</w:t>
                  </w:r>
                </w:p>
              </w:tc>
              <w:tc>
                <w:tcPr>
                  <w:tcW w:w="114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样品</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状态</w:t>
                  </w:r>
                </w:p>
              </w:tc>
              <w:tc>
                <w:tcPr>
                  <w:tcW w:w="15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检测指标</w:t>
                  </w:r>
                </w:p>
              </w:tc>
              <w:tc>
                <w:tcPr>
                  <w:tcW w:w="345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检测结果（mg/L，有标注除外）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9月10日</w:t>
                  </w:r>
                </w:p>
              </w:tc>
              <w:tc>
                <w:tcPr>
                  <w:tcW w:w="11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废水处理设施进</w:t>
                  </w:r>
                  <w:r>
                    <w:rPr>
                      <w:rFonts w:hint="eastAsia" w:ascii="Times New Roman" w:hAnsi="Times New Roman" w:eastAsia="宋体" w:cs="Times New Roman"/>
                      <w:color w:val="auto"/>
                      <w:sz w:val="21"/>
                      <w:szCs w:val="21"/>
                      <w:highlight w:val="none"/>
                      <w:u w:val="none" w:color="auto"/>
                      <w:vertAlign w:val="baseline"/>
                      <w:lang w:val="en-US" w:eastAsia="zh-CN"/>
                    </w:rPr>
                    <w:t>水</w:t>
                  </w:r>
                  <w:r>
                    <w:rPr>
                      <w:rFonts w:hint="default" w:ascii="Times New Roman" w:hAnsi="Times New Roman" w:eastAsia="宋体" w:cs="Times New Roman"/>
                      <w:color w:val="auto"/>
                      <w:sz w:val="21"/>
                      <w:szCs w:val="21"/>
                      <w:highlight w:val="none"/>
                      <w:u w:val="none" w:color="auto"/>
                      <w:vertAlign w:val="baseline"/>
                    </w:rPr>
                    <w:t>口</w:t>
                  </w:r>
                </w:p>
              </w:tc>
              <w:tc>
                <w:tcPr>
                  <w:tcW w:w="114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淡</w:t>
                  </w:r>
                  <w:r>
                    <w:rPr>
                      <w:rFonts w:hint="default" w:ascii="Times New Roman" w:hAnsi="Times New Roman" w:eastAsia="宋体" w:cs="Times New Roman"/>
                      <w:color w:val="auto"/>
                      <w:sz w:val="21"/>
                      <w:szCs w:val="21"/>
                      <w:highlight w:val="none"/>
                      <w:u w:val="none" w:color="auto"/>
                      <w:vertAlign w:val="baseline"/>
                    </w:rPr>
                    <w:t>黄色、</w:t>
                  </w:r>
                  <w:r>
                    <w:rPr>
                      <w:rFonts w:hint="eastAsia" w:ascii="Times New Roman" w:hAnsi="Times New Roman" w:eastAsia="宋体" w:cs="Times New Roman"/>
                      <w:color w:val="auto"/>
                      <w:sz w:val="21"/>
                      <w:szCs w:val="21"/>
                      <w:highlight w:val="none"/>
                      <w:u w:val="none" w:color="auto"/>
                      <w:vertAlign w:val="baseline"/>
                      <w:lang w:val="en-US" w:eastAsia="zh-CN"/>
                    </w:rPr>
                    <w:t>微</w:t>
                  </w:r>
                  <w:r>
                    <w:rPr>
                      <w:rFonts w:hint="default" w:ascii="Times New Roman" w:hAnsi="Times New Roman" w:eastAsia="宋体" w:cs="Times New Roman"/>
                      <w:color w:val="auto"/>
                      <w:sz w:val="21"/>
                      <w:szCs w:val="21"/>
                      <w:highlight w:val="none"/>
                      <w:u w:val="none" w:color="auto"/>
                      <w:vertAlign w:val="baseline"/>
                    </w:rPr>
                    <w:t>臭</w:t>
                  </w: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少量浮油</w:t>
                  </w: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pH</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（无量纲）</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7.15</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7.10</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化学需氧量</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210</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212</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五日生化需氧量</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52.5</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53.0</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悬浮物</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52</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47</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氨氮</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59.1</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58.2</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9月10日</w:t>
                  </w:r>
                </w:p>
              </w:tc>
              <w:tc>
                <w:tcPr>
                  <w:tcW w:w="11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废水处理设施</w:t>
                  </w:r>
                  <w:r>
                    <w:rPr>
                      <w:rFonts w:hint="eastAsia" w:ascii="Times New Roman" w:hAnsi="Times New Roman" w:eastAsia="宋体" w:cs="Times New Roman"/>
                      <w:color w:val="auto"/>
                      <w:sz w:val="21"/>
                      <w:szCs w:val="21"/>
                      <w:highlight w:val="none"/>
                      <w:u w:val="none" w:color="auto"/>
                      <w:vertAlign w:val="baseline"/>
                      <w:lang w:val="en-US" w:eastAsia="zh-CN"/>
                    </w:rPr>
                    <w:t>总排放</w:t>
                  </w:r>
                  <w:r>
                    <w:rPr>
                      <w:rFonts w:hint="default" w:ascii="Times New Roman" w:hAnsi="Times New Roman" w:eastAsia="宋体" w:cs="Times New Roman"/>
                      <w:color w:val="auto"/>
                      <w:sz w:val="21"/>
                      <w:szCs w:val="21"/>
                      <w:highlight w:val="none"/>
                      <w:u w:val="none" w:color="auto"/>
                      <w:vertAlign w:val="baseline"/>
                    </w:rPr>
                    <w:t>口</w:t>
                  </w:r>
                </w:p>
              </w:tc>
              <w:tc>
                <w:tcPr>
                  <w:tcW w:w="114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无</w:t>
                  </w:r>
                  <w:r>
                    <w:rPr>
                      <w:rFonts w:hint="default" w:ascii="Times New Roman" w:hAnsi="Times New Roman" w:eastAsia="宋体" w:cs="Times New Roman"/>
                      <w:color w:val="auto"/>
                      <w:sz w:val="21"/>
                      <w:szCs w:val="21"/>
                      <w:highlight w:val="none"/>
                      <w:u w:val="none" w:color="auto"/>
                      <w:vertAlign w:val="baseline"/>
                    </w:rPr>
                    <w:t>色、</w:t>
                  </w:r>
                  <w:r>
                    <w:rPr>
                      <w:rFonts w:hint="eastAsia" w:ascii="Times New Roman" w:hAnsi="Times New Roman" w:eastAsia="宋体" w:cs="Times New Roman"/>
                      <w:color w:val="auto"/>
                      <w:sz w:val="21"/>
                      <w:szCs w:val="21"/>
                      <w:highlight w:val="none"/>
                      <w:u w:val="none" w:color="auto"/>
                      <w:vertAlign w:val="baseline"/>
                      <w:lang w:val="en-US" w:eastAsia="zh-CN"/>
                    </w:rPr>
                    <w:t>微弱气味</w:t>
                  </w: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无浮油</w:t>
                  </w: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pH</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（无量纲）</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7.70</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7.50</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粪大肠菌群</w:t>
                  </w:r>
                  <w:r>
                    <w:rPr>
                      <w:rFonts w:hint="eastAsia" w:ascii="Times New Roman" w:hAnsi="Times New Roman" w:eastAsia="宋体" w:cs="Times New Roman"/>
                      <w:color w:val="auto"/>
                      <w:sz w:val="21"/>
                      <w:szCs w:val="21"/>
                      <w:highlight w:val="none"/>
                      <w:u w:val="none" w:color="auto"/>
                      <w:vertAlign w:val="baseline"/>
                      <w:lang w:eastAsia="zh-CN"/>
                    </w:rPr>
                    <w:t>（MPN/L）</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1300</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2400</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化学需氧量</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29</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32</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五日生化需氧量</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7.2</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8.0</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悬浮物</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18</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17</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氨氮</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14.7</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7.33</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10.2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rPr>
              <w:t>根</w:t>
            </w:r>
            <w:r>
              <w:rPr>
                <w:rFonts w:hint="default" w:ascii="Times New Roman" w:hAnsi="Times New Roman" w:eastAsia="宋体" w:cs="Times New Roman"/>
                <w:color w:val="auto"/>
                <w:sz w:val="24"/>
                <w:szCs w:val="24"/>
                <w:highlight w:val="none"/>
                <w:u w:val="none" w:color="auto"/>
                <w:lang w:val="en-US" w:eastAsia="zh-CN"/>
              </w:rPr>
              <w:t>据监测结果可知，</w:t>
            </w:r>
            <w:r>
              <w:rPr>
                <w:rFonts w:hint="default" w:ascii="Times New Roman" w:hAnsi="Times New Roman" w:cs="Times New Roman"/>
                <w:color w:val="auto"/>
                <w:kern w:val="0"/>
                <w:sz w:val="24"/>
                <w:szCs w:val="24"/>
                <w:u w:val="none" w:color="auto"/>
              </w:rPr>
              <w:t>项目运营期废水经</w:t>
            </w:r>
            <w:r>
              <w:rPr>
                <w:rFonts w:hint="eastAsia" w:ascii="Times New Roman" w:hAnsi="Times New Roman" w:cs="Times New Roman"/>
                <w:color w:val="auto"/>
                <w:kern w:val="0"/>
                <w:sz w:val="24"/>
                <w:szCs w:val="24"/>
                <w:u w:val="none" w:color="auto"/>
                <w:lang w:eastAsia="zh-CN"/>
              </w:rPr>
              <w:t>地埋式污水处理系统</w:t>
            </w:r>
            <w:r>
              <w:rPr>
                <w:rFonts w:hint="default" w:ascii="Times New Roman" w:hAnsi="Times New Roman" w:cs="Times New Roman"/>
                <w:color w:val="auto"/>
                <w:kern w:val="0"/>
                <w:sz w:val="24"/>
                <w:szCs w:val="24"/>
                <w:u w:val="none" w:color="auto"/>
              </w:rPr>
              <w:t>进行处理，达到《医疗机构水污染物排放标准》（GB18466-2005）表2预处理标准要求，经污水管网排入</w:t>
            </w:r>
            <w:r>
              <w:rPr>
                <w:rFonts w:hint="default" w:ascii="Times New Roman" w:hAnsi="Times New Roman" w:cs="Times New Roman"/>
                <w:color w:val="auto"/>
                <w:kern w:val="0"/>
                <w:sz w:val="24"/>
                <w:szCs w:val="24"/>
                <w:u w:val="none" w:color="auto"/>
                <w:lang w:eastAsia="zh-CN"/>
              </w:rPr>
              <w:t>湘阴县</w:t>
            </w:r>
            <w:r>
              <w:rPr>
                <w:rFonts w:hint="eastAsia" w:ascii="Times New Roman" w:hAnsi="Times New Roman" w:cs="Times New Roman"/>
                <w:color w:val="auto"/>
                <w:kern w:val="0"/>
                <w:sz w:val="24"/>
                <w:szCs w:val="24"/>
                <w:u w:val="none" w:color="auto"/>
                <w:lang w:eastAsia="zh-CN"/>
              </w:rPr>
              <w:t>东塘</w:t>
            </w:r>
            <w:r>
              <w:rPr>
                <w:rFonts w:hint="default" w:ascii="Times New Roman" w:hAnsi="Times New Roman" w:cs="Times New Roman"/>
                <w:color w:val="auto"/>
                <w:kern w:val="0"/>
                <w:sz w:val="24"/>
                <w:szCs w:val="24"/>
                <w:u w:val="none" w:color="auto"/>
                <w:lang w:eastAsia="zh-CN"/>
              </w:rPr>
              <w:t>镇污水处理厂</w:t>
            </w:r>
            <w:r>
              <w:rPr>
                <w:rFonts w:hint="default" w:ascii="Times New Roman" w:hAnsi="Times New Roman" w:eastAsia="宋体" w:cs="Times New Roman"/>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根据检测结果和污水处理厂排放标准，</w:t>
            </w:r>
            <w:r>
              <w:rPr>
                <w:rFonts w:hint="eastAsia" w:ascii="Times New Roman" w:hAnsi="Times New Roman" w:eastAsia="宋体" w:cs="Times New Roman"/>
                <w:color w:val="auto"/>
                <w:sz w:val="24"/>
                <w:szCs w:val="24"/>
                <w:lang w:val="en-US" w:eastAsia="zh-CN"/>
              </w:rPr>
              <w:t>医院废水污染物产排情况见表</w:t>
            </w: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7</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表</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 xml:space="preserve">7  </w:t>
            </w:r>
            <w:r>
              <w:rPr>
                <w:rFonts w:hint="eastAsia" w:ascii="Times New Roman" w:hAnsi="Times New Roman" w:eastAsia="宋体" w:cs="Times New Roman"/>
                <w:color w:val="auto"/>
                <w:sz w:val="24"/>
                <w:szCs w:val="24"/>
                <w:highlight w:val="none"/>
                <w:lang w:val="en-US" w:eastAsia="zh-CN"/>
              </w:rPr>
              <w:t>医院</w:t>
            </w:r>
            <w:r>
              <w:rPr>
                <w:rFonts w:hint="default" w:ascii="Times New Roman" w:hAnsi="Times New Roman" w:eastAsia="宋体" w:cs="Times New Roman"/>
                <w:color w:val="auto"/>
                <w:sz w:val="24"/>
                <w:szCs w:val="24"/>
                <w:highlight w:val="none"/>
              </w:rPr>
              <w:t>废水主要污染物因子产排污情况一览表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2"/>
              <w:gridCol w:w="1162"/>
              <w:gridCol w:w="1478"/>
              <w:gridCol w:w="1655"/>
              <w:gridCol w:w="139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99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污染物种类</w:t>
                  </w:r>
                </w:p>
              </w:tc>
              <w:tc>
                <w:tcPr>
                  <w:tcW w:w="88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废水总量</w:t>
                  </w:r>
                </w:p>
              </w:tc>
              <w:tc>
                <w:tcPr>
                  <w:tcW w:w="112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产生浓度</w:t>
                  </w:r>
                </w:p>
              </w:tc>
              <w:tc>
                <w:tcPr>
                  <w:tcW w:w="12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产生量</w:t>
                  </w:r>
                  <w:r>
                    <w:rPr>
                      <w:rFonts w:hint="eastAsia" w:cs="Times New Roman"/>
                      <w:bCs/>
                      <w:color w:val="auto"/>
                      <w:spacing w:val="-10"/>
                      <w:sz w:val="21"/>
                      <w:szCs w:val="21"/>
                      <w:highlight w:val="none"/>
                      <w:vertAlign w:val="baseline"/>
                      <w:lang w:val="en-US" w:eastAsia="zh-CN"/>
                    </w:rPr>
                    <w:t>t/a</w:t>
                  </w:r>
                </w:p>
              </w:tc>
              <w:tc>
                <w:tcPr>
                  <w:tcW w:w="10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cs="Times New Roman"/>
                      <w:bCs/>
                      <w:color w:val="auto"/>
                      <w:spacing w:val="-10"/>
                      <w:sz w:val="21"/>
                      <w:szCs w:val="21"/>
                      <w:highlight w:val="none"/>
                      <w:vertAlign w:val="baseline"/>
                      <w:lang w:val="en-US" w:eastAsia="zh-CN"/>
                    </w:rPr>
                    <w:t>污水处理厂排放浓度</w:t>
                  </w:r>
                </w:p>
              </w:tc>
              <w:tc>
                <w:tcPr>
                  <w:tcW w:w="10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排放量</w:t>
                  </w:r>
                  <w:r>
                    <w:rPr>
                      <w:rFonts w:hint="eastAsia" w:cs="Times New Roman"/>
                      <w:bCs/>
                      <w:color w:val="auto"/>
                      <w:spacing w:val="-10"/>
                      <w:sz w:val="21"/>
                      <w:szCs w:val="21"/>
                      <w:highlight w:val="none"/>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COD</w:t>
                  </w:r>
                  <w:r>
                    <w:rPr>
                      <w:rFonts w:hint="eastAsia" w:ascii="Times New Roman" w:hAnsi="Times New Roman" w:eastAsia="宋体" w:cs="Times New Roman"/>
                      <w:bCs/>
                      <w:color w:val="auto"/>
                      <w:spacing w:val="-10"/>
                      <w:sz w:val="21"/>
                      <w:szCs w:val="21"/>
                      <w:highlight w:val="none"/>
                      <w:vertAlign w:val="subscript"/>
                      <w:lang w:val="en-US" w:eastAsia="zh-CN"/>
                    </w:rPr>
                    <w:t>Cr</w:t>
                  </w:r>
                </w:p>
              </w:tc>
              <w:tc>
                <w:tcPr>
                  <w:tcW w:w="886"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3640.6t/a</w:t>
                  </w:r>
                </w:p>
              </w:tc>
              <w:tc>
                <w:tcPr>
                  <w:tcW w:w="112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eastAsia" w:cs="Times New Roman"/>
                      <w:bCs/>
                      <w:color w:val="auto"/>
                      <w:spacing w:val="-10"/>
                      <w:sz w:val="21"/>
                      <w:szCs w:val="21"/>
                      <w:highlight w:val="none"/>
                      <w:vertAlign w:val="baseline"/>
                      <w:lang w:val="en-US" w:eastAsia="zh-CN"/>
                    </w:rPr>
                    <w:t>212</w:t>
                  </w:r>
                  <w:r>
                    <w:rPr>
                      <w:rFonts w:hint="eastAsia" w:ascii="Times New Roman" w:hAnsi="Times New Roman" w:eastAsia="宋体" w:cs="Times New Roman"/>
                      <w:bCs/>
                      <w:color w:val="auto"/>
                      <w:spacing w:val="-10"/>
                      <w:sz w:val="21"/>
                      <w:szCs w:val="21"/>
                      <w:highlight w:val="none"/>
                      <w:vertAlign w:val="baseline"/>
                      <w:lang w:val="en-US" w:eastAsia="zh-CN"/>
                    </w:rPr>
                    <w:t>mg/L</w:t>
                  </w:r>
                </w:p>
              </w:tc>
              <w:tc>
                <w:tcPr>
                  <w:tcW w:w="126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0.772 </w:t>
                  </w:r>
                </w:p>
              </w:tc>
              <w:tc>
                <w:tcPr>
                  <w:tcW w:w="10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50</w:t>
                  </w:r>
                </w:p>
              </w:tc>
              <w:tc>
                <w:tcPr>
                  <w:tcW w:w="10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0.182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BOD</w:t>
                  </w:r>
                  <w:r>
                    <w:rPr>
                      <w:rFonts w:hint="eastAsia" w:ascii="Times New Roman" w:hAnsi="Times New Roman" w:eastAsia="宋体" w:cs="Times New Roman"/>
                      <w:bCs/>
                      <w:color w:val="auto"/>
                      <w:spacing w:val="-10"/>
                      <w:sz w:val="21"/>
                      <w:szCs w:val="21"/>
                      <w:highlight w:val="none"/>
                      <w:vertAlign w:val="subscript"/>
                      <w:lang w:val="en-US" w:eastAsia="zh-CN"/>
                    </w:rPr>
                    <w:t>5</w:t>
                  </w:r>
                </w:p>
              </w:tc>
              <w:tc>
                <w:tcPr>
                  <w:tcW w:w="88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p>
              </w:tc>
              <w:tc>
                <w:tcPr>
                  <w:tcW w:w="112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eastAsia" w:cs="Times New Roman"/>
                      <w:bCs/>
                      <w:color w:val="auto"/>
                      <w:spacing w:val="-10"/>
                      <w:sz w:val="21"/>
                      <w:szCs w:val="21"/>
                      <w:highlight w:val="none"/>
                      <w:vertAlign w:val="baseline"/>
                      <w:lang w:val="en-US" w:eastAsia="zh-CN"/>
                    </w:rPr>
                    <w:t>53</w:t>
                  </w:r>
                  <w:r>
                    <w:rPr>
                      <w:rFonts w:hint="eastAsia" w:ascii="Times New Roman" w:hAnsi="Times New Roman" w:eastAsia="宋体" w:cs="Times New Roman"/>
                      <w:bCs/>
                      <w:color w:val="auto"/>
                      <w:spacing w:val="-10"/>
                      <w:sz w:val="21"/>
                      <w:szCs w:val="21"/>
                      <w:highlight w:val="none"/>
                      <w:vertAlign w:val="baseline"/>
                      <w:lang w:val="en-US" w:eastAsia="zh-CN"/>
                    </w:rPr>
                    <w:t>mg/L</w:t>
                  </w:r>
                </w:p>
              </w:tc>
              <w:tc>
                <w:tcPr>
                  <w:tcW w:w="126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0.193 </w:t>
                  </w:r>
                </w:p>
              </w:tc>
              <w:tc>
                <w:tcPr>
                  <w:tcW w:w="10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w:t>
                  </w:r>
                </w:p>
              </w:tc>
              <w:tc>
                <w:tcPr>
                  <w:tcW w:w="10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99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SS</w:t>
                  </w:r>
                </w:p>
              </w:tc>
              <w:tc>
                <w:tcPr>
                  <w:tcW w:w="88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p>
              </w:tc>
              <w:tc>
                <w:tcPr>
                  <w:tcW w:w="112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eastAsia" w:cs="Times New Roman"/>
                      <w:bCs/>
                      <w:color w:val="auto"/>
                      <w:spacing w:val="-10"/>
                      <w:sz w:val="21"/>
                      <w:szCs w:val="21"/>
                      <w:highlight w:val="none"/>
                      <w:vertAlign w:val="baseline"/>
                      <w:lang w:val="en-US" w:eastAsia="zh-CN"/>
                    </w:rPr>
                    <w:t>6</w:t>
                  </w:r>
                  <w:r>
                    <w:rPr>
                      <w:rFonts w:hint="eastAsia" w:ascii="Times New Roman" w:hAnsi="Times New Roman" w:eastAsia="宋体" w:cs="Times New Roman"/>
                      <w:bCs/>
                      <w:color w:val="auto"/>
                      <w:spacing w:val="-10"/>
                      <w:sz w:val="21"/>
                      <w:szCs w:val="21"/>
                      <w:highlight w:val="none"/>
                      <w:vertAlign w:val="baseline"/>
                      <w:lang w:val="en-US" w:eastAsia="zh-CN"/>
                    </w:rPr>
                    <w:t>0mg/L</w:t>
                  </w:r>
                </w:p>
              </w:tc>
              <w:tc>
                <w:tcPr>
                  <w:tcW w:w="126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0.218 </w:t>
                  </w:r>
                </w:p>
              </w:tc>
              <w:tc>
                <w:tcPr>
                  <w:tcW w:w="10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w:t>
                  </w:r>
                </w:p>
              </w:tc>
              <w:tc>
                <w:tcPr>
                  <w:tcW w:w="10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氨氮</w:t>
                  </w:r>
                </w:p>
              </w:tc>
              <w:tc>
                <w:tcPr>
                  <w:tcW w:w="88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p>
              </w:tc>
              <w:tc>
                <w:tcPr>
                  <w:tcW w:w="112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eastAsia" w:cs="Times New Roman"/>
                      <w:bCs/>
                      <w:color w:val="auto"/>
                      <w:spacing w:val="-10"/>
                      <w:sz w:val="21"/>
                      <w:szCs w:val="21"/>
                      <w:highlight w:val="none"/>
                      <w:vertAlign w:val="baseline"/>
                      <w:lang w:val="en-US" w:eastAsia="zh-CN"/>
                    </w:rPr>
                    <w:t>59.4</w:t>
                  </w:r>
                  <w:r>
                    <w:rPr>
                      <w:rFonts w:hint="eastAsia" w:ascii="Times New Roman" w:hAnsi="Times New Roman" w:eastAsia="宋体" w:cs="Times New Roman"/>
                      <w:bCs/>
                      <w:color w:val="auto"/>
                      <w:spacing w:val="-10"/>
                      <w:sz w:val="21"/>
                      <w:szCs w:val="21"/>
                      <w:highlight w:val="none"/>
                      <w:vertAlign w:val="baseline"/>
                      <w:lang w:val="en-US" w:eastAsia="zh-CN"/>
                    </w:rPr>
                    <w:t>mg/L</w:t>
                  </w:r>
                </w:p>
              </w:tc>
              <w:tc>
                <w:tcPr>
                  <w:tcW w:w="126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0.216 </w:t>
                  </w:r>
                </w:p>
              </w:tc>
              <w:tc>
                <w:tcPr>
                  <w:tcW w:w="10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w:t>
                  </w:r>
                </w:p>
              </w:tc>
              <w:tc>
                <w:tcPr>
                  <w:tcW w:w="10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ascii="Times New Roman" w:hAnsi="Times New Roman" w:eastAsia="宋体" w:cs="Times New Roman"/>
                      <w:bCs/>
                      <w:color w:val="auto"/>
                      <w:spacing w:val="-10"/>
                      <w:sz w:val="21"/>
                      <w:szCs w:val="21"/>
                      <w:highlight w:val="none"/>
                      <w:vertAlign w:val="baseline"/>
                      <w:lang w:val="en-US" w:eastAsia="zh-CN"/>
                    </w:rPr>
                    <w:t>粪大肠菌群</w:t>
                  </w:r>
                </w:p>
              </w:tc>
              <w:tc>
                <w:tcPr>
                  <w:tcW w:w="88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p>
              </w:tc>
              <w:tc>
                <w:tcPr>
                  <w:tcW w:w="112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eastAsia" w:cs="Times New Roman"/>
                      <w:bCs/>
                      <w:color w:val="auto"/>
                      <w:spacing w:val="-10"/>
                      <w:kern w:val="2"/>
                      <w:sz w:val="21"/>
                      <w:szCs w:val="21"/>
                      <w:highlight w:val="none"/>
                      <w:vertAlign w:val="baseline"/>
                      <w:lang w:val="en-US" w:eastAsia="zh-CN" w:bidi="ar-SA"/>
                    </w:rPr>
                    <w:t>/</w:t>
                  </w:r>
                </w:p>
              </w:tc>
              <w:tc>
                <w:tcPr>
                  <w:tcW w:w="12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vertAlign w:val="baseline"/>
                      <w:lang w:val="en-US" w:eastAsia="zh-CN" w:bidi="ar-SA"/>
                    </w:rPr>
                  </w:pPr>
                  <w:r>
                    <w:rPr>
                      <w:rFonts w:hint="eastAsia" w:cs="Times New Roman"/>
                      <w:bCs/>
                      <w:color w:val="auto"/>
                      <w:spacing w:val="-10"/>
                      <w:kern w:val="2"/>
                      <w:sz w:val="21"/>
                      <w:szCs w:val="21"/>
                      <w:highlight w:val="none"/>
                      <w:vertAlign w:val="baseline"/>
                      <w:lang w:val="en-US" w:eastAsia="zh-CN" w:bidi="ar-SA"/>
                    </w:rPr>
                    <w:t>/</w:t>
                  </w:r>
                </w:p>
              </w:tc>
              <w:tc>
                <w:tcPr>
                  <w:tcW w:w="10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vertAlign w:val="baseline"/>
                      <w:lang w:val="en-US" w:eastAsia="zh-CN"/>
                    </w:rPr>
                  </w:pPr>
                  <w:r>
                    <w:rPr>
                      <w:rFonts w:hint="eastAsia" w:cs="Times New Roman"/>
                      <w:bCs/>
                      <w:color w:val="auto"/>
                      <w:spacing w:val="-10"/>
                      <w:sz w:val="21"/>
                      <w:szCs w:val="21"/>
                      <w:highlight w:val="none"/>
                      <w:vertAlign w:val="baseline"/>
                      <w:lang w:val="en-US" w:eastAsia="zh-CN"/>
                    </w:rPr>
                    <w:t>1000</w:t>
                  </w:r>
                </w:p>
              </w:tc>
              <w:tc>
                <w:tcPr>
                  <w:tcW w:w="10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1"/>
                      <w:szCs w:val="21"/>
                      <w:highlight w:val="none"/>
                      <w:vertAlign w:val="baseline"/>
                      <w:lang w:val="en-US" w:eastAsia="zh-CN"/>
                    </w:rPr>
                  </w:pPr>
                  <w:r>
                    <w:rPr>
                      <w:rFonts w:hint="eastAsia" w:cs="Times New Roman"/>
                      <w:bCs/>
                      <w:color w:val="auto"/>
                      <w:spacing w:val="-10"/>
                      <w:sz w:val="21"/>
                      <w:szCs w:val="21"/>
                      <w:highlight w:val="none"/>
                      <w:vertAlign w:val="baseline"/>
                      <w:lang w:val="en-US" w:eastAsia="zh-CN"/>
                    </w:rPr>
                    <w:t>3.64</w:t>
                  </w:r>
                  <w:r>
                    <w:rPr>
                      <w:rFonts w:hint="eastAsia" w:ascii="Times New Roman" w:hAnsi="Times New Roman" w:eastAsia="宋体" w:cs="Times New Roman"/>
                      <w:bCs/>
                      <w:color w:val="auto"/>
                      <w:spacing w:val="-10"/>
                      <w:sz w:val="21"/>
                      <w:szCs w:val="21"/>
                      <w:highlight w:val="none"/>
                      <w:vertAlign w:val="baseline"/>
                      <w:lang w:val="en-US" w:eastAsia="zh-CN"/>
                    </w:rPr>
                    <w:t>×10</w:t>
                  </w:r>
                  <w:r>
                    <w:rPr>
                      <w:rFonts w:hint="eastAsia" w:cs="Times New Roman"/>
                      <w:bCs/>
                      <w:color w:val="auto"/>
                      <w:spacing w:val="-10"/>
                      <w:sz w:val="21"/>
                      <w:szCs w:val="21"/>
                      <w:highlight w:val="none"/>
                      <w:vertAlign w:val="superscript"/>
                      <w:lang w:val="en-US" w:eastAsia="zh-CN"/>
                    </w:rPr>
                    <w:t>6</w:t>
                  </w:r>
                  <w:r>
                    <w:rPr>
                      <w:rFonts w:hint="eastAsia" w:ascii="Times New Roman" w:hAnsi="Times New Roman" w:eastAsia="宋体" w:cs="Times New Roman"/>
                      <w:bCs/>
                      <w:color w:val="auto"/>
                      <w:spacing w:val="-10"/>
                      <w:sz w:val="21"/>
                      <w:szCs w:val="21"/>
                      <w:highlight w:val="none"/>
                      <w:vertAlign w:val="baseline"/>
                      <w:lang w:val="en-US" w:eastAsia="zh-CN"/>
                    </w:rPr>
                    <w:t>个/a</w:t>
                  </w:r>
                </w:p>
              </w:tc>
            </w:tr>
          </w:tbl>
          <w:p>
            <w:pPr>
              <w:pStyle w:val="2"/>
              <w:rPr>
                <w:rFonts w:hint="default"/>
                <w:color w:val="auto"/>
                <w:lang w:val="en-US" w:eastAsia="zh-CN"/>
              </w:rPr>
            </w:pP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废气</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项目废气主要为污水处理</w:t>
            </w:r>
            <w:r>
              <w:rPr>
                <w:rFonts w:hint="eastAsia" w:cs="Times New Roman"/>
                <w:color w:val="auto"/>
                <w:sz w:val="24"/>
                <w:szCs w:val="24"/>
                <w:u w:val="none" w:color="auto"/>
                <w:lang w:val="en-US" w:eastAsia="zh-CN"/>
              </w:rPr>
              <w:t>设施异味</w:t>
            </w: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医疗废气、柴油发电机废气、</w:t>
            </w:r>
            <w:r>
              <w:rPr>
                <w:rFonts w:hint="default" w:ascii="Times New Roman" w:hAnsi="Times New Roman" w:eastAsia="宋体" w:cs="Times New Roman"/>
                <w:color w:val="auto"/>
                <w:sz w:val="24"/>
                <w:szCs w:val="24"/>
                <w:u w:val="none" w:color="auto"/>
                <w:lang w:val="en-US" w:eastAsia="zh-CN"/>
              </w:rPr>
              <w:t>食堂油烟</w:t>
            </w:r>
            <w:r>
              <w:rPr>
                <w:rFonts w:hint="eastAsia" w:cs="Times New Roman"/>
                <w:color w:val="auto"/>
                <w:sz w:val="24"/>
                <w:szCs w:val="24"/>
                <w:u w:val="none" w:color="auto"/>
                <w:lang w:val="en-US" w:eastAsia="zh-CN"/>
              </w:rPr>
              <w:t>等</w:t>
            </w:r>
            <w:r>
              <w:rPr>
                <w:rFonts w:hint="default" w:ascii="Times New Roman" w:hAnsi="Times New Roman" w:eastAsia="宋体" w:cs="Times New Roman"/>
                <w:color w:val="auto"/>
                <w:sz w:val="24"/>
                <w:szCs w:val="24"/>
                <w:u w:val="none" w:color="auto"/>
                <w:lang w:val="en-US" w:eastAsia="zh-CN"/>
              </w:rPr>
              <w:t>。根据现场踏勘可知，项目污水处理站为</w:t>
            </w:r>
            <w:r>
              <w:rPr>
                <w:rFonts w:hint="eastAsia" w:ascii="Times New Roman" w:hAnsi="Times New Roman" w:eastAsia="宋体" w:cs="Times New Roman"/>
                <w:color w:val="auto"/>
                <w:sz w:val="24"/>
                <w:szCs w:val="24"/>
                <w:u w:val="none" w:color="auto"/>
                <w:lang w:val="en-US" w:eastAsia="zh-CN"/>
              </w:rPr>
              <w:t>地埋式</w:t>
            </w:r>
            <w:r>
              <w:rPr>
                <w:rFonts w:hint="default" w:ascii="Times New Roman" w:hAnsi="Times New Roman" w:eastAsia="宋体" w:cs="Times New Roman"/>
                <w:color w:val="auto"/>
                <w:sz w:val="24"/>
                <w:szCs w:val="24"/>
                <w:u w:val="none" w:color="auto"/>
                <w:lang w:val="en-US" w:eastAsia="zh-CN"/>
              </w:rPr>
              <w:t>密封形式，通过</w:t>
            </w:r>
            <w:r>
              <w:rPr>
                <w:rFonts w:hint="eastAsia" w:ascii="Times New Roman" w:hAnsi="Times New Roman" w:eastAsia="宋体" w:cs="Times New Roman"/>
                <w:color w:val="auto"/>
                <w:sz w:val="24"/>
                <w:szCs w:val="24"/>
                <w:u w:val="none" w:color="auto"/>
                <w:lang w:val="en-US" w:eastAsia="zh-CN"/>
              </w:rPr>
              <w:t>设置站房，同时加强周边绿化，减小</w:t>
            </w:r>
            <w:r>
              <w:rPr>
                <w:rFonts w:hint="default" w:ascii="Times New Roman" w:hAnsi="Times New Roman" w:eastAsia="宋体" w:cs="Times New Roman"/>
                <w:color w:val="auto"/>
                <w:sz w:val="24"/>
                <w:szCs w:val="24"/>
                <w:u w:val="none" w:color="auto"/>
                <w:lang w:val="en-US" w:eastAsia="zh-CN"/>
              </w:rPr>
              <w:t>对周边环境的影响；</w:t>
            </w:r>
            <w:r>
              <w:rPr>
                <w:rFonts w:hint="eastAsia" w:ascii="Times New Roman" w:hAnsi="Times New Roman" w:eastAsia="宋体" w:cs="Times New Roman"/>
                <w:color w:val="auto"/>
                <w:sz w:val="24"/>
                <w:szCs w:val="24"/>
                <w:u w:val="none" w:color="auto"/>
                <w:lang w:val="en-US" w:eastAsia="zh-CN"/>
              </w:rPr>
              <w:t>医疗废气通过自然通风，柴油发电机</w:t>
            </w:r>
            <w:r>
              <w:rPr>
                <w:rFonts w:hint="default" w:ascii="Times New Roman" w:hAnsi="Times New Roman" w:eastAsia="宋体" w:cs="Times New Roman"/>
                <w:color w:val="auto"/>
                <w:kern w:val="2"/>
                <w:sz w:val="24"/>
                <w:szCs w:val="24"/>
                <w:lang w:val="en-US" w:eastAsia="zh-CN" w:bidi="ar"/>
              </w:rPr>
              <w:t>使用时间较少</w:t>
            </w:r>
            <w:r>
              <w:rPr>
                <w:rFonts w:hint="eastAsia"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sz w:val="24"/>
                <w:szCs w:val="24"/>
                <w:u w:val="none" w:color="auto"/>
                <w:lang w:val="en-US" w:eastAsia="zh-CN"/>
              </w:rPr>
              <w:t>经自然通风，对外环境空气影响较小，</w:t>
            </w:r>
            <w:r>
              <w:rPr>
                <w:rFonts w:hint="default" w:ascii="Times New Roman" w:hAnsi="Times New Roman" w:eastAsia="宋体" w:cs="Times New Roman"/>
                <w:color w:val="auto"/>
                <w:sz w:val="24"/>
                <w:szCs w:val="24"/>
                <w:u w:val="none" w:color="auto"/>
                <w:lang w:val="en-US" w:eastAsia="zh-CN"/>
              </w:rPr>
              <w:t>食堂油烟</w:t>
            </w:r>
            <w:r>
              <w:rPr>
                <w:rFonts w:hint="eastAsia" w:ascii="Times New Roman" w:hAnsi="Times New Roman" w:eastAsia="宋体" w:cs="Times New Roman"/>
                <w:color w:val="auto"/>
                <w:sz w:val="24"/>
                <w:szCs w:val="24"/>
                <w:u w:val="none" w:color="auto"/>
                <w:lang w:val="en-US" w:eastAsia="zh-CN"/>
              </w:rPr>
              <w:t>经排气扇引至屋外排放</w:t>
            </w:r>
            <w:r>
              <w:rPr>
                <w:rFonts w:hint="default" w:ascii="Times New Roman" w:hAnsi="Times New Roman" w:eastAsia="宋体" w:cs="Times New Roman"/>
                <w:color w:val="auto"/>
                <w:sz w:val="24"/>
                <w:szCs w:val="24"/>
                <w:u w:val="none" w:color="auto"/>
                <w:lang w:val="en-US" w:eastAsia="zh-CN"/>
              </w:rPr>
              <w:t>；符合环保要求。</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噪声</w:t>
            </w:r>
          </w:p>
          <w:p>
            <w:pPr>
              <w:pStyle w:val="10"/>
              <w:bidi w:val="0"/>
              <w:rPr>
                <w:rFonts w:hint="eastAsia"/>
                <w:color w:val="auto"/>
                <w:lang w:val="en-US" w:eastAsia="zh-CN"/>
              </w:rPr>
            </w:pPr>
            <w:r>
              <w:rPr>
                <w:rFonts w:hint="eastAsia"/>
                <w:color w:val="auto"/>
                <w:lang w:val="en-US" w:eastAsia="zh-CN"/>
              </w:rPr>
              <w:t>主要噪声有医疗设备噪声、空调室外机噪声、配电设备噪声、污水处理系统噪声及人员活动噪声等。通过加强管理，禁止喧哗等措施可以降低噪声影响，对周边声环境影响较小，符合环保要求。</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u w:val="none" w:color="auto"/>
                <w:lang w:val="en-US" w:eastAsia="zh-CN" w:bidi="ar"/>
              </w:rPr>
            </w:pPr>
            <w:r>
              <w:rPr>
                <w:rFonts w:hint="default" w:ascii="Times New Roman" w:hAnsi="Times New Roman" w:eastAsia="宋体" w:cs="Times New Roman"/>
                <w:color w:val="auto"/>
                <w:sz w:val="24"/>
                <w:szCs w:val="24"/>
                <w:highlight w:val="none"/>
                <w:u w:val="none" w:color="auto"/>
              </w:rPr>
              <w:t>本</w:t>
            </w:r>
            <w:r>
              <w:rPr>
                <w:rFonts w:hint="eastAsia" w:ascii="Times New Roman" w:hAnsi="Times New Roman" w:eastAsia="宋体" w:cs="Times New Roman"/>
                <w:color w:val="auto"/>
                <w:sz w:val="24"/>
                <w:szCs w:val="24"/>
                <w:highlight w:val="none"/>
                <w:u w:val="none" w:color="auto"/>
                <w:lang w:val="en-US" w:eastAsia="zh-CN"/>
              </w:rPr>
              <w:t>次引用业主</w:t>
            </w:r>
            <w:r>
              <w:rPr>
                <w:rFonts w:hint="default" w:ascii="Times New Roman" w:hAnsi="Times New Roman" w:eastAsia="宋体" w:cs="Times New Roman"/>
                <w:bCs/>
                <w:color w:val="auto"/>
                <w:sz w:val="24"/>
                <w:szCs w:val="24"/>
                <w:highlight w:val="none"/>
                <w:u w:val="none" w:color="auto"/>
              </w:rPr>
              <w:t>委托</w:t>
            </w:r>
            <w:r>
              <w:rPr>
                <w:rFonts w:hint="default" w:ascii="Times New Roman" w:hAnsi="Times New Roman" w:eastAsia="宋体" w:cs="Times New Roman"/>
                <w:color w:val="auto"/>
                <w:sz w:val="24"/>
                <w:szCs w:val="24"/>
                <w:highlight w:val="none"/>
                <w:u w:val="none" w:color="auto"/>
              </w:rPr>
              <w:t>湖南</w:t>
            </w:r>
            <w:r>
              <w:rPr>
                <w:rFonts w:hint="eastAsia" w:ascii="Times New Roman" w:hAnsi="Times New Roman" w:eastAsia="宋体" w:cs="Times New Roman"/>
                <w:color w:val="auto"/>
                <w:sz w:val="24"/>
                <w:szCs w:val="24"/>
                <w:highlight w:val="none"/>
                <w:u w:val="none" w:color="auto"/>
                <w:lang w:val="en-US" w:eastAsia="zh-CN"/>
              </w:rPr>
              <w:t>山水</w:t>
            </w:r>
            <w:r>
              <w:rPr>
                <w:rFonts w:hint="default" w:ascii="Times New Roman" w:hAnsi="Times New Roman" w:eastAsia="宋体" w:cs="Times New Roman"/>
                <w:color w:val="auto"/>
                <w:sz w:val="24"/>
                <w:szCs w:val="24"/>
                <w:highlight w:val="none"/>
                <w:u w:val="none" w:color="auto"/>
              </w:rPr>
              <w:t>检测有限公司于202</w:t>
            </w:r>
            <w:r>
              <w:rPr>
                <w:rFonts w:hint="eastAsia" w:ascii="Times New Roman" w:hAnsi="Times New Roman" w:eastAsia="宋体" w:cs="Times New Roman"/>
                <w:color w:val="auto"/>
                <w:sz w:val="24"/>
                <w:szCs w:val="24"/>
                <w:highlight w:val="none"/>
                <w:u w:val="none" w:color="auto"/>
                <w:lang w:val="en-US" w:eastAsia="zh-CN"/>
              </w:rPr>
              <w:t>3</w:t>
            </w:r>
            <w:r>
              <w:rPr>
                <w:rFonts w:hint="default" w:ascii="Times New Roman" w:hAnsi="Times New Roman" w:eastAsia="宋体" w:cs="Times New Roman"/>
                <w:color w:val="auto"/>
                <w:sz w:val="24"/>
                <w:szCs w:val="24"/>
                <w:highlight w:val="none"/>
                <w:u w:val="none" w:color="auto"/>
              </w:rPr>
              <w:t>年</w:t>
            </w:r>
            <w:r>
              <w:rPr>
                <w:rFonts w:hint="eastAsia" w:ascii="Times New Roman" w:hAnsi="Times New Roman" w:eastAsia="宋体" w:cs="Times New Roman"/>
                <w:color w:val="auto"/>
                <w:sz w:val="24"/>
                <w:szCs w:val="24"/>
                <w:highlight w:val="none"/>
                <w:u w:val="none" w:color="auto"/>
                <w:lang w:val="en-US" w:eastAsia="zh-CN"/>
              </w:rPr>
              <w:t>5</w:t>
            </w:r>
            <w:r>
              <w:rPr>
                <w:rFonts w:hint="default" w:ascii="Times New Roman" w:hAnsi="Times New Roman" w:eastAsia="宋体" w:cs="Times New Roman"/>
                <w:color w:val="auto"/>
                <w:sz w:val="24"/>
                <w:szCs w:val="24"/>
                <w:highlight w:val="none"/>
                <w:u w:val="none" w:color="auto"/>
              </w:rPr>
              <w:t>月18日对医院厂界噪声进行监测</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厂界噪声监测结果</w:t>
            </w:r>
            <w:r>
              <w:rPr>
                <w:rFonts w:hint="eastAsia" w:ascii="Times New Roman" w:hAnsi="Times New Roman" w:eastAsia="宋体" w:cs="Times New Roman"/>
                <w:color w:val="auto"/>
                <w:sz w:val="24"/>
                <w:szCs w:val="24"/>
                <w:highlight w:val="none"/>
                <w:u w:val="none" w:color="auto"/>
                <w:lang w:val="en-US" w:eastAsia="zh-CN"/>
              </w:rPr>
              <w:t>详见表2-</w:t>
            </w:r>
            <w:r>
              <w:rPr>
                <w:rFonts w:hint="eastAsia" w:cs="Times New Roman"/>
                <w:color w:val="auto"/>
                <w:sz w:val="24"/>
                <w:szCs w:val="24"/>
                <w:highlight w:val="none"/>
                <w:u w:val="none" w:color="auto"/>
                <w:lang w:val="en-US" w:eastAsia="zh-CN"/>
              </w:rPr>
              <w:t>8</w:t>
            </w:r>
            <w:r>
              <w:rPr>
                <w:rFonts w:hint="default" w:ascii="Times New Roman" w:hAnsi="Times New Roman" w:eastAsia="宋体" w:cs="Times New Roman"/>
                <w:color w:val="auto"/>
                <w:sz w:val="24"/>
                <w:szCs w:val="24"/>
                <w:highlight w:val="none"/>
                <w:u w:val="none" w:color="auto"/>
              </w:rPr>
              <w:t>。</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w:t>
            </w:r>
            <w:r>
              <w:rPr>
                <w:rFonts w:hint="eastAsia" w:ascii="Times New Roman" w:hAnsi="Times New Roman" w:eastAsia="宋体" w:cs="Times New Roman"/>
                <w:color w:val="auto"/>
                <w:sz w:val="24"/>
                <w:szCs w:val="24"/>
                <w:u w:val="none" w:color="auto"/>
                <w:lang w:val="en-US" w:eastAsia="zh-CN"/>
              </w:rPr>
              <w:t>2-</w:t>
            </w:r>
            <w:r>
              <w:rPr>
                <w:rFonts w:hint="eastAsia" w:cs="Times New Roman"/>
                <w:color w:val="auto"/>
                <w:sz w:val="24"/>
                <w:szCs w:val="24"/>
                <w:u w:val="none" w:color="auto"/>
                <w:lang w:val="en-US" w:eastAsia="zh-CN"/>
              </w:rPr>
              <w:t>8</w:t>
            </w:r>
            <w:r>
              <w:rPr>
                <w:rFonts w:hint="eastAsia"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rPr>
              <w:t>厂界噪声监测结果</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16"/>
              <w:gridCol w:w="1046"/>
              <w:gridCol w:w="2165"/>
              <w:gridCol w:w="1842"/>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noWrap w:val="0"/>
                  <w:vAlign w:val="center"/>
                </w:tcPr>
                <w:p>
                  <w:pPr>
                    <w:pStyle w:val="49"/>
                    <w:bidi w:val="0"/>
                    <w:rPr>
                      <w:rFonts w:hint="default"/>
                      <w:color w:val="auto"/>
                      <w:lang w:val="en-US" w:eastAsia="zh-CN"/>
                    </w:rPr>
                  </w:pPr>
                  <w:r>
                    <w:rPr>
                      <w:rFonts w:hint="default"/>
                      <w:color w:val="auto"/>
                      <w:lang w:val="en-US" w:eastAsia="zh-CN"/>
                    </w:rPr>
                    <w:t>采样点位</w:t>
                  </w:r>
                </w:p>
              </w:tc>
              <w:tc>
                <w:tcPr>
                  <w:tcW w:w="624" w:type="pct"/>
                  <w:noWrap w:val="0"/>
                  <w:vAlign w:val="center"/>
                </w:tcPr>
                <w:p>
                  <w:pPr>
                    <w:pStyle w:val="49"/>
                    <w:bidi w:val="0"/>
                    <w:rPr>
                      <w:rFonts w:hint="default"/>
                      <w:color w:val="auto"/>
                      <w:lang w:val="en-US" w:eastAsia="zh-CN"/>
                    </w:rPr>
                  </w:pPr>
                  <w:r>
                    <w:rPr>
                      <w:rFonts w:hint="default"/>
                      <w:color w:val="auto"/>
                      <w:lang w:val="en-US" w:eastAsia="zh-CN"/>
                    </w:rPr>
                    <w:t>采样时间</w:t>
                  </w:r>
                </w:p>
              </w:tc>
              <w:tc>
                <w:tcPr>
                  <w:tcW w:w="1292" w:type="pct"/>
                  <w:noWrap w:val="0"/>
                  <w:vAlign w:val="center"/>
                </w:tcPr>
                <w:p>
                  <w:pPr>
                    <w:pStyle w:val="49"/>
                    <w:bidi w:val="0"/>
                    <w:rPr>
                      <w:rFonts w:hint="default"/>
                      <w:color w:val="auto"/>
                      <w:lang w:val="en-US" w:eastAsia="zh-CN"/>
                    </w:rPr>
                  </w:pPr>
                  <w:r>
                    <w:rPr>
                      <w:rFonts w:hint="default"/>
                      <w:color w:val="auto"/>
                      <w:lang w:val="en-US" w:eastAsia="zh-CN"/>
                    </w:rPr>
                    <w:t>检测值</w:t>
                  </w:r>
                  <w:r>
                    <w:rPr>
                      <w:rFonts w:hint="eastAsia"/>
                      <w:color w:val="auto"/>
                      <w:lang w:val="en-US" w:eastAsia="zh-CN"/>
                    </w:rPr>
                    <w:t>（</w:t>
                  </w:r>
                  <w:r>
                    <w:rPr>
                      <w:rFonts w:hint="default"/>
                      <w:color w:val="auto"/>
                      <w:lang w:val="en-US" w:eastAsia="zh-CN"/>
                    </w:rPr>
                    <w:t>dB（A）</w:t>
                  </w:r>
                  <w:r>
                    <w:rPr>
                      <w:rFonts w:hint="eastAsia"/>
                      <w:color w:val="auto"/>
                      <w:lang w:val="en-US" w:eastAsia="zh-CN"/>
                    </w:rPr>
                    <w:t>）</w:t>
                  </w:r>
                </w:p>
              </w:tc>
              <w:tc>
                <w:tcPr>
                  <w:tcW w:w="1099" w:type="pct"/>
                  <w:noWrap w:val="0"/>
                  <w:vAlign w:val="center"/>
                </w:tcPr>
                <w:p>
                  <w:pPr>
                    <w:pStyle w:val="49"/>
                    <w:bidi w:val="0"/>
                    <w:rPr>
                      <w:rFonts w:hint="default"/>
                      <w:color w:val="auto"/>
                    </w:rPr>
                  </w:pPr>
                  <w:r>
                    <w:rPr>
                      <w:rFonts w:hint="default"/>
                      <w:color w:val="auto"/>
                      <w:lang w:val="en-US" w:eastAsia="zh-CN"/>
                    </w:rPr>
                    <w:t>标准限值</w:t>
                  </w:r>
                  <w:r>
                    <w:rPr>
                      <w:rFonts w:hint="eastAsia"/>
                      <w:color w:val="auto"/>
                      <w:lang w:val="en-US" w:eastAsia="zh-CN"/>
                    </w:rPr>
                    <w:t>（</w:t>
                  </w:r>
                  <w:r>
                    <w:rPr>
                      <w:rFonts w:hint="default"/>
                      <w:color w:val="auto"/>
                      <w:lang w:val="en-US" w:eastAsia="zh-CN"/>
                    </w:rPr>
                    <w:t>dB（A）</w:t>
                  </w:r>
                  <w:r>
                    <w:rPr>
                      <w:rFonts w:hint="eastAsia"/>
                      <w:color w:val="auto"/>
                      <w:lang w:val="en-US" w:eastAsia="zh-CN"/>
                    </w:rPr>
                    <w:t>）</w:t>
                  </w:r>
                </w:p>
              </w:tc>
              <w:tc>
                <w:tcPr>
                  <w:tcW w:w="600" w:type="pct"/>
                  <w:noWrap w:val="0"/>
                  <w:vAlign w:val="center"/>
                </w:tcPr>
                <w:p>
                  <w:pPr>
                    <w:pStyle w:val="49"/>
                    <w:bidi w:val="0"/>
                    <w:rPr>
                      <w:rFonts w:hint="default"/>
                      <w:color w:val="auto"/>
                      <w:lang w:val="en-US" w:eastAsia="zh-CN"/>
                    </w:rPr>
                  </w:pPr>
                  <w:r>
                    <w:rPr>
                      <w:rFonts w:hint="default"/>
                      <w:color w:val="auto"/>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9"/>
                    <w:bidi w:val="0"/>
                    <w:rPr>
                      <w:rFonts w:hint="default"/>
                      <w:color w:val="auto"/>
                      <w:lang w:val="en-US" w:eastAsia="zh-CN"/>
                    </w:rPr>
                  </w:pPr>
                  <w:r>
                    <w:rPr>
                      <w:rFonts w:hint="eastAsia"/>
                      <w:color w:val="auto"/>
                      <w:lang w:val="en-US" w:eastAsia="zh-CN"/>
                    </w:rPr>
                    <w:t>厂界南侧外1m处N1</w:t>
                  </w:r>
                </w:p>
              </w:tc>
              <w:tc>
                <w:tcPr>
                  <w:tcW w:w="624" w:type="pct"/>
                  <w:noWrap w:val="0"/>
                  <w:vAlign w:val="center"/>
                </w:tcPr>
                <w:p>
                  <w:pPr>
                    <w:pStyle w:val="49"/>
                    <w:bidi w:val="0"/>
                    <w:rPr>
                      <w:rFonts w:hint="eastAsia"/>
                      <w:color w:val="auto"/>
                      <w:lang w:val="en-US" w:eastAsia="zh-CN"/>
                    </w:rPr>
                  </w:pPr>
                  <w:r>
                    <w:rPr>
                      <w:rFonts w:hint="eastAsia"/>
                      <w:color w:val="auto"/>
                      <w:lang w:val="en-US" w:eastAsia="zh-CN"/>
                    </w:rPr>
                    <w:t>昼间</w:t>
                  </w:r>
                </w:p>
              </w:tc>
              <w:tc>
                <w:tcPr>
                  <w:tcW w:w="1292" w:type="pct"/>
                  <w:noWrap w:val="0"/>
                  <w:vAlign w:val="center"/>
                </w:tcPr>
                <w:p>
                  <w:pPr>
                    <w:pStyle w:val="49"/>
                    <w:bidi w:val="0"/>
                    <w:rPr>
                      <w:rFonts w:hint="default"/>
                      <w:color w:val="auto"/>
                      <w:lang w:val="en-US" w:eastAsia="zh-CN"/>
                    </w:rPr>
                  </w:pPr>
                  <w:r>
                    <w:rPr>
                      <w:rFonts w:hint="eastAsia"/>
                      <w:color w:val="auto"/>
                      <w:lang w:val="en-US" w:eastAsia="zh-CN"/>
                    </w:rPr>
                    <w:t>56.6</w:t>
                  </w:r>
                </w:p>
              </w:tc>
              <w:tc>
                <w:tcPr>
                  <w:tcW w:w="1099" w:type="pct"/>
                  <w:noWrap w:val="0"/>
                  <w:vAlign w:val="center"/>
                </w:tcPr>
                <w:p>
                  <w:pPr>
                    <w:pStyle w:val="49"/>
                    <w:bidi w:val="0"/>
                    <w:rPr>
                      <w:rFonts w:hint="default"/>
                      <w:color w:val="auto"/>
                      <w:lang w:val="en-US" w:eastAsia="zh-CN"/>
                    </w:rPr>
                  </w:pPr>
                  <w:r>
                    <w:rPr>
                      <w:rFonts w:hint="eastAsia"/>
                      <w:color w:val="auto"/>
                      <w:lang w:val="en-US" w:eastAsia="zh-CN"/>
                    </w:rPr>
                    <w:t>60</w:t>
                  </w:r>
                </w:p>
              </w:tc>
              <w:tc>
                <w:tcPr>
                  <w:tcW w:w="600" w:type="pct"/>
                  <w:noWrap w:val="0"/>
                  <w:vAlign w:val="center"/>
                </w:tcPr>
                <w:p>
                  <w:pPr>
                    <w:pStyle w:val="49"/>
                    <w:bidi w:val="0"/>
                    <w:rPr>
                      <w:rFonts w:hint="eastAsia"/>
                      <w:color w:val="auto"/>
                      <w:lang w:val="en-US" w:eastAsia="zh-CN"/>
                    </w:rPr>
                  </w:pPr>
                  <w:r>
                    <w:rPr>
                      <w:rFonts w:hint="default"/>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9"/>
                    <w:bidi w:val="0"/>
                    <w:rPr>
                      <w:rFonts w:hint="default"/>
                      <w:color w:val="auto"/>
                    </w:rPr>
                  </w:pPr>
                </w:p>
              </w:tc>
              <w:tc>
                <w:tcPr>
                  <w:tcW w:w="624" w:type="pct"/>
                  <w:noWrap w:val="0"/>
                  <w:vAlign w:val="center"/>
                </w:tcPr>
                <w:p>
                  <w:pPr>
                    <w:pStyle w:val="49"/>
                    <w:bidi w:val="0"/>
                    <w:rPr>
                      <w:rFonts w:hint="eastAsia"/>
                      <w:color w:val="auto"/>
                      <w:lang w:val="en-US" w:eastAsia="zh-CN"/>
                    </w:rPr>
                  </w:pPr>
                  <w:r>
                    <w:rPr>
                      <w:rFonts w:hint="eastAsia"/>
                      <w:color w:val="auto"/>
                      <w:lang w:val="en-US" w:eastAsia="zh-CN"/>
                    </w:rPr>
                    <w:t>夜间</w:t>
                  </w:r>
                </w:p>
              </w:tc>
              <w:tc>
                <w:tcPr>
                  <w:tcW w:w="1292" w:type="pct"/>
                  <w:noWrap w:val="0"/>
                  <w:vAlign w:val="center"/>
                </w:tcPr>
                <w:p>
                  <w:pPr>
                    <w:pStyle w:val="49"/>
                    <w:bidi w:val="0"/>
                    <w:rPr>
                      <w:rFonts w:hint="default"/>
                      <w:color w:val="auto"/>
                      <w:lang w:val="en-US" w:eastAsia="zh-CN"/>
                    </w:rPr>
                  </w:pPr>
                  <w:r>
                    <w:rPr>
                      <w:rFonts w:hint="eastAsia"/>
                      <w:color w:val="auto"/>
                      <w:lang w:val="en-US" w:eastAsia="zh-CN"/>
                    </w:rPr>
                    <w:t>44.4</w:t>
                  </w:r>
                </w:p>
              </w:tc>
              <w:tc>
                <w:tcPr>
                  <w:tcW w:w="1099" w:type="pct"/>
                  <w:noWrap w:val="0"/>
                  <w:vAlign w:val="center"/>
                </w:tcPr>
                <w:p>
                  <w:pPr>
                    <w:pStyle w:val="49"/>
                    <w:bidi w:val="0"/>
                    <w:rPr>
                      <w:rFonts w:hint="default"/>
                      <w:color w:val="auto"/>
                      <w:lang w:val="en-US" w:eastAsia="zh-CN"/>
                    </w:rPr>
                  </w:pPr>
                  <w:r>
                    <w:rPr>
                      <w:rFonts w:hint="eastAsia"/>
                      <w:color w:val="auto"/>
                      <w:lang w:val="en-US" w:eastAsia="zh-CN"/>
                    </w:rPr>
                    <w:t>50</w:t>
                  </w:r>
                </w:p>
              </w:tc>
              <w:tc>
                <w:tcPr>
                  <w:tcW w:w="600" w:type="pct"/>
                  <w:noWrap w:val="0"/>
                  <w:vAlign w:val="center"/>
                </w:tcPr>
                <w:p>
                  <w:pPr>
                    <w:pStyle w:val="49"/>
                    <w:bidi w:val="0"/>
                    <w:rPr>
                      <w:rFonts w:hint="eastAsia"/>
                      <w:color w:val="auto"/>
                      <w:lang w:val="en-US" w:eastAsia="zh-CN"/>
                    </w:rPr>
                  </w:pPr>
                  <w:r>
                    <w:rPr>
                      <w:rFonts w:hint="default"/>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9"/>
                    <w:bidi w:val="0"/>
                    <w:rPr>
                      <w:rFonts w:hint="default"/>
                      <w:color w:val="auto"/>
                      <w:lang w:val="en-US"/>
                    </w:rPr>
                  </w:pPr>
                  <w:r>
                    <w:rPr>
                      <w:rFonts w:hint="eastAsia"/>
                      <w:color w:val="auto"/>
                      <w:lang w:val="en-US" w:eastAsia="zh-CN"/>
                    </w:rPr>
                    <w:t>厂界东侧外1m处N2</w:t>
                  </w:r>
                </w:p>
              </w:tc>
              <w:tc>
                <w:tcPr>
                  <w:tcW w:w="624" w:type="pct"/>
                  <w:noWrap w:val="0"/>
                  <w:vAlign w:val="center"/>
                </w:tcPr>
                <w:p>
                  <w:pPr>
                    <w:pStyle w:val="49"/>
                    <w:bidi w:val="0"/>
                    <w:rPr>
                      <w:rFonts w:hint="default"/>
                      <w:color w:val="auto"/>
                    </w:rPr>
                  </w:pPr>
                  <w:r>
                    <w:rPr>
                      <w:rFonts w:hint="eastAsia"/>
                      <w:color w:val="auto"/>
                      <w:lang w:val="en-US" w:eastAsia="zh-CN"/>
                    </w:rPr>
                    <w:t>昼间</w:t>
                  </w:r>
                </w:p>
              </w:tc>
              <w:tc>
                <w:tcPr>
                  <w:tcW w:w="1292" w:type="pct"/>
                  <w:noWrap w:val="0"/>
                  <w:vAlign w:val="center"/>
                </w:tcPr>
                <w:p>
                  <w:pPr>
                    <w:pStyle w:val="49"/>
                    <w:bidi w:val="0"/>
                    <w:rPr>
                      <w:rFonts w:hint="default"/>
                      <w:color w:val="auto"/>
                      <w:lang w:val="en-US" w:eastAsia="zh-CN"/>
                    </w:rPr>
                  </w:pPr>
                  <w:r>
                    <w:rPr>
                      <w:rFonts w:hint="eastAsia"/>
                      <w:color w:val="auto"/>
                      <w:lang w:val="en-US" w:eastAsia="zh-CN"/>
                    </w:rPr>
                    <w:t>54.8</w:t>
                  </w:r>
                </w:p>
              </w:tc>
              <w:tc>
                <w:tcPr>
                  <w:tcW w:w="1099" w:type="pct"/>
                  <w:noWrap w:val="0"/>
                  <w:vAlign w:val="center"/>
                </w:tcPr>
                <w:p>
                  <w:pPr>
                    <w:pStyle w:val="49"/>
                    <w:bidi w:val="0"/>
                    <w:rPr>
                      <w:rFonts w:hint="default"/>
                      <w:color w:val="auto"/>
                    </w:rPr>
                  </w:pPr>
                  <w:r>
                    <w:rPr>
                      <w:rFonts w:hint="eastAsia"/>
                      <w:color w:val="auto"/>
                      <w:lang w:val="en-US" w:eastAsia="zh-CN"/>
                    </w:rPr>
                    <w:t>60</w:t>
                  </w:r>
                </w:p>
              </w:tc>
              <w:tc>
                <w:tcPr>
                  <w:tcW w:w="600" w:type="pct"/>
                  <w:noWrap w:val="0"/>
                  <w:vAlign w:val="center"/>
                </w:tcPr>
                <w:p>
                  <w:pPr>
                    <w:pStyle w:val="49"/>
                    <w:bidi w:val="0"/>
                    <w:rPr>
                      <w:rFonts w:hint="default"/>
                      <w:color w:val="auto"/>
                    </w:rPr>
                  </w:pPr>
                  <w:r>
                    <w:rPr>
                      <w:rFonts w:hint="default"/>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9"/>
                    <w:bidi w:val="0"/>
                    <w:rPr>
                      <w:rFonts w:hint="default"/>
                      <w:color w:val="auto"/>
                    </w:rPr>
                  </w:pPr>
                </w:p>
              </w:tc>
              <w:tc>
                <w:tcPr>
                  <w:tcW w:w="624" w:type="pct"/>
                  <w:noWrap w:val="0"/>
                  <w:vAlign w:val="center"/>
                </w:tcPr>
                <w:p>
                  <w:pPr>
                    <w:pStyle w:val="49"/>
                    <w:bidi w:val="0"/>
                    <w:rPr>
                      <w:rFonts w:hint="default"/>
                      <w:color w:val="auto"/>
                    </w:rPr>
                  </w:pPr>
                  <w:r>
                    <w:rPr>
                      <w:rFonts w:hint="eastAsia"/>
                      <w:color w:val="auto"/>
                      <w:lang w:val="en-US" w:eastAsia="zh-CN"/>
                    </w:rPr>
                    <w:t>夜间</w:t>
                  </w:r>
                </w:p>
              </w:tc>
              <w:tc>
                <w:tcPr>
                  <w:tcW w:w="1292" w:type="pct"/>
                  <w:noWrap w:val="0"/>
                  <w:vAlign w:val="center"/>
                </w:tcPr>
                <w:p>
                  <w:pPr>
                    <w:pStyle w:val="49"/>
                    <w:bidi w:val="0"/>
                    <w:rPr>
                      <w:rFonts w:hint="default"/>
                      <w:color w:val="auto"/>
                      <w:lang w:val="en-US" w:eastAsia="zh-CN"/>
                    </w:rPr>
                  </w:pPr>
                  <w:r>
                    <w:rPr>
                      <w:rFonts w:hint="eastAsia"/>
                      <w:color w:val="auto"/>
                      <w:lang w:val="en-US" w:eastAsia="zh-CN"/>
                    </w:rPr>
                    <w:t>46.6</w:t>
                  </w:r>
                </w:p>
              </w:tc>
              <w:tc>
                <w:tcPr>
                  <w:tcW w:w="1099" w:type="pct"/>
                  <w:noWrap w:val="0"/>
                  <w:vAlign w:val="center"/>
                </w:tcPr>
                <w:p>
                  <w:pPr>
                    <w:pStyle w:val="49"/>
                    <w:bidi w:val="0"/>
                    <w:rPr>
                      <w:rFonts w:hint="default"/>
                      <w:color w:val="auto"/>
                    </w:rPr>
                  </w:pPr>
                  <w:r>
                    <w:rPr>
                      <w:rFonts w:hint="eastAsia"/>
                      <w:color w:val="auto"/>
                      <w:lang w:val="en-US" w:eastAsia="zh-CN"/>
                    </w:rPr>
                    <w:t>50</w:t>
                  </w:r>
                </w:p>
              </w:tc>
              <w:tc>
                <w:tcPr>
                  <w:tcW w:w="600" w:type="pct"/>
                  <w:noWrap w:val="0"/>
                  <w:vAlign w:val="center"/>
                </w:tcPr>
                <w:p>
                  <w:pPr>
                    <w:pStyle w:val="49"/>
                    <w:bidi w:val="0"/>
                    <w:rPr>
                      <w:rFonts w:hint="default"/>
                      <w:color w:val="auto"/>
                    </w:rPr>
                  </w:pPr>
                  <w:r>
                    <w:rPr>
                      <w:rFonts w:hint="default"/>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9"/>
                    <w:bidi w:val="0"/>
                    <w:rPr>
                      <w:rFonts w:hint="default"/>
                      <w:color w:val="auto"/>
                      <w:lang w:val="en-US"/>
                    </w:rPr>
                  </w:pPr>
                  <w:r>
                    <w:rPr>
                      <w:rFonts w:hint="eastAsia"/>
                      <w:color w:val="auto"/>
                      <w:lang w:val="en-US" w:eastAsia="zh-CN"/>
                    </w:rPr>
                    <w:t>厂界西侧外1m处N3</w:t>
                  </w:r>
                </w:p>
              </w:tc>
              <w:tc>
                <w:tcPr>
                  <w:tcW w:w="624" w:type="pct"/>
                  <w:noWrap w:val="0"/>
                  <w:vAlign w:val="center"/>
                </w:tcPr>
                <w:p>
                  <w:pPr>
                    <w:pStyle w:val="49"/>
                    <w:bidi w:val="0"/>
                    <w:rPr>
                      <w:rFonts w:hint="default"/>
                      <w:color w:val="auto"/>
                    </w:rPr>
                  </w:pPr>
                  <w:r>
                    <w:rPr>
                      <w:rFonts w:hint="eastAsia"/>
                      <w:color w:val="auto"/>
                      <w:lang w:val="en-US" w:eastAsia="zh-CN"/>
                    </w:rPr>
                    <w:t>昼间</w:t>
                  </w:r>
                </w:p>
              </w:tc>
              <w:tc>
                <w:tcPr>
                  <w:tcW w:w="1292" w:type="pct"/>
                  <w:noWrap w:val="0"/>
                  <w:vAlign w:val="center"/>
                </w:tcPr>
                <w:p>
                  <w:pPr>
                    <w:pStyle w:val="49"/>
                    <w:bidi w:val="0"/>
                    <w:rPr>
                      <w:rFonts w:hint="default"/>
                      <w:color w:val="auto"/>
                      <w:lang w:val="en-US" w:eastAsia="zh-CN"/>
                    </w:rPr>
                  </w:pPr>
                  <w:r>
                    <w:rPr>
                      <w:rFonts w:hint="eastAsia"/>
                      <w:color w:val="auto"/>
                      <w:lang w:val="en-US" w:eastAsia="zh-CN"/>
                    </w:rPr>
                    <w:t>55.0</w:t>
                  </w:r>
                </w:p>
              </w:tc>
              <w:tc>
                <w:tcPr>
                  <w:tcW w:w="1099" w:type="pct"/>
                  <w:noWrap w:val="0"/>
                  <w:vAlign w:val="center"/>
                </w:tcPr>
                <w:p>
                  <w:pPr>
                    <w:pStyle w:val="49"/>
                    <w:bidi w:val="0"/>
                    <w:rPr>
                      <w:rFonts w:hint="default"/>
                      <w:color w:val="auto"/>
                    </w:rPr>
                  </w:pPr>
                  <w:r>
                    <w:rPr>
                      <w:rFonts w:hint="eastAsia"/>
                      <w:color w:val="auto"/>
                      <w:lang w:val="en-US" w:eastAsia="zh-CN"/>
                    </w:rPr>
                    <w:t>60</w:t>
                  </w:r>
                </w:p>
              </w:tc>
              <w:tc>
                <w:tcPr>
                  <w:tcW w:w="600" w:type="pct"/>
                  <w:noWrap w:val="0"/>
                  <w:vAlign w:val="center"/>
                </w:tcPr>
                <w:p>
                  <w:pPr>
                    <w:pStyle w:val="49"/>
                    <w:bidi w:val="0"/>
                    <w:rPr>
                      <w:rFonts w:hint="default"/>
                      <w:color w:val="auto"/>
                    </w:rPr>
                  </w:pPr>
                  <w:r>
                    <w:rPr>
                      <w:rFonts w:hint="default"/>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pct"/>
                  <w:vMerge w:val="continue"/>
                  <w:noWrap w:val="0"/>
                  <w:vAlign w:val="center"/>
                </w:tcPr>
                <w:p>
                  <w:pPr>
                    <w:pStyle w:val="49"/>
                    <w:bidi w:val="0"/>
                    <w:rPr>
                      <w:rFonts w:hint="default"/>
                      <w:color w:val="auto"/>
                    </w:rPr>
                  </w:pPr>
                </w:p>
              </w:tc>
              <w:tc>
                <w:tcPr>
                  <w:tcW w:w="624" w:type="pct"/>
                  <w:noWrap w:val="0"/>
                  <w:vAlign w:val="center"/>
                </w:tcPr>
                <w:p>
                  <w:pPr>
                    <w:pStyle w:val="49"/>
                    <w:bidi w:val="0"/>
                    <w:rPr>
                      <w:rFonts w:hint="default"/>
                      <w:color w:val="auto"/>
                    </w:rPr>
                  </w:pPr>
                  <w:r>
                    <w:rPr>
                      <w:rFonts w:hint="eastAsia"/>
                      <w:color w:val="auto"/>
                      <w:lang w:val="en-US" w:eastAsia="zh-CN"/>
                    </w:rPr>
                    <w:t>夜间</w:t>
                  </w:r>
                </w:p>
              </w:tc>
              <w:tc>
                <w:tcPr>
                  <w:tcW w:w="1292" w:type="pct"/>
                  <w:noWrap w:val="0"/>
                  <w:vAlign w:val="center"/>
                </w:tcPr>
                <w:p>
                  <w:pPr>
                    <w:pStyle w:val="49"/>
                    <w:bidi w:val="0"/>
                    <w:rPr>
                      <w:rFonts w:hint="default"/>
                      <w:color w:val="auto"/>
                      <w:lang w:val="en-US" w:eastAsia="zh-CN"/>
                    </w:rPr>
                  </w:pPr>
                  <w:r>
                    <w:rPr>
                      <w:rFonts w:hint="eastAsia"/>
                      <w:color w:val="auto"/>
                      <w:lang w:val="en-US" w:eastAsia="zh-CN"/>
                    </w:rPr>
                    <w:t>45.4</w:t>
                  </w:r>
                </w:p>
              </w:tc>
              <w:tc>
                <w:tcPr>
                  <w:tcW w:w="1099" w:type="pct"/>
                  <w:noWrap w:val="0"/>
                  <w:vAlign w:val="center"/>
                </w:tcPr>
                <w:p>
                  <w:pPr>
                    <w:pStyle w:val="49"/>
                    <w:bidi w:val="0"/>
                    <w:rPr>
                      <w:rFonts w:hint="default"/>
                      <w:color w:val="auto"/>
                    </w:rPr>
                  </w:pPr>
                  <w:r>
                    <w:rPr>
                      <w:rFonts w:hint="eastAsia"/>
                      <w:color w:val="auto"/>
                      <w:lang w:val="en-US" w:eastAsia="zh-CN"/>
                    </w:rPr>
                    <w:t>50</w:t>
                  </w:r>
                </w:p>
              </w:tc>
              <w:tc>
                <w:tcPr>
                  <w:tcW w:w="600" w:type="pct"/>
                  <w:noWrap w:val="0"/>
                  <w:vAlign w:val="center"/>
                </w:tcPr>
                <w:p>
                  <w:pPr>
                    <w:pStyle w:val="49"/>
                    <w:bidi w:val="0"/>
                    <w:rPr>
                      <w:rFonts w:hint="default"/>
                      <w:color w:val="auto"/>
                    </w:rPr>
                  </w:pPr>
                  <w:r>
                    <w:rPr>
                      <w:rFonts w:hint="default"/>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pct"/>
                  <w:vMerge w:val="restart"/>
                  <w:noWrap w:val="0"/>
                  <w:vAlign w:val="center"/>
                </w:tcPr>
                <w:p>
                  <w:pPr>
                    <w:pStyle w:val="49"/>
                    <w:bidi w:val="0"/>
                    <w:rPr>
                      <w:rFonts w:hint="default"/>
                      <w:color w:val="auto"/>
                      <w:lang w:val="en-US"/>
                    </w:rPr>
                  </w:pPr>
                  <w:r>
                    <w:rPr>
                      <w:rFonts w:hint="eastAsia"/>
                      <w:color w:val="auto"/>
                      <w:lang w:val="en-US" w:eastAsia="zh-CN"/>
                    </w:rPr>
                    <w:t>厂界北侧外1m处N4</w:t>
                  </w:r>
                </w:p>
              </w:tc>
              <w:tc>
                <w:tcPr>
                  <w:tcW w:w="624" w:type="pct"/>
                  <w:noWrap w:val="0"/>
                  <w:vAlign w:val="center"/>
                </w:tcPr>
                <w:p>
                  <w:pPr>
                    <w:pStyle w:val="49"/>
                    <w:bidi w:val="0"/>
                    <w:rPr>
                      <w:rFonts w:hint="default"/>
                      <w:color w:val="auto"/>
                    </w:rPr>
                  </w:pPr>
                  <w:r>
                    <w:rPr>
                      <w:rFonts w:hint="eastAsia"/>
                      <w:color w:val="auto"/>
                      <w:lang w:val="en-US" w:eastAsia="zh-CN"/>
                    </w:rPr>
                    <w:t>昼间</w:t>
                  </w:r>
                </w:p>
              </w:tc>
              <w:tc>
                <w:tcPr>
                  <w:tcW w:w="1292" w:type="pct"/>
                  <w:noWrap w:val="0"/>
                  <w:vAlign w:val="center"/>
                </w:tcPr>
                <w:p>
                  <w:pPr>
                    <w:pStyle w:val="49"/>
                    <w:bidi w:val="0"/>
                    <w:rPr>
                      <w:rFonts w:hint="default"/>
                      <w:color w:val="auto"/>
                      <w:lang w:val="en-US" w:eastAsia="zh-CN"/>
                    </w:rPr>
                  </w:pPr>
                  <w:r>
                    <w:rPr>
                      <w:rFonts w:hint="eastAsia"/>
                      <w:color w:val="auto"/>
                      <w:lang w:val="en-US" w:eastAsia="zh-CN"/>
                    </w:rPr>
                    <w:t>54.1</w:t>
                  </w:r>
                </w:p>
              </w:tc>
              <w:tc>
                <w:tcPr>
                  <w:tcW w:w="1099" w:type="pct"/>
                  <w:noWrap w:val="0"/>
                  <w:vAlign w:val="center"/>
                </w:tcPr>
                <w:p>
                  <w:pPr>
                    <w:pStyle w:val="49"/>
                    <w:bidi w:val="0"/>
                    <w:rPr>
                      <w:rFonts w:hint="default"/>
                      <w:color w:val="auto"/>
                    </w:rPr>
                  </w:pPr>
                  <w:r>
                    <w:rPr>
                      <w:rFonts w:hint="eastAsia"/>
                      <w:color w:val="auto"/>
                      <w:lang w:val="en-US" w:eastAsia="zh-CN"/>
                    </w:rPr>
                    <w:t>60</w:t>
                  </w:r>
                </w:p>
              </w:tc>
              <w:tc>
                <w:tcPr>
                  <w:tcW w:w="600" w:type="pct"/>
                  <w:noWrap w:val="0"/>
                  <w:vAlign w:val="center"/>
                </w:tcPr>
                <w:p>
                  <w:pPr>
                    <w:pStyle w:val="49"/>
                    <w:bidi w:val="0"/>
                    <w:rPr>
                      <w:rFonts w:hint="default"/>
                      <w:color w:val="auto"/>
                    </w:rPr>
                  </w:pPr>
                  <w:r>
                    <w:rPr>
                      <w:rFonts w:hint="default"/>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9"/>
                    <w:bidi w:val="0"/>
                    <w:rPr>
                      <w:rFonts w:hint="default"/>
                      <w:color w:val="auto"/>
                    </w:rPr>
                  </w:pPr>
                </w:p>
              </w:tc>
              <w:tc>
                <w:tcPr>
                  <w:tcW w:w="624" w:type="pct"/>
                  <w:noWrap w:val="0"/>
                  <w:vAlign w:val="center"/>
                </w:tcPr>
                <w:p>
                  <w:pPr>
                    <w:pStyle w:val="49"/>
                    <w:bidi w:val="0"/>
                    <w:rPr>
                      <w:rFonts w:hint="default"/>
                      <w:color w:val="auto"/>
                    </w:rPr>
                  </w:pPr>
                  <w:r>
                    <w:rPr>
                      <w:rFonts w:hint="eastAsia"/>
                      <w:color w:val="auto"/>
                      <w:lang w:val="en-US" w:eastAsia="zh-CN"/>
                    </w:rPr>
                    <w:t>夜间</w:t>
                  </w:r>
                </w:p>
              </w:tc>
              <w:tc>
                <w:tcPr>
                  <w:tcW w:w="1292" w:type="pct"/>
                  <w:noWrap w:val="0"/>
                  <w:vAlign w:val="center"/>
                </w:tcPr>
                <w:p>
                  <w:pPr>
                    <w:pStyle w:val="49"/>
                    <w:bidi w:val="0"/>
                    <w:rPr>
                      <w:rFonts w:hint="default"/>
                      <w:color w:val="auto"/>
                      <w:lang w:val="en-US" w:eastAsia="zh-CN"/>
                    </w:rPr>
                  </w:pPr>
                  <w:r>
                    <w:rPr>
                      <w:rFonts w:hint="eastAsia"/>
                      <w:color w:val="auto"/>
                      <w:lang w:val="en-US" w:eastAsia="zh-CN"/>
                    </w:rPr>
                    <w:t>45.3</w:t>
                  </w:r>
                </w:p>
              </w:tc>
              <w:tc>
                <w:tcPr>
                  <w:tcW w:w="1099" w:type="pct"/>
                  <w:noWrap w:val="0"/>
                  <w:vAlign w:val="center"/>
                </w:tcPr>
                <w:p>
                  <w:pPr>
                    <w:pStyle w:val="49"/>
                    <w:bidi w:val="0"/>
                    <w:rPr>
                      <w:rFonts w:hint="default"/>
                      <w:color w:val="auto"/>
                    </w:rPr>
                  </w:pPr>
                  <w:r>
                    <w:rPr>
                      <w:rFonts w:hint="eastAsia"/>
                      <w:color w:val="auto"/>
                      <w:lang w:val="en-US" w:eastAsia="zh-CN"/>
                    </w:rPr>
                    <w:t>50</w:t>
                  </w:r>
                </w:p>
              </w:tc>
              <w:tc>
                <w:tcPr>
                  <w:tcW w:w="600" w:type="pct"/>
                  <w:noWrap w:val="0"/>
                  <w:vAlign w:val="center"/>
                </w:tcPr>
                <w:p>
                  <w:pPr>
                    <w:pStyle w:val="49"/>
                    <w:bidi w:val="0"/>
                    <w:rPr>
                      <w:rFonts w:hint="default"/>
                      <w:color w:val="auto"/>
                    </w:rPr>
                  </w:pPr>
                  <w:r>
                    <w:rPr>
                      <w:rFonts w:hint="default"/>
                      <w:color w:val="auto"/>
                      <w:lang w:val="en-US" w:eastAsia="zh-CN"/>
                    </w:rPr>
                    <w:t>达标</w:t>
                  </w:r>
                </w:p>
              </w:tc>
            </w:tr>
          </w:tbl>
          <w:p>
            <w:pPr>
              <w:pStyle w:val="10"/>
              <w:bidi w:val="0"/>
              <w:rPr>
                <w:rFonts w:hint="default"/>
                <w:color w:val="auto"/>
              </w:rPr>
            </w:pPr>
          </w:p>
          <w:p>
            <w:pPr>
              <w:pStyle w:val="10"/>
              <w:bidi w:val="0"/>
              <w:rPr>
                <w:rFonts w:hint="eastAsia"/>
                <w:color w:val="auto"/>
                <w:lang w:val="en-US" w:eastAsia="zh-CN"/>
              </w:rPr>
            </w:pPr>
            <w:r>
              <w:rPr>
                <w:rFonts w:hint="default"/>
                <w:color w:val="auto"/>
              </w:rPr>
              <w:t>根据监测结果可知，项目正常运营时</w:t>
            </w:r>
            <w:r>
              <w:rPr>
                <w:rFonts w:hint="eastAsia"/>
                <w:color w:val="auto"/>
                <w:lang w:val="en-US" w:eastAsia="zh-CN"/>
              </w:rPr>
              <w:t>，本项目厂界的声环境可以达到</w:t>
            </w:r>
            <w:r>
              <w:rPr>
                <w:rFonts w:hint="default"/>
                <w:color w:val="auto"/>
              </w:rPr>
              <w:t>《工业企业厂界环境噪声排放标准》（GB12348-2008）中2类标准</w:t>
            </w:r>
            <w:r>
              <w:rPr>
                <w:rFonts w:hint="eastAsia"/>
                <w:color w:val="auto"/>
                <w:lang w:val="en-US" w:eastAsia="zh-CN"/>
              </w:rPr>
              <w:t>要求</w:t>
            </w:r>
            <w:r>
              <w:rPr>
                <w:rFonts w:hint="default"/>
                <w:color w:val="auto"/>
              </w:rPr>
              <w:t>。</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固体废物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项目产生的固体废物主要包括</w:t>
            </w:r>
            <w:r>
              <w:rPr>
                <w:rFonts w:hint="eastAsia" w:ascii="Times New Roman" w:hAnsi="Times New Roman" w:eastAsia="宋体" w:cs="Times New Roman"/>
                <w:color w:val="auto"/>
                <w:sz w:val="24"/>
                <w:szCs w:val="24"/>
                <w:u w:val="none" w:color="auto"/>
                <w:lang w:val="en-US" w:eastAsia="zh-CN"/>
              </w:rPr>
              <w:t>医疗废物、检验废液、污水处理设施产生的污泥、废紫外灯管</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医用玻璃、一次性塑料输液瓶（袋）、煎药药渣、</w:t>
            </w:r>
            <w:r>
              <w:rPr>
                <w:rFonts w:hint="default" w:ascii="Times New Roman" w:hAnsi="Times New Roman" w:eastAsia="宋体" w:cs="Times New Roman"/>
                <w:color w:val="auto"/>
                <w:sz w:val="24"/>
                <w:szCs w:val="24"/>
                <w:u w:val="none" w:color="auto"/>
                <w:lang w:val="en-US" w:eastAsia="zh-CN"/>
              </w:rPr>
              <w:t>生活垃圾和一般废包装材料。根据现场踏勘可知，</w:t>
            </w:r>
            <w:r>
              <w:rPr>
                <w:rFonts w:hint="eastAsia" w:ascii="Times New Roman" w:hAnsi="Times New Roman" w:eastAsia="宋体" w:cs="Times New Roman"/>
                <w:color w:val="auto"/>
                <w:sz w:val="24"/>
                <w:szCs w:val="24"/>
                <w:u w:val="none" w:color="auto"/>
                <w:lang w:val="en-US" w:eastAsia="zh-CN"/>
              </w:rPr>
              <w:t>生活垃圾集中收集于垃圾桶内，定期由环卫部门清运处理。</w:t>
            </w:r>
            <w:r>
              <w:rPr>
                <w:rFonts w:hint="default" w:ascii="Times New Roman" w:hAnsi="Times New Roman" w:eastAsia="宋体" w:cs="Times New Roman"/>
                <w:color w:val="auto"/>
                <w:sz w:val="24"/>
                <w:szCs w:val="24"/>
                <w:u w:val="none" w:color="auto"/>
                <w:lang w:val="en-US" w:eastAsia="zh-CN"/>
              </w:rPr>
              <w:t>一般废包装材料</w:t>
            </w:r>
            <w:r>
              <w:rPr>
                <w:rFonts w:hint="eastAsia" w:ascii="Times New Roman" w:hAnsi="Times New Roman" w:eastAsia="宋体" w:cs="Times New Roman"/>
                <w:color w:val="auto"/>
                <w:sz w:val="24"/>
                <w:szCs w:val="24"/>
                <w:u w:val="none" w:color="auto"/>
                <w:lang w:val="en-US" w:eastAsia="zh-CN"/>
              </w:rPr>
              <w:t>单独收集，定期交由废品回收公司回收处理。医用玻璃、一次性塑料输液瓶（袋）收集后委托专业单位回收处置。煎药药渣由环卫部门统一清运处理。废紫外灯管属于《国家危险废弃物名录》中的</w:t>
            </w:r>
            <w:r>
              <w:rPr>
                <w:rFonts w:hint="default" w:ascii="Times New Roman" w:hAnsi="Times New Roman" w:eastAsia="宋体" w:cs="Times New Roman"/>
                <w:color w:val="auto"/>
                <w:sz w:val="24"/>
                <w:szCs w:val="24"/>
                <w:u w:val="none" w:color="auto"/>
                <w:lang w:val="en-US" w:eastAsia="zh-CN"/>
              </w:rPr>
              <w:t>HW29</w:t>
            </w:r>
            <w:r>
              <w:rPr>
                <w:rFonts w:hint="eastAsia" w:ascii="Times New Roman" w:hAnsi="Times New Roman" w:eastAsia="宋体" w:cs="Times New Roman"/>
                <w:color w:val="auto"/>
                <w:sz w:val="24"/>
                <w:szCs w:val="24"/>
                <w:u w:val="none" w:color="auto"/>
                <w:lang w:val="en-US" w:eastAsia="zh-CN"/>
              </w:rPr>
              <w:t>类危废（废物代码：</w:t>
            </w:r>
            <w:r>
              <w:rPr>
                <w:rFonts w:hint="default" w:ascii="Times New Roman" w:hAnsi="Times New Roman" w:eastAsia="宋体" w:cs="Times New Roman"/>
                <w:color w:val="auto"/>
                <w:sz w:val="24"/>
                <w:szCs w:val="24"/>
                <w:u w:val="none" w:color="auto"/>
                <w:lang w:val="en-US" w:eastAsia="zh-CN"/>
              </w:rPr>
              <w:t>900-023-29</w:t>
            </w:r>
            <w:r>
              <w:rPr>
                <w:rFonts w:hint="eastAsia" w:ascii="Times New Roman" w:hAnsi="Times New Roman" w:eastAsia="宋体" w:cs="Times New Roman"/>
                <w:color w:val="auto"/>
                <w:sz w:val="24"/>
                <w:szCs w:val="24"/>
                <w:u w:val="none" w:color="auto"/>
                <w:lang w:val="en-US" w:eastAsia="zh-CN"/>
              </w:rPr>
              <w:t>），经专用容器密封收集暂存于医废间，交由有危废资质单位清运处置。医疗废物暂存于医废间，交由有危废资质单位清运处置。检验废液属于《国家危险废弃物名录》中的</w:t>
            </w:r>
            <w:r>
              <w:rPr>
                <w:rFonts w:hint="default" w:ascii="Times New Roman" w:hAnsi="Times New Roman" w:eastAsia="宋体" w:cs="Times New Roman"/>
                <w:color w:val="auto"/>
                <w:sz w:val="24"/>
                <w:szCs w:val="24"/>
                <w:u w:val="none" w:color="auto"/>
                <w:lang w:val="en-US" w:eastAsia="zh-CN"/>
              </w:rPr>
              <w:t>HW01</w:t>
            </w:r>
            <w:r>
              <w:rPr>
                <w:rFonts w:hint="eastAsia" w:ascii="Times New Roman" w:hAnsi="Times New Roman" w:eastAsia="宋体" w:cs="Times New Roman"/>
                <w:color w:val="auto"/>
                <w:sz w:val="24"/>
                <w:szCs w:val="24"/>
                <w:u w:val="none" w:color="auto"/>
                <w:lang w:val="en-US" w:eastAsia="zh-CN"/>
              </w:rPr>
              <w:t>类危废（废物代码：</w:t>
            </w:r>
            <w:r>
              <w:rPr>
                <w:rFonts w:hint="default" w:ascii="Times New Roman" w:hAnsi="Times New Roman" w:eastAsia="宋体" w:cs="Times New Roman"/>
                <w:color w:val="auto"/>
                <w:sz w:val="24"/>
                <w:szCs w:val="24"/>
                <w:u w:val="none" w:color="auto"/>
                <w:lang w:val="en-US" w:eastAsia="zh-CN"/>
              </w:rPr>
              <w:t>841-004-01</w:t>
            </w:r>
            <w:r>
              <w:rPr>
                <w:rFonts w:hint="eastAsia" w:ascii="Times New Roman" w:hAnsi="Times New Roman" w:eastAsia="宋体" w:cs="Times New Roman"/>
                <w:color w:val="auto"/>
                <w:sz w:val="24"/>
                <w:szCs w:val="24"/>
                <w:u w:val="none" w:color="auto"/>
                <w:lang w:val="en-US" w:eastAsia="zh-CN"/>
              </w:rPr>
              <w:t>），经专用容器密封收集暂存于医废间，交由资质单位处理；污水处理设施产生的污泥定期由专业公司定期清掏拖运处置。</w:t>
            </w:r>
          </w:p>
          <w:p>
            <w:pPr>
              <w:pStyle w:val="2"/>
              <w:rPr>
                <w:rFonts w:hint="default"/>
                <w:color w:val="auto"/>
                <w:lang w:val="en-US" w:eastAsia="zh-CN"/>
              </w:rPr>
            </w:pPr>
            <w:r>
              <w:rPr>
                <w:rFonts w:hint="eastAsia"/>
                <w:color w:val="auto"/>
                <w:lang w:val="en-US" w:eastAsia="zh-CN"/>
              </w:rPr>
              <w:t>卫生院固废产生量见下表：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none"/>
                <w:lang w:eastAsia="zh-CN"/>
              </w:rPr>
            </w:pPr>
            <w:r>
              <w:rPr>
                <w:rFonts w:hint="default" w:ascii="Times New Roman" w:hAnsi="Times New Roman" w:eastAsia="宋体" w:cs="Times New Roman"/>
                <w:color w:val="auto"/>
                <w:sz w:val="24"/>
                <w:szCs w:val="24"/>
                <w:u w:val="none"/>
                <w:lang w:eastAsia="zh-CN"/>
              </w:rPr>
              <w:t>表</w:t>
            </w:r>
            <w:r>
              <w:rPr>
                <w:rFonts w:hint="eastAsia" w:cs="Times New Roman"/>
                <w:color w:val="auto"/>
                <w:sz w:val="24"/>
                <w:szCs w:val="24"/>
                <w:u w:val="none"/>
                <w:lang w:val="en-US" w:eastAsia="zh-CN"/>
              </w:rPr>
              <w:t>2</w:t>
            </w:r>
            <w:r>
              <w:rPr>
                <w:rFonts w:hint="default" w:ascii="Times New Roman" w:hAnsi="Times New Roman" w:eastAsia="宋体" w:cs="Times New Roman"/>
                <w:color w:val="auto"/>
                <w:sz w:val="24"/>
                <w:szCs w:val="24"/>
                <w:u w:val="none"/>
                <w:lang w:eastAsia="zh-CN"/>
              </w:rPr>
              <w:t>-</w:t>
            </w:r>
            <w:r>
              <w:rPr>
                <w:rFonts w:hint="eastAsia" w:cs="Times New Roman"/>
                <w:color w:val="auto"/>
                <w:sz w:val="24"/>
                <w:szCs w:val="24"/>
                <w:u w:val="none"/>
                <w:lang w:val="en-US" w:eastAsia="zh-CN"/>
              </w:rPr>
              <w:t>9</w:t>
            </w:r>
            <w:r>
              <w:rPr>
                <w:rFonts w:hint="eastAsia"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lang w:eastAsia="zh-CN"/>
              </w:rPr>
              <w:t>固废</w:t>
            </w:r>
            <w:r>
              <w:rPr>
                <w:rFonts w:hint="eastAsia" w:cs="Times New Roman"/>
                <w:color w:val="auto"/>
                <w:sz w:val="24"/>
                <w:szCs w:val="24"/>
                <w:u w:val="none"/>
                <w:lang w:val="en-US" w:eastAsia="zh-CN"/>
              </w:rPr>
              <w:t>现状产生情况</w:t>
            </w:r>
            <w:r>
              <w:rPr>
                <w:rFonts w:hint="default" w:ascii="Times New Roman" w:hAnsi="Times New Roman" w:eastAsia="宋体" w:cs="Times New Roman"/>
                <w:color w:val="auto"/>
                <w:sz w:val="24"/>
                <w:szCs w:val="24"/>
                <w:u w:val="none"/>
                <w:lang w:eastAsia="zh-CN"/>
              </w:rPr>
              <w:t>一览表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0"/>
              <w:gridCol w:w="650"/>
              <w:gridCol w:w="937"/>
              <w:gridCol w:w="580"/>
              <w:gridCol w:w="1313"/>
              <w:gridCol w:w="812"/>
              <w:gridCol w:w="879"/>
              <w:gridCol w:w="654"/>
              <w:gridCol w:w="63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序号</w:t>
                  </w:r>
                </w:p>
              </w:tc>
              <w:tc>
                <w:tcPr>
                  <w:tcW w:w="65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固废</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属性</w:t>
                  </w: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固体</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名称</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形态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废物类别</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及代码</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危害特性</w:t>
                  </w:r>
                </w:p>
              </w:tc>
              <w:tc>
                <w:tcPr>
                  <w:tcW w:w="879"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产生量（t/a）</w:t>
                  </w:r>
                </w:p>
              </w:tc>
              <w:tc>
                <w:tcPr>
                  <w:tcW w:w="65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收集方式</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贮存周期</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暂存及处理措施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1</w:t>
                  </w:r>
                </w:p>
              </w:tc>
              <w:tc>
                <w:tcPr>
                  <w:tcW w:w="65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生活垃圾</w:t>
                  </w: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生活垃圾</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w:t>
                  </w:r>
                </w:p>
              </w:tc>
              <w:tc>
                <w:tcPr>
                  <w:tcW w:w="879"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40</w:t>
                  </w:r>
                </w:p>
              </w:tc>
              <w:tc>
                <w:tcPr>
                  <w:tcW w:w="65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垃圾桶</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2</w:t>
                  </w:r>
                </w:p>
              </w:tc>
              <w:tc>
                <w:tcPr>
                  <w:tcW w:w="650"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一般固废</w:t>
                  </w: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输液瓶（袋）和玻璃瓶</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w:t>
                  </w:r>
                </w:p>
              </w:tc>
              <w:tc>
                <w:tcPr>
                  <w:tcW w:w="879"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5</w:t>
                  </w:r>
                </w:p>
              </w:tc>
              <w:tc>
                <w:tcPr>
                  <w:tcW w:w="65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收集袋</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月</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交由湖南</w:t>
                  </w:r>
                  <w:r>
                    <w:rPr>
                      <w:rFonts w:hint="eastAsia" w:ascii="Times New Roman" w:hAnsi="Times New Roman" w:eastAsia="宋体" w:cs="Times New Roman"/>
                      <w:color w:val="auto"/>
                      <w:sz w:val="21"/>
                      <w:szCs w:val="21"/>
                      <w:highlight w:val="none"/>
                      <w:u w:val="none"/>
                      <w:lang w:val="en-US" w:eastAsia="zh-CN"/>
                    </w:rPr>
                    <w:t>博晟卫生材料有限公司</w:t>
                  </w:r>
                  <w:r>
                    <w:rPr>
                      <w:rFonts w:hint="default" w:ascii="Times New Roman" w:hAnsi="Times New Roman" w:eastAsia="宋体" w:cs="Times New Roman"/>
                      <w:color w:val="auto"/>
                      <w:sz w:val="21"/>
                      <w:szCs w:val="21"/>
                      <w:highlight w:val="none"/>
                      <w:u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3</w:t>
                  </w: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废包装</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材料</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w:t>
                  </w:r>
                </w:p>
              </w:tc>
              <w:tc>
                <w:tcPr>
                  <w:tcW w:w="879"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eastAsia="zh-CN"/>
                    </w:rPr>
                    <w:t>1.0</w:t>
                  </w:r>
                </w:p>
              </w:tc>
              <w:tc>
                <w:tcPr>
                  <w:tcW w:w="654"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仓库</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收集后出售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vMerge w:val="restart"/>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4</w:t>
                  </w:r>
                </w:p>
              </w:tc>
              <w:tc>
                <w:tcPr>
                  <w:tcW w:w="650"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危险废物</w:t>
                  </w:r>
                </w:p>
              </w:tc>
              <w:tc>
                <w:tcPr>
                  <w:tcW w:w="937"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医疗废物</w:t>
                  </w:r>
                </w:p>
              </w:tc>
              <w:tc>
                <w:tcPr>
                  <w:tcW w:w="580"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841-001-01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In</w:t>
                  </w:r>
                </w:p>
              </w:tc>
              <w:tc>
                <w:tcPr>
                  <w:tcW w:w="879"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11.96</w:t>
                  </w:r>
                </w:p>
              </w:tc>
              <w:tc>
                <w:tcPr>
                  <w:tcW w:w="654"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医疗废物专用容器</w:t>
                  </w:r>
                </w:p>
              </w:tc>
              <w:tc>
                <w:tcPr>
                  <w:tcW w:w="637"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2天</w:t>
                  </w:r>
                </w:p>
              </w:tc>
              <w:tc>
                <w:tcPr>
                  <w:tcW w:w="1094"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暂存在医疗废物暂存间，交由岳阳市方向固废安全处置有限公司处理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9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58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841-002-01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In</w:t>
                  </w:r>
                </w:p>
              </w:tc>
              <w:tc>
                <w:tcPr>
                  <w:tcW w:w="879"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5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109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9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58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841-003-01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In</w:t>
                  </w:r>
                </w:p>
              </w:tc>
              <w:tc>
                <w:tcPr>
                  <w:tcW w:w="879"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5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109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9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58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841-004-01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T/C/I/R</w:t>
                  </w:r>
                </w:p>
              </w:tc>
              <w:tc>
                <w:tcPr>
                  <w:tcW w:w="879"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5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109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9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58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841-005-01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T</w:t>
                  </w:r>
                </w:p>
              </w:tc>
              <w:tc>
                <w:tcPr>
                  <w:tcW w:w="879"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5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6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109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5</w:t>
                  </w: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污水处理站污泥</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841-001-01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In</w:t>
                  </w:r>
                </w:p>
              </w:tc>
              <w:tc>
                <w:tcPr>
                  <w:tcW w:w="879"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w:t>
                  </w:r>
                </w:p>
              </w:tc>
              <w:tc>
                <w:tcPr>
                  <w:tcW w:w="65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收集袋</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年</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暂未清掏过</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u w:val="none" w:color="auto"/>
                <w:lang w:val="en-US" w:eastAsia="zh-CN"/>
              </w:rPr>
            </w:pPr>
          </w:p>
          <w:p>
            <w:pPr>
              <w:pStyle w:val="10"/>
              <w:bidi w:val="0"/>
              <w:rPr>
                <w:rFonts w:hint="eastAsia"/>
                <w:b/>
                <w:bCs/>
                <w:color w:val="auto"/>
                <w:lang w:val="en-US" w:eastAsia="zh-CN"/>
              </w:rPr>
            </w:pPr>
            <w:r>
              <w:rPr>
                <w:rFonts w:hint="eastAsia"/>
                <w:b/>
                <w:bCs/>
                <w:color w:val="auto"/>
                <w:lang w:val="en-US" w:eastAsia="zh-CN"/>
              </w:rPr>
              <w:t>3、环保批复及落实情况</w:t>
            </w:r>
          </w:p>
          <w:p>
            <w:pPr>
              <w:pStyle w:val="10"/>
              <w:bidi w:val="0"/>
              <w:rPr>
                <w:rFonts w:hint="eastAsia"/>
                <w:color w:val="auto"/>
                <w:lang w:val="en-US" w:eastAsia="zh-CN"/>
              </w:rPr>
            </w:pPr>
            <w:r>
              <w:rPr>
                <w:rFonts w:hint="eastAsia"/>
                <w:color w:val="auto"/>
                <w:lang w:val="en-US" w:eastAsia="zh-CN"/>
              </w:rPr>
              <w:t>本项目环评报告表批复要求落实情况见下表。</w:t>
            </w:r>
          </w:p>
          <w:p>
            <w:pPr>
              <w:pStyle w:val="10"/>
              <w:bidi w:val="0"/>
              <w:jc w:val="center"/>
              <w:rPr>
                <w:rFonts w:hint="default"/>
                <w:color w:val="auto"/>
                <w:lang w:val="en-US" w:eastAsia="zh-CN"/>
              </w:rPr>
            </w:pPr>
            <w:r>
              <w:rPr>
                <w:rFonts w:hint="eastAsia"/>
                <w:color w:val="auto"/>
                <w:lang w:val="en-US" w:eastAsia="zh-CN"/>
              </w:rPr>
              <w:t>表2-10  环评报告表批复要求落实情况一览表</w:t>
            </w:r>
          </w:p>
          <w:tbl>
            <w:tblPr>
              <w:tblStyle w:val="20"/>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9"/>
              <w:gridCol w:w="3656"/>
              <w:gridCol w:w="2728"/>
              <w:gridCol w:w="1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blHeader/>
                <w:jc w:val="center"/>
              </w:trPr>
              <w:tc>
                <w:tcPr>
                  <w:tcW w:w="833" w:type="dxa"/>
                  <w:tcBorders>
                    <w:tl2br w:val="nil"/>
                    <w:tr2bl w:val="nil"/>
                  </w:tcBorders>
                  <w:noWrap w:val="0"/>
                  <w:vAlign w:val="center"/>
                </w:tcPr>
                <w:p>
                  <w:pPr>
                    <w:pStyle w:val="55"/>
                    <w:bidi w:val="0"/>
                    <w:rPr>
                      <w:rFonts w:hint="default"/>
                      <w:color w:val="auto"/>
                      <w:u w:val="single"/>
                      <w:lang w:eastAsia="zh-CN"/>
                    </w:rPr>
                  </w:pPr>
                  <w:r>
                    <w:rPr>
                      <w:rFonts w:hint="default"/>
                      <w:color w:val="auto"/>
                      <w:u w:val="single"/>
                      <w:lang w:val="en-US" w:eastAsia="zh-CN"/>
                    </w:rPr>
                    <w:t>序号</w:t>
                  </w:r>
                </w:p>
              </w:tc>
              <w:tc>
                <w:tcPr>
                  <w:tcW w:w="3792" w:type="dxa"/>
                  <w:tcBorders>
                    <w:tl2br w:val="nil"/>
                    <w:tr2bl w:val="nil"/>
                  </w:tcBorders>
                  <w:noWrap w:val="0"/>
                  <w:vAlign w:val="center"/>
                </w:tcPr>
                <w:p>
                  <w:pPr>
                    <w:pStyle w:val="55"/>
                    <w:bidi w:val="0"/>
                    <w:rPr>
                      <w:rFonts w:hint="default"/>
                      <w:color w:val="auto"/>
                      <w:u w:val="single"/>
                      <w:lang w:eastAsia="zh-CN"/>
                    </w:rPr>
                  </w:pPr>
                  <w:r>
                    <w:rPr>
                      <w:rFonts w:hint="default"/>
                      <w:color w:val="auto"/>
                      <w:u w:val="single"/>
                      <w:lang w:eastAsia="zh-CN"/>
                    </w:rPr>
                    <w:t>环评批复要求</w:t>
                  </w:r>
                </w:p>
              </w:tc>
              <w:tc>
                <w:tcPr>
                  <w:tcW w:w="2824" w:type="dxa"/>
                  <w:tcBorders>
                    <w:tl2br w:val="nil"/>
                    <w:tr2bl w:val="nil"/>
                  </w:tcBorders>
                  <w:noWrap w:val="0"/>
                  <w:vAlign w:val="center"/>
                </w:tcPr>
                <w:p>
                  <w:pPr>
                    <w:pStyle w:val="55"/>
                    <w:bidi w:val="0"/>
                    <w:rPr>
                      <w:rFonts w:hint="default"/>
                      <w:color w:val="auto"/>
                      <w:u w:val="single"/>
                      <w:lang w:eastAsia="zh-CN"/>
                    </w:rPr>
                  </w:pPr>
                  <w:r>
                    <w:rPr>
                      <w:rFonts w:hint="default"/>
                      <w:color w:val="auto"/>
                      <w:u w:val="single"/>
                    </w:rPr>
                    <w:t>验收监测或调查结果</w:t>
                  </w:r>
                </w:p>
              </w:tc>
              <w:tc>
                <w:tcPr>
                  <w:tcW w:w="1269"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是否落实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3"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1</w:t>
                  </w:r>
                </w:p>
              </w:tc>
              <w:tc>
                <w:tcPr>
                  <w:tcW w:w="3792"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废气污染防治工作。合理布局，加强院内通风干燥和绿化建设，营运期污水处理站产生臭气自然逸散外排，通过院区绿化带吸收防护，污水处理站周边废气须满足《医疗机构水污染物排放标准》（GB 18466-2005）中表3污水处理站周边大气污染物最高允许浓度要求；备用发电机运行时产生的废气经自带过滤器处理执行《非道路移动机械用柴油机排气污染物排放限值及测量方法（中国第三、四阶段）》(GB 20891—2014)</w:t>
                  </w:r>
                  <w:r>
                    <w:rPr>
                      <w:rFonts w:hint="eastAsia"/>
                      <w:color w:val="auto"/>
                      <w:u w:val="single"/>
                      <w:lang w:val="en-US" w:eastAsia="zh-CN"/>
                    </w:rPr>
                    <w:t>表</w:t>
                  </w:r>
                  <w:r>
                    <w:rPr>
                      <w:rFonts w:hint="default"/>
                      <w:color w:val="auto"/>
                      <w:u w:val="single"/>
                      <w:lang w:val="en-US" w:eastAsia="zh-CN"/>
                    </w:rPr>
                    <w:t>2</w:t>
                  </w:r>
                  <w:r>
                    <w:rPr>
                      <w:rFonts w:hint="eastAsia"/>
                      <w:color w:val="auto"/>
                      <w:u w:val="single"/>
                      <w:lang w:val="en-US" w:eastAsia="zh-CN"/>
                    </w:rPr>
                    <w:t>中</w:t>
                  </w:r>
                  <w:r>
                    <w:rPr>
                      <w:rFonts w:hint="default"/>
                      <w:color w:val="auto"/>
                      <w:u w:val="single"/>
                      <w:lang w:val="en-US" w:eastAsia="zh-CN"/>
                    </w:rPr>
                    <w:t>非道路移动机械用柴油机排气污染物排放限值中第三阶段标准要求。</w:t>
                  </w:r>
                </w:p>
              </w:tc>
              <w:tc>
                <w:tcPr>
                  <w:tcW w:w="2824" w:type="dxa"/>
                  <w:tcBorders>
                    <w:tl2br w:val="nil"/>
                    <w:tr2bl w:val="nil"/>
                  </w:tcBorders>
                  <w:noWrap w:val="0"/>
                  <w:vAlign w:val="center"/>
                </w:tcPr>
                <w:p>
                  <w:pPr>
                    <w:pStyle w:val="55"/>
                    <w:bidi w:val="0"/>
                    <w:rPr>
                      <w:rFonts w:hint="default"/>
                      <w:color w:val="auto"/>
                      <w:u w:val="single"/>
                      <w:lang w:val="en-US" w:eastAsia="zh-CN"/>
                    </w:rPr>
                  </w:pPr>
                  <w:bookmarkStart w:id="4" w:name="_Toc3812"/>
                  <w:bookmarkStart w:id="5" w:name="_Toc13371"/>
                  <w:r>
                    <w:rPr>
                      <w:rFonts w:hint="default"/>
                      <w:color w:val="auto"/>
                      <w:u w:val="single"/>
                      <w:lang w:val="en-US" w:eastAsia="zh-CN"/>
                    </w:rPr>
                    <w:t>污水处理站周边大气污染物最大浓度均低于《医疗机构水污染物排放标准》(GB18466-2005)表3中标准限值要求</w:t>
                  </w:r>
                  <w:bookmarkEnd w:id="4"/>
                  <w:bookmarkEnd w:id="5"/>
                  <w:r>
                    <w:rPr>
                      <w:rFonts w:hint="eastAsia"/>
                      <w:color w:val="auto"/>
                      <w:u w:val="single"/>
                      <w:lang w:val="en-US" w:eastAsia="zh-CN"/>
                    </w:rPr>
                    <w:t>；</w:t>
                  </w:r>
                  <w:r>
                    <w:rPr>
                      <w:rFonts w:hint="eastAsia"/>
                      <w:color w:val="auto"/>
                      <w:u w:val="single"/>
                      <w:lang w:eastAsia="zh-CN"/>
                    </w:rPr>
                    <w:t>食堂油烟废气通过油烟净化器有效收集处理。</w:t>
                  </w:r>
                </w:p>
              </w:tc>
              <w:tc>
                <w:tcPr>
                  <w:tcW w:w="1269"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33"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2</w:t>
                  </w:r>
                </w:p>
              </w:tc>
              <w:tc>
                <w:tcPr>
                  <w:tcW w:w="3792" w:type="dxa"/>
                  <w:tcBorders>
                    <w:tl2br w:val="nil"/>
                    <w:tr2bl w:val="nil"/>
                  </w:tcBorders>
                  <w:noWrap w:val="0"/>
                  <w:vAlign w:val="center"/>
                </w:tcPr>
                <w:p>
                  <w:pPr>
                    <w:pStyle w:val="55"/>
                    <w:bidi w:val="0"/>
                    <w:rPr>
                      <w:rFonts w:hint="eastAsia"/>
                      <w:color w:val="auto"/>
                      <w:u w:val="single"/>
                      <w:lang w:val="en-US" w:eastAsia="zh-CN"/>
                    </w:rPr>
                  </w:pPr>
                  <w:r>
                    <w:rPr>
                      <w:rFonts w:hint="default"/>
                      <w:color w:val="auto"/>
                      <w:u w:val="single"/>
                      <w:lang w:val="en-US" w:eastAsia="zh-CN"/>
                    </w:rPr>
                    <w:t>废水污染防治工作。建设好雨污分流系统</w:t>
                  </w:r>
                  <w:r>
                    <w:rPr>
                      <w:rFonts w:hint="eastAsia"/>
                      <w:color w:val="auto"/>
                      <w:u w:val="single"/>
                      <w:lang w:val="en-US" w:eastAsia="zh-CN"/>
                    </w:rPr>
                    <w:t>，合理设置排放口；</w:t>
                  </w:r>
                  <w:r>
                    <w:rPr>
                      <w:rFonts w:hint="default"/>
                      <w:color w:val="auto"/>
                      <w:u w:val="single"/>
                      <w:lang w:val="en-US" w:eastAsia="zh-CN"/>
                    </w:rPr>
                    <w:t>项目医疗废水、生活污水</w:t>
                  </w:r>
                  <w:r>
                    <w:rPr>
                      <w:rFonts w:hint="eastAsia"/>
                      <w:color w:val="auto"/>
                      <w:u w:val="single"/>
                      <w:lang w:val="en-US" w:eastAsia="zh-CN"/>
                    </w:rPr>
                    <w:t>经自建</w:t>
                  </w:r>
                  <w:r>
                    <w:rPr>
                      <w:rFonts w:hint="default"/>
                      <w:color w:val="auto"/>
                      <w:u w:val="single"/>
                      <w:lang w:val="en-US" w:eastAsia="zh-CN"/>
                    </w:rPr>
                    <w:t>污水处理站处理达</w:t>
                  </w:r>
                  <w:r>
                    <w:rPr>
                      <w:rFonts w:hint="eastAsia"/>
                      <w:color w:val="auto"/>
                      <w:u w:val="single"/>
                      <w:lang w:val="en-US" w:eastAsia="zh-CN"/>
                    </w:rPr>
                    <w:t>到</w:t>
                  </w:r>
                  <w:r>
                    <w:rPr>
                      <w:rFonts w:hint="default"/>
                      <w:color w:val="auto"/>
                      <w:u w:val="single"/>
                      <w:lang w:val="en-US" w:eastAsia="zh-CN"/>
                    </w:rPr>
                    <w:t>《医疗机构水污染物排放标准》(GB18466-2005)表2预处理排放限值</w:t>
                  </w:r>
                  <w:r>
                    <w:rPr>
                      <w:rFonts w:hint="eastAsia"/>
                      <w:color w:val="auto"/>
                      <w:u w:val="single"/>
                      <w:lang w:val="en-US" w:eastAsia="zh-CN"/>
                    </w:rPr>
                    <w:t>与东塘镇污水处理厂进水要求中较严值后</w:t>
                  </w:r>
                  <w:r>
                    <w:rPr>
                      <w:rFonts w:hint="default"/>
                      <w:color w:val="auto"/>
                      <w:u w:val="single"/>
                      <w:lang w:val="en-US" w:eastAsia="zh-CN"/>
                    </w:rPr>
                    <w:t>，</w:t>
                  </w:r>
                  <w:r>
                    <w:rPr>
                      <w:rFonts w:hint="eastAsia"/>
                      <w:color w:val="auto"/>
                      <w:u w:val="single"/>
                      <w:lang w:val="en-US" w:eastAsia="zh-CN"/>
                    </w:rPr>
                    <w:t>经排污管道排入湘阴县东塘镇污水处理厂进行深度处理，达标后最终排入湘江。</w:t>
                  </w:r>
                </w:p>
                <w:p>
                  <w:pPr>
                    <w:pStyle w:val="55"/>
                    <w:bidi w:val="0"/>
                    <w:rPr>
                      <w:rFonts w:hint="default"/>
                      <w:color w:val="auto"/>
                      <w:u w:val="single"/>
                      <w:lang w:val="en-US" w:eastAsia="zh-CN"/>
                    </w:rPr>
                  </w:pPr>
                </w:p>
              </w:tc>
              <w:tc>
                <w:tcPr>
                  <w:tcW w:w="2824" w:type="dxa"/>
                  <w:tcBorders>
                    <w:tl2br w:val="nil"/>
                    <w:tr2bl w:val="nil"/>
                  </w:tcBorders>
                  <w:noWrap w:val="0"/>
                  <w:vAlign w:val="center"/>
                </w:tcPr>
                <w:p>
                  <w:pPr>
                    <w:pStyle w:val="55"/>
                    <w:bidi w:val="0"/>
                    <w:rPr>
                      <w:rFonts w:hint="default"/>
                      <w:color w:val="auto"/>
                      <w:u w:val="single"/>
                      <w:lang w:val="en-US" w:eastAsia="zh-CN"/>
                    </w:rPr>
                  </w:pPr>
                  <w:bookmarkStart w:id="6" w:name="_Toc8410"/>
                  <w:bookmarkStart w:id="7" w:name="_Toc499"/>
                  <w:r>
                    <w:rPr>
                      <w:rFonts w:hint="eastAsia"/>
                      <w:color w:val="auto"/>
                      <w:u w:val="single"/>
                      <w:lang w:val="en-US" w:eastAsia="zh-CN"/>
                    </w:rPr>
                    <w:t>已进行雨污分流；</w:t>
                  </w:r>
                </w:p>
                <w:p>
                  <w:pPr>
                    <w:pStyle w:val="55"/>
                    <w:bidi w:val="0"/>
                    <w:rPr>
                      <w:rFonts w:hint="default"/>
                      <w:color w:val="auto"/>
                      <w:u w:val="single"/>
                      <w:lang w:val="en-US" w:eastAsia="zh-CN"/>
                    </w:rPr>
                  </w:pPr>
                  <w:r>
                    <w:rPr>
                      <w:rFonts w:hint="default"/>
                      <w:color w:val="auto"/>
                      <w:u w:val="single"/>
                      <w:lang w:val="en-US" w:eastAsia="zh-CN"/>
                    </w:rPr>
                    <w:t>废水所有监测因子检测数据均未超过</w:t>
                  </w:r>
                  <w:bookmarkEnd w:id="6"/>
                  <w:bookmarkEnd w:id="7"/>
                  <w:r>
                    <w:rPr>
                      <w:rFonts w:hint="eastAsia"/>
                      <w:color w:val="auto"/>
                      <w:u w:val="single"/>
                      <w:lang w:eastAsia="zh-CN"/>
                    </w:rPr>
                    <w:t>《医疗机构水污染物排放标准》(GB18466-2005)表2预处理排放限值和</w:t>
                  </w:r>
                  <w:r>
                    <w:rPr>
                      <w:rFonts w:hint="eastAsia"/>
                      <w:color w:val="auto"/>
                      <w:u w:val="single"/>
                      <w:lang w:val="en-US" w:eastAsia="zh-CN"/>
                    </w:rPr>
                    <w:t>东塘</w:t>
                  </w:r>
                  <w:r>
                    <w:rPr>
                      <w:rFonts w:hint="eastAsia"/>
                      <w:color w:val="auto"/>
                      <w:u w:val="single"/>
                      <w:lang w:eastAsia="zh-CN"/>
                    </w:rPr>
                    <w:t>镇污水处理厂进水水质要求</w:t>
                  </w:r>
                  <w:r>
                    <w:rPr>
                      <w:rFonts w:hint="eastAsia"/>
                      <w:color w:val="auto"/>
                      <w:u w:val="single"/>
                      <w:lang w:val="en-US" w:eastAsia="zh-CN"/>
                    </w:rPr>
                    <w:t>；经排污管道排入湘阴县东塘镇污水处理厂进行深度处理，达标后通过沟渠排入三汊港南湖，最终排入湘江。</w:t>
                  </w:r>
                </w:p>
              </w:tc>
              <w:tc>
                <w:tcPr>
                  <w:tcW w:w="1269"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6" w:hRule="atLeast"/>
                <w:jc w:val="center"/>
              </w:trPr>
              <w:tc>
                <w:tcPr>
                  <w:tcW w:w="833"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3</w:t>
                  </w:r>
                </w:p>
              </w:tc>
              <w:tc>
                <w:tcPr>
                  <w:tcW w:w="3792"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噪声污染防治工作。选用低噪声空调外机、发电机、水泵等设备，合理布局并做好基础减振、屏障、消声等防治措施，确保边界噪声达到《工业企业厂界环境噪声排放标准》（GB12348-2008）中2类标准要求。</w:t>
                  </w:r>
                </w:p>
              </w:tc>
              <w:tc>
                <w:tcPr>
                  <w:tcW w:w="2824"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厂界噪声满足《工业企业厂界环境噪声排放标准》(GB12348-2008)中2类</w:t>
                  </w:r>
                  <w:r>
                    <w:rPr>
                      <w:rFonts w:hint="eastAsia"/>
                      <w:color w:val="auto"/>
                      <w:u w:val="single"/>
                      <w:lang w:val="en-US" w:eastAsia="zh-CN"/>
                    </w:rPr>
                    <w:t>、4</w:t>
                  </w:r>
                  <w:r>
                    <w:rPr>
                      <w:rFonts w:hint="default"/>
                      <w:color w:val="auto"/>
                      <w:u w:val="single"/>
                      <w:lang w:val="en-US" w:eastAsia="zh-CN"/>
                    </w:rPr>
                    <w:t>标准</w:t>
                  </w:r>
                  <w:r>
                    <w:rPr>
                      <w:rFonts w:hint="eastAsia"/>
                      <w:color w:val="auto"/>
                      <w:u w:val="single"/>
                      <w:lang w:val="en-US" w:eastAsia="zh-CN"/>
                    </w:rPr>
                    <w:t>。</w:t>
                  </w:r>
                </w:p>
              </w:tc>
              <w:tc>
                <w:tcPr>
                  <w:tcW w:w="1269"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56" w:hRule="atLeast"/>
                <w:jc w:val="center"/>
              </w:trPr>
              <w:tc>
                <w:tcPr>
                  <w:tcW w:w="833"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4</w:t>
                  </w:r>
                </w:p>
              </w:tc>
              <w:tc>
                <w:tcPr>
                  <w:tcW w:w="3792"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固体废物污染防治工作。强化日常环境管理，按“资源化、减量化、无害化”原则，做好固体分类收集和综合利用，并建立固体废物产生、储存、处置管理台账，落实危险废物转移联单制度和《危险废物贮存污染控制标准》（GB18597-2023）、《医疗废物集中处置技术规范》（环发〔2003〕206 号）、《一般工业固体废物贮存和填埋污染控制标准》（GB18599-2020）配套建设规范的暂存场所，分类收集、规范暂存、合理处置不得将生活垃圾和医疗废弃物混为一体。化粪池污泥、污水处理站污泥经污泥压滤机压滤后和医疗废物分别收集暂存于危废储存间，委托有危废资质的单位进行处置；输液瓶(袋)（不含针头、输液管）经单独收集后交由有资质单位处置；废包装材料</w:t>
                  </w:r>
                  <w:r>
                    <w:rPr>
                      <w:rFonts w:hint="eastAsia"/>
                      <w:color w:val="auto"/>
                      <w:u w:val="single"/>
                      <w:lang w:val="en-US" w:eastAsia="zh-CN"/>
                    </w:rPr>
                    <w:t>收集后综合利用；</w:t>
                  </w:r>
                  <w:r>
                    <w:rPr>
                      <w:rFonts w:hint="default"/>
                      <w:color w:val="auto"/>
                      <w:u w:val="single"/>
                      <w:lang w:val="en-US" w:eastAsia="zh-CN"/>
                    </w:rPr>
                    <w:t>生活垃圾分类收集后交由当地环卫部门统一处置。</w:t>
                  </w:r>
                </w:p>
              </w:tc>
              <w:tc>
                <w:tcPr>
                  <w:tcW w:w="2824" w:type="dxa"/>
                  <w:tcBorders>
                    <w:tl2br w:val="nil"/>
                    <w:tr2bl w:val="nil"/>
                  </w:tcBorders>
                  <w:noWrap w:val="0"/>
                  <w:vAlign w:val="center"/>
                </w:tcPr>
                <w:p>
                  <w:pPr>
                    <w:pStyle w:val="55"/>
                    <w:bidi w:val="0"/>
                    <w:rPr>
                      <w:rFonts w:hint="default"/>
                      <w:color w:val="auto"/>
                      <w:u w:val="single"/>
                      <w:lang w:val="en-US" w:eastAsia="zh-CN"/>
                    </w:rPr>
                  </w:pPr>
                  <w:r>
                    <w:rPr>
                      <w:rFonts w:hint="default"/>
                      <w:color w:val="auto"/>
                      <w:u w:val="single"/>
                      <w:lang w:val="en-US" w:eastAsia="zh-CN"/>
                    </w:rPr>
                    <w:t>生活垃圾经分类收集后由环卫部门定期进行清运。</w:t>
                  </w:r>
                </w:p>
                <w:p>
                  <w:pPr>
                    <w:pStyle w:val="55"/>
                    <w:bidi w:val="0"/>
                    <w:rPr>
                      <w:rFonts w:hint="eastAsia"/>
                      <w:color w:val="auto"/>
                      <w:u w:val="single"/>
                      <w:lang w:val="en-US" w:eastAsia="zh-CN"/>
                    </w:rPr>
                  </w:pPr>
                  <w:r>
                    <w:rPr>
                      <w:rFonts w:hint="eastAsia"/>
                      <w:color w:val="auto"/>
                      <w:u w:val="single"/>
                      <w:lang w:eastAsia="zh-CN"/>
                    </w:rPr>
                    <w:t>医疗废物、废紫外灯管分别收集暂存于危废储存</w:t>
                  </w:r>
                  <w:r>
                    <w:rPr>
                      <w:rFonts w:hint="eastAsia"/>
                      <w:color w:val="auto"/>
                      <w:u w:val="single"/>
                      <w:lang w:val="en-US" w:eastAsia="zh-CN"/>
                    </w:rPr>
                    <w:t>间</w:t>
                  </w:r>
                  <w:r>
                    <w:rPr>
                      <w:rFonts w:hint="default"/>
                      <w:color w:val="auto"/>
                      <w:u w:val="single"/>
                      <w:lang w:val="en-US" w:eastAsia="zh-CN"/>
                    </w:rPr>
                    <w:t>交</w:t>
                  </w:r>
                  <w:r>
                    <w:rPr>
                      <w:color w:val="auto"/>
                      <w:u w:val="single"/>
                    </w:rPr>
                    <w:t>岳阳市方向固废安全处置有限公司</w:t>
                  </w:r>
                  <w:r>
                    <w:rPr>
                      <w:rFonts w:hint="default"/>
                      <w:color w:val="auto"/>
                      <w:u w:val="single"/>
                      <w:lang w:val="en-US" w:eastAsia="zh-CN"/>
                    </w:rPr>
                    <w:t>。</w:t>
                  </w:r>
                  <w:r>
                    <w:rPr>
                      <w:color w:val="auto"/>
                      <w:u w:val="single"/>
                    </w:rPr>
                    <w:t>污水处理设施产生的污泥</w:t>
                  </w:r>
                  <w:r>
                    <w:rPr>
                      <w:rFonts w:hint="eastAsia"/>
                      <w:color w:val="auto"/>
                      <w:u w:val="single"/>
                      <w:lang w:val="en-US" w:eastAsia="zh-CN"/>
                    </w:rPr>
                    <w:t>每年由</w:t>
                  </w:r>
                  <w:r>
                    <w:rPr>
                      <w:color w:val="auto"/>
                      <w:u w:val="single"/>
                    </w:rPr>
                    <w:t>岳阳市方向固废安全处置有限公司清掏拖运处置，不在院区医废间暂存</w:t>
                  </w:r>
                  <w:r>
                    <w:rPr>
                      <w:rFonts w:hint="eastAsia"/>
                      <w:color w:val="auto"/>
                      <w:u w:val="single"/>
                      <w:lang w:eastAsia="zh-CN"/>
                    </w:rPr>
                    <w:t>，</w:t>
                  </w:r>
                  <w:r>
                    <w:rPr>
                      <w:rFonts w:hint="eastAsia"/>
                      <w:color w:val="auto"/>
                      <w:u w:val="single"/>
                      <w:lang w:val="en-US" w:eastAsia="zh-CN"/>
                    </w:rPr>
                    <w:t>故未设置</w:t>
                  </w:r>
                  <w:r>
                    <w:rPr>
                      <w:rFonts w:hint="eastAsia"/>
                      <w:color w:val="auto"/>
                      <w:u w:val="single"/>
                      <w:lang w:eastAsia="zh-CN"/>
                    </w:rPr>
                    <w:t>污泥</w:t>
                  </w:r>
                  <w:r>
                    <w:rPr>
                      <w:rFonts w:hint="eastAsia"/>
                      <w:color w:val="auto"/>
                      <w:u w:val="single"/>
                      <w:lang w:val="en-US" w:eastAsia="zh-CN"/>
                    </w:rPr>
                    <w:t>压滤机</w:t>
                  </w:r>
                  <w:r>
                    <w:rPr>
                      <w:rFonts w:hint="eastAsia"/>
                      <w:color w:val="auto"/>
                      <w:u w:val="single"/>
                      <w:lang w:eastAsia="zh-CN"/>
                    </w:rPr>
                    <w:t>。</w:t>
                  </w:r>
                </w:p>
                <w:p>
                  <w:pPr>
                    <w:pStyle w:val="55"/>
                    <w:bidi w:val="0"/>
                    <w:rPr>
                      <w:rFonts w:hint="eastAsia"/>
                      <w:color w:val="auto"/>
                      <w:u w:val="single"/>
                      <w:lang w:eastAsia="zh-CN"/>
                    </w:rPr>
                  </w:pPr>
                  <w:r>
                    <w:rPr>
                      <w:rFonts w:hint="eastAsia"/>
                      <w:color w:val="auto"/>
                      <w:u w:val="single"/>
                      <w:lang w:eastAsia="zh-CN"/>
                    </w:rPr>
                    <w:t>输液瓶(袋)(不含针头、输液管)经单独收集后</w:t>
                  </w:r>
                  <w:r>
                    <w:rPr>
                      <w:rFonts w:hint="eastAsia"/>
                      <w:color w:val="auto"/>
                      <w:u w:val="single"/>
                      <w:lang w:val="en-US" w:eastAsia="zh-CN"/>
                    </w:rPr>
                    <w:t>由湖南博晟卫生材料有限公司</w:t>
                  </w:r>
                  <w:r>
                    <w:rPr>
                      <w:color w:val="auto"/>
                      <w:u w:val="single"/>
                    </w:rPr>
                    <w:t>回收处置</w:t>
                  </w:r>
                  <w:r>
                    <w:rPr>
                      <w:rFonts w:hint="eastAsia"/>
                      <w:color w:val="auto"/>
                      <w:u w:val="single"/>
                      <w:lang w:eastAsia="zh-CN"/>
                    </w:rPr>
                    <w:t>。</w:t>
                  </w:r>
                </w:p>
                <w:p>
                  <w:pPr>
                    <w:pStyle w:val="55"/>
                    <w:bidi w:val="0"/>
                    <w:rPr>
                      <w:rFonts w:hint="default"/>
                      <w:color w:val="auto"/>
                      <w:u w:val="single"/>
                      <w:lang w:val="en-US" w:eastAsia="zh-CN"/>
                    </w:rPr>
                  </w:pPr>
                  <w:r>
                    <w:rPr>
                      <w:rFonts w:hint="eastAsia"/>
                      <w:color w:val="auto"/>
                      <w:u w:val="single"/>
                      <w:lang w:eastAsia="zh-CN"/>
                    </w:rPr>
                    <w:t>废包装材料收集后</w:t>
                  </w:r>
                  <w:r>
                    <w:rPr>
                      <w:rFonts w:hint="eastAsia"/>
                      <w:color w:val="auto"/>
                      <w:u w:val="single"/>
                      <w:lang w:val="en-US" w:eastAsia="zh-CN"/>
                    </w:rPr>
                    <w:t>废品站回收。</w:t>
                  </w:r>
                </w:p>
              </w:tc>
              <w:tc>
                <w:tcPr>
                  <w:tcW w:w="1269"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56" w:hRule="atLeast"/>
                <w:jc w:val="center"/>
              </w:trPr>
              <w:tc>
                <w:tcPr>
                  <w:tcW w:w="833"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5</w:t>
                  </w:r>
                </w:p>
              </w:tc>
              <w:tc>
                <w:tcPr>
                  <w:tcW w:w="3792" w:type="dxa"/>
                  <w:tcBorders>
                    <w:tl2br w:val="nil"/>
                    <w:tr2bl w:val="nil"/>
                  </w:tcBorders>
                  <w:noWrap w:val="0"/>
                  <w:vAlign w:val="center"/>
                </w:tcPr>
                <w:p>
                  <w:pPr>
                    <w:pStyle w:val="55"/>
                    <w:bidi w:val="0"/>
                    <w:rPr>
                      <w:rFonts w:hint="eastAsia"/>
                      <w:color w:val="auto"/>
                      <w:u w:val="single"/>
                      <w:lang w:eastAsia="zh-CN"/>
                    </w:rPr>
                  </w:pPr>
                  <w:r>
                    <w:rPr>
                      <w:rFonts w:hint="default"/>
                      <w:color w:val="auto"/>
                      <w:u w:val="single"/>
                      <w:lang w:val="en-US" w:eastAsia="zh-CN"/>
                    </w:rPr>
                    <w:t>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tc>
              <w:tc>
                <w:tcPr>
                  <w:tcW w:w="2824"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未编制</w:t>
                  </w:r>
                  <w:r>
                    <w:rPr>
                      <w:rFonts w:hint="eastAsia"/>
                      <w:color w:val="auto"/>
                      <w:u w:val="single"/>
                      <w:lang w:eastAsia="zh-CN"/>
                    </w:rPr>
                    <w:t>环境事故应急预案</w:t>
                  </w:r>
                </w:p>
              </w:tc>
              <w:tc>
                <w:tcPr>
                  <w:tcW w:w="1269"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56" w:hRule="atLeast"/>
                <w:jc w:val="center"/>
              </w:trPr>
              <w:tc>
                <w:tcPr>
                  <w:tcW w:w="833"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6</w:t>
                  </w:r>
                </w:p>
              </w:tc>
              <w:tc>
                <w:tcPr>
                  <w:tcW w:w="3792" w:type="dxa"/>
                  <w:tcBorders>
                    <w:tl2br w:val="nil"/>
                    <w:tr2bl w:val="nil"/>
                  </w:tcBorders>
                  <w:noWrap w:val="0"/>
                  <w:vAlign w:val="center"/>
                </w:tcPr>
                <w:p>
                  <w:pPr>
                    <w:pStyle w:val="55"/>
                    <w:bidi w:val="0"/>
                    <w:rPr>
                      <w:rFonts w:hint="eastAsia"/>
                      <w:color w:val="auto"/>
                      <w:u w:val="single"/>
                      <w:lang w:eastAsia="zh-CN"/>
                    </w:rPr>
                  </w:pPr>
                  <w:r>
                    <w:rPr>
                      <w:rFonts w:hint="eastAsia"/>
                      <w:color w:val="auto"/>
                      <w:u w:val="single"/>
                      <w:lang w:val="en-US" w:eastAsia="zh-CN"/>
                    </w:rPr>
                    <w:t>做好环境管理工作。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定期向社会公开医院环境信息。</w:t>
                  </w:r>
                </w:p>
              </w:tc>
              <w:tc>
                <w:tcPr>
                  <w:tcW w:w="2824"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已</w:t>
                  </w:r>
                  <w:r>
                    <w:rPr>
                      <w:rFonts w:hint="eastAsia"/>
                      <w:color w:val="auto"/>
                      <w:u w:val="single"/>
                      <w:lang w:eastAsia="zh-CN"/>
                    </w:rPr>
                    <w:t>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w:t>
                  </w:r>
                </w:p>
              </w:tc>
              <w:tc>
                <w:tcPr>
                  <w:tcW w:w="1269" w:type="dxa"/>
                  <w:tcBorders>
                    <w:tl2br w:val="nil"/>
                    <w:tr2bl w:val="nil"/>
                  </w:tcBorders>
                  <w:noWrap w:val="0"/>
                  <w:vAlign w:val="center"/>
                </w:tcPr>
                <w:p>
                  <w:pPr>
                    <w:pStyle w:val="55"/>
                    <w:bidi w:val="0"/>
                    <w:rPr>
                      <w:rFonts w:hint="default"/>
                      <w:color w:val="auto"/>
                      <w:u w:val="single"/>
                      <w:lang w:val="en-US" w:eastAsia="zh-CN"/>
                    </w:rPr>
                  </w:pPr>
                  <w:r>
                    <w:rPr>
                      <w:rFonts w:hint="eastAsia"/>
                      <w:color w:val="auto"/>
                      <w:u w:val="single"/>
                      <w:lang w:val="en-US" w:eastAsia="zh-CN"/>
                    </w:rPr>
                    <w:t>是</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u w:val="none" w:color="auto"/>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b/>
                <w:bCs/>
                <w:color w:val="auto"/>
                <w:sz w:val="24"/>
                <w:szCs w:val="24"/>
                <w:u w:val="none" w:color="auto"/>
                <w:lang w:val="en-US" w:eastAsia="zh-CN"/>
              </w:rPr>
            </w:pPr>
            <w:r>
              <w:rPr>
                <w:rFonts w:hint="eastAsia"/>
                <w:b/>
                <w:bCs/>
                <w:color w:val="auto"/>
                <w:sz w:val="24"/>
                <w:szCs w:val="24"/>
                <w:u w:val="none" w:color="auto"/>
                <w:lang w:val="en-US" w:eastAsia="zh-CN"/>
              </w:rPr>
              <w:t>4、存在问题及整改建议</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根据现场勘查，项目目前主要的防治措施、存在的环境问题</w:t>
            </w:r>
            <w:r>
              <w:rPr>
                <w:rFonts w:hint="eastAsia" w:ascii="宋体" w:hAnsi="宋体" w:cs="宋体"/>
                <w:color w:val="auto"/>
                <w:kern w:val="0"/>
                <w:sz w:val="24"/>
                <w:szCs w:val="24"/>
                <w:u w:val="none" w:color="auto"/>
                <w:lang w:val="en-US" w:eastAsia="zh-CN" w:bidi="ar"/>
              </w:rPr>
              <w:t>以及</w:t>
            </w:r>
            <w:r>
              <w:rPr>
                <w:rFonts w:hint="eastAsia" w:ascii="宋体" w:hAnsi="宋体" w:eastAsia="宋体" w:cs="宋体"/>
                <w:color w:val="auto"/>
                <w:kern w:val="0"/>
                <w:sz w:val="24"/>
                <w:szCs w:val="24"/>
                <w:u w:val="none" w:color="auto"/>
                <w:lang w:val="en-US" w:eastAsia="zh-CN" w:bidi="ar"/>
              </w:rPr>
              <w:t>整改措施见下表。</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u w:val="none" w:color="auto"/>
                <w:lang w:val="en-US" w:eastAsia="zh-CN" w:bidi="ar"/>
              </w:rPr>
            </w:pP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u w:val="none" w:color="auto"/>
                <w:lang w:val="en-US" w:eastAsia="zh-CN" w:bidi="ar"/>
              </w:rPr>
            </w:pPr>
          </w:p>
          <w:p>
            <w:pPr>
              <w:snapToGrid w:val="0"/>
              <w:spacing w:line="276" w:lineRule="auto"/>
              <w:ind w:firstLine="93" w:firstLineChars="39"/>
              <w:jc w:val="center"/>
              <w:rPr>
                <w:b w:val="0"/>
                <w:bCs w:val="0"/>
                <w:color w:val="auto"/>
                <w:sz w:val="24"/>
                <w:u w:val="none" w:color="auto"/>
              </w:rPr>
            </w:pPr>
            <w:r>
              <w:rPr>
                <w:b w:val="0"/>
                <w:bCs w:val="0"/>
                <w:color w:val="auto"/>
                <w:sz w:val="24"/>
                <w:u w:val="none" w:color="auto"/>
              </w:rPr>
              <w:t>表</w:t>
            </w:r>
            <w:r>
              <w:rPr>
                <w:rFonts w:hint="eastAsia"/>
                <w:b w:val="0"/>
                <w:bCs w:val="0"/>
                <w:color w:val="auto"/>
                <w:sz w:val="24"/>
                <w:u w:val="none" w:color="auto"/>
                <w:lang w:val="en-US" w:eastAsia="zh-CN"/>
              </w:rPr>
              <w:t>2</w:t>
            </w:r>
            <w:r>
              <w:rPr>
                <w:b w:val="0"/>
                <w:bCs w:val="0"/>
                <w:color w:val="auto"/>
                <w:sz w:val="24"/>
                <w:u w:val="none" w:color="auto"/>
              </w:rPr>
              <w:t>-</w:t>
            </w:r>
            <w:r>
              <w:rPr>
                <w:rFonts w:hint="eastAsia"/>
                <w:b w:val="0"/>
                <w:bCs w:val="0"/>
                <w:color w:val="auto"/>
                <w:sz w:val="24"/>
                <w:u w:val="none" w:color="auto"/>
                <w:lang w:val="en-US" w:eastAsia="zh-CN"/>
              </w:rPr>
              <w:t>11</w:t>
            </w:r>
            <w:r>
              <w:rPr>
                <w:b w:val="0"/>
                <w:bCs w:val="0"/>
                <w:color w:val="auto"/>
                <w:sz w:val="24"/>
                <w:u w:val="none" w:color="auto"/>
              </w:rPr>
              <w:t>项目污染防治措施、环境问题及整改措施一览表</w:t>
            </w:r>
          </w:p>
          <w:tbl>
            <w:tblPr>
              <w:tblStyle w:val="20"/>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677"/>
              <w:gridCol w:w="1483"/>
              <w:gridCol w:w="1128"/>
              <w:gridCol w:w="1548"/>
              <w:gridCol w:w="1548"/>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 w:type="pct"/>
                  <w:tcBorders>
                    <w:tl2br w:val="nil"/>
                    <w:tr2bl w:val="nil"/>
                  </w:tcBorders>
                  <w:noWrap w:val="0"/>
                  <w:vAlign w:val="center"/>
                </w:tcPr>
                <w:p>
                  <w:pPr>
                    <w:snapToGrid w:val="0"/>
                    <w:jc w:val="center"/>
                    <w:rPr>
                      <w:b/>
                      <w:bCs/>
                      <w:color w:val="auto"/>
                      <w:szCs w:val="21"/>
                      <w:u w:val="none" w:color="auto"/>
                    </w:rPr>
                  </w:pPr>
                  <w:r>
                    <w:rPr>
                      <w:b/>
                      <w:bCs/>
                      <w:color w:val="auto"/>
                      <w:szCs w:val="21"/>
                      <w:u w:val="none" w:color="auto"/>
                    </w:rPr>
                    <w:t>污染类型</w:t>
                  </w:r>
                </w:p>
              </w:tc>
              <w:tc>
                <w:tcPr>
                  <w:tcW w:w="404" w:type="pct"/>
                  <w:tcBorders>
                    <w:tl2br w:val="nil"/>
                    <w:tr2bl w:val="nil"/>
                  </w:tcBorders>
                  <w:noWrap w:val="0"/>
                  <w:vAlign w:val="center"/>
                </w:tcPr>
                <w:p>
                  <w:pPr>
                    <w:snapToGrid w:val="0"/>
                    <w:jc w:val="center"/>
                    <w:rPr>
                      <w:b/>
                      <w:bCs/>
                      <w:color w:val="auto"/>
                      <w:szCs w:val="21"/>
                      <w:u w:val="none" w:color="auto"/>
                    </w:rPr>
                  </w:pPr>
                  <w:r>
                    <w:rPr>
                      <w:b/>
                      <w:bCs/>
                      <w:color w:val="auto"/>
                      <w:szCs w:val="21"/>
                      <w:u w:val="none" w:color="auto"/>
                    </w:rPr>
                    <w:t>名称</w:t>
                  </w:r>
                </w:p>
              </w:tc>
              <w:tc>
                <w:tcPr>
                  <w:tcW w:w="885" w:type="pct"/>
                  <w:tcBorders>
                    <w:tl2br w:val="nil"/>
                    <w:tr2bl w:val="nil"/>
                  </w:tcBorders>
                  <w:noWrap w:val="0"/>
                  <w:vAlign w:val="center"/>
                </w:tcPr>
                <w:p>
                  <w:pPr>
                    <w:snapToGrid w:val="0"/>
                    <w:jc w:val="center"/>
                    <w:rPr>
                      <w:b/>
                      <w:bCs/>
                      <w:color w:val="auto"/>
                      <w:szCs w:val="21"/>
                      <w:u w:val="none" w:color="auto"/>
                    </w:rPr>
                  </w:pPr>
                  <w:r>
                    <w:rPr>
                      <w:b/>
                      <w:bCs/>
                      <w:color w:val="auto"/>
                      <w:szCs w:val="21"/>
                      <w:u w:val="none" w:color="auto"/>
                    </w:rPr>
                    <w:t>环保措施</w:t>
                  </w:r>
                </w:p>
              </w:tc>
              <w:tc>
                <w:tcPr>
                  <w:tcW w:w="673" w:type="pct"/>
                  <w:tcBorders>
                    <w:tl2br w:val="nil"/>
                    <w:tr2bl w:val="nil"/>
                  </w:tcBorders>
                  <w:shd w:val="clear" w:color="auto" w:fill="auto"/>
                  <w:noWrap w:val="0"/>
                  <w:vAlign w:val="center"/>
                </w:tcPr>
                <w:p>
                  <w:pPr>
                    <w:snapToGrid w:val="0"/>
                    <w:jc w:val="center"/>
                    <w:rPr>
                      <w:rFonts w:hint="eastAsia" w:ascii="Times New Roman" w:hAnsi="Times New Roman" w:eastAsia="宋体" w:cs="Times New Roman"/>
                      <w:b/>
                      <w:bCs/>
                      <w:color w:val="auto"/>
                      <w:kern w:val="2"/>
                      <w:sz w:val="21"/>
                      <w:szCs w:val="21"/>
                      <w:u w:val="none" w:color="auto"/>
                      <w:lang w:val="en-US" w:eastAsia="zh-CN" w:bidi="ar-SA"/>
                    </w:rPr>
                  </w:pPr>
                  <w:r>
                    <w:rPr>
                      <w:rFonts w:hint="eastAsia"/>
                      <w:b/>
                      <w:bCs/>
                      <w:color w:val="auto"/>
                      <w:szCs w:val="21"/>
                      <w:u w:val="single"/>
                      <w:lang w:val="en-US" w:eastAsia="zh-CN"/>
                    </w:rPr>
                    <w:t>原环评</w:t>
                  </w:r>
                  <w:r>
                    <w:rPr>
                      <w:b/>
                      <w:bCs/>
                      <w:color w:val="auto"/>
                      <w:szCs w:val="21"/>
                      <w:u w:val="single"/>
                    </w:rPr>
                    <w:t>存在问题</w:t>
                  </w:r>
                  <w:r>
                    <w:rPr>
                      <w:rFonts w:hint="eastAsia"/>
                      <w:b/>
                      <w:bCs/>
                      <w:color w:val="auto"/>
                      <w:szCs w:val="21"/>
                      <w:u w:val="single"/>
                      <w:lang w:val="en-US" w:eastAsia="zh-CN"/>
                    </w:rPr>
                    <w:t>及要求</w:t>
                  </w:r>
                </w:p>
              </w:tc>
              <w:tc>
                <w:tcPr>
                  <w:tcW w:w="924" w:type="pct"/>
                  <w:tcBorders>
                    <w:tl2br w:val="nil"/>
                    <w:tr2bl w:val="nil"/>
                  </w:tcBorders>
                  <w:noWrap w:val="0"/>
                  <w:vAlign w:val="center"/>
                </w:tcPr>
                <w:p>
                  <w:pPr>
                    <w:snapToGrid w:val="0"/>
                    <w:jc w:val="center"/>
                    <w:rPr>
                      <w:rFonts w:hint="default"/>
                      <w:b/>
                      <w:bCs/>
                      <w:color w:val="auto"/>
                      <w:szCs w:val="21"/>
                      <w:u w:val="none" w:color="auto"/>
                      <w:lang w:val="en-US" w:eastAsia="zh-CN"/>
                    </w:rPr>
                  </w:pPr>
                  <w:r>
                    <w:rPr>
                      <w:rFonts w:hint="eastAsia"/>
                      <w:b/>
                      <w:bCs/>
                      <w:color w:val="auto"/>
                      <w:szCs w:val="21"/>
                      <w:u w:val="none" w:color="auto"/>
                      <w:lang w:val="en-US" w:eastAsia="zh-CN"/>
                    </w:rPr>
                    <w:t>整改情况</w:t>
                  </w:r>
                </w:p>
              </w:tc>
              <w:tc>
                <w:tcPr>
                  <w:tcW w:w="924" w:type="pct"/>
                  <w:tcBorders>
                    <w:tl2br w:val="nil"/>
                    <w:tr2bl w:val="nil"/>
                  </w:tcBorders>
                  <w:noWrap w:val="0"/>
                  <w:vAlign w:val="center"/>
                </w:tcPr>
                <w:p>
                  <w:pPr>
                    <w:snapToGrid w:val="0"/>
                    <w:jc w:val="center"/>
                    <w:rPr>
                      <w:rFonts w:hint="default"/>
                      <w:b/>
                      <w:bCs/>
                      <w:color w:val="auto"/>
                      <w:szCs w:val="21"/>
                      <w:u w:val="none" w:color="auto"/>
                      <w:lang w:val="en-US" w:eastAsia="zh-CN"/>
                    </w:rPr>
                  </w:pPr>
                  <w:r>
                    <w:rPr>
                      <w:rFonts w:hint="eastAsia"/>
                      <w:b/>
                      <w:bCs/>
                      <w:color w:val="auto"/>
                      <w:szCs w:val="21"/>
                      <w:u w:val="none" w:color="auto"/>
                      <w:lang w:val="en-US" w:eastAsia="zh-CN"/>
                    </w:rPr>
                    <w:t>现状问题</w:t>
                  </w:r>
                </w:p>
              </w:tc>
              <w:tc>
                <w:tcPr>
                  <w:tcW w:w="924" w:type="pct"/>
                  <w:tcBorders>
                    <w:tl2br w:val="nil"/>
                    <w:tr2bl w:val="nil"/>
                  </w:tcBorders>
                  <w:noWrap w:val="0"/>
                  <w:vAlign w:val="center"/>
                </w:tcPr>
                <w:p>
                  <w:pPr>
                    <w:snapToGrid w:val="0"/>
                    <w:jc w:val="center"/>
                    <w:rPr>
                      <w:b/>
                      <w:bCs/>
                      <w:color w:val="auto"/>
                      <w:szCs w:val="21"/>
                      <w:u w:val="none" w:color="auto"/>
                    </w:rPr>
                  </w:pPr>
                  <w:r>
                    <w:rPr>
                      <w:b/>
                      <w:bCs/>
                      <w:color w:val="auto"/>
                      <w:szCs w:val="21"/>
                      <w:u w:val="none" w:color="auto"/>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 w:type="pct"/>
                  <w:vMerge w:val="restart"/>
                  <w:tcBorders>
                    <w:tl2br w:val="nil"/>
                    <w:tr2bl w:val="nil"/>
                  </w:tcBorders>
                  <w:noWrap w:val="0"/>
                  <w:vAlign w:val="center"/>
                </w:tcPr>
                <w:p>
                  <w:pPr>
                    <w:snapToGrid w:val="0"/>
                    <w:jc w:val="center"/>
                    <w:rPr>
                      <w:color w:val="auto"/>
                      <w:szCs w:val="21"/>
                      <w:u w:val="single" w:color="auto"/>
                    </w:rPr>
                  </w:pPr>
                  <w:r>
                    <w:rPr>
                      <w:color w:val="auto"/>
                      <w:szCs w:val="21"/>
                      <w:u w:val="single" w:color="auto"/>
                    </w:rPr>
                    <w:t>废气</w:t>
                  </w:r>
                </w:p>
              </w:tc>
              <w:tc>
                <w:tcPr>
                  <w:tcW w:w="404" w:type="pct"/>
                  <w:tcBorders>
                    <w:tl2br w:val="nil"/>
                    <w:tr2bl w:val="nil"/>
                  </w:tcBorders>
                  <w:noWrap w:val="0"/>
                  <w:vAlign w:val="center"/>
                </w:tcPr>
                <w:p>
                  <w:pPr>
                    <w:snapToGrid w:val="0"/>
                    <w:jc w:val="center"/>
                    <w:rPr>
                      <w:color w:val="auto"/>
                      <w:szCs w:val="21"/>
                      <w:u w:val="single" w:color="auto"/>
                    </w:rPr>
                  </w:pPr>
                  <w:r>
                    <w:rPr>
                      <w:color w:val="auto"/>
                      <w:szCs w:val="21"/>
                      <w:u w:val="single" w:color="auto"/>
                    </w:rPr>
                    <w:t>食堂油烟废气</w:t>
                  </w:r>
                </w:p>
              </w:tc>
              <w:tc>
                <w:tcPr>
                  <w:tcW w:w="885" w:type="pct"/>
                  <w:tcBorders>
                    <w:tl2br w:val="nil"/>
                    <w:tr2bl w:val="nil"/>
                  </w:tcBorders>
                  <w:noWrap w:val="0"/>
                  <w:vAlign w:val="center"/>
                </w:tcPr>
                <w:p>
                  <w:pPr>
                    <w:snapToGrid w:val="0"/>
                    <w:jc w:val="center"/>
                    <w:rPr>
                      <w:rFonts w:hint="default" w:eastAsia="宋体"/>
                      <w:color w:val="auto"/>
                      <w:szCs w:val="21"/>
                      <w:u w:val="single" w:color="auto"/>
                      <w:lang w:val="en-US" w:eastAsia="zh-CN"/>
                    </w:rPr>
                  </w:pPr>
                  <w:r>
                    <w:rPr>
                      <w:rFonts w:hint="eastAsia"/>
                      <w:color w:val="auto"/>
                      <w:szCs w:val="21"/>
                      <w:u w:val="single" w:color="auto"/>
                      <w:lang w:val="en-US" w:eastAsia="zh-CN"/>
                    </w:rPr>
                    <w:t>油烟净化器</w:t>
                  </w:r>
                </w:p>
              </w:tc>
              <w:tc>
                <w:tcPr>
                  <w:tcW w:w="673" w:type="pct"/>
                  <w:tcBorders>
                    <w:tl2br w:val="nil"/>
                    <w:tr2bl w:val="nil"/>
                  </w:tcBorders>
                  <w:shd w:val="clear" w:color="auto" w:fill="auto"/>
                  <w:noWrap w:val="0"/>
                  <w:vAlign w:val="center"/>
                </w:tcPr>
                <w:p>
                  <w:pPr>
                    <w:snapToGrid w:val="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color w:val="auto"/>
                      <w:szCs w:val="21"/>
                      <w:u w:val="single" w:color="auto"/>
                      <w:lang w:val="en-US" w:eastAsia="zh-CN"/>
                    </w:rPr>
                    <w:t>无</w:t>
                  </w:r>
                </w:p>
              </w:tc>
              <w:tc>
                <w:tcPr>
                  <w:tcW w:w="924" w:type="pct"/>
                  <w:tcBorders>
                    <w:tl2br w:val="nil"/>
                    <w:tr2bl w:val="nil"/>
                  </w:tcBorders>
                  <w:noWrap w:val="0"/>
                  <w:vAlign w:val="center"/>
                </w:tcPr>
                <w:p>
                  <w:pPr>
                    <w:snapToGrid w:val="0"/>
                    <w:jc w:val="center"/>
                    <w:rPr>
                      <w:rFonts w:hint="default"/>
                      <w:color w:val="auto"/>
                      <w:szCs w:val="21"/>
                      <w:u w:val="single" w:color="auto"/>
                      <w:lang w:val="en-US" w:eastAsia="zh-CN"/>
                    </w:rPr>
                  </w:pPr>
                  <w:r>
                    <w:rPr>
                      <w:rFonts w:hint="eastAsia"/>
                      <w:color w:val="auto"/>
                      <w:szCs w:val="21"/>
                      <w:u w:val="single" w:color="auto"/>
                      <w:lang w:val="en-US" w:eastAsia="zh-CN"/>
                    </w:rPr>
                    <w:t>无</w:t>
                  </w:r>
                </w:p>
              </w:tc>
              <w:tc>
                <w:tcPr>
                  <w:tcW w:w="1548" w:type="dxa"/>
                  <w:tcBorders>
                    <w:tl2br w:val="nil"/>
                    <w:tr2bl w:val="nil"/>
                  </w:tcBorders>
                  <w:noWrap w:val="0"/>
                  <w:vAlign w:val="center"/>
                </w:tcPr>
                <w:p>
                  <w:pPr>
                    <w:snapToGrid w:val="0"/>
                    <w:jc w:val="center"/>
                    <w:rPr>
                      <w:rFonts w:hint="eastAsia"/>
                      <w:color w:val="auto"/>
                      <w:szCs w:val="21"/>
                      <w:u w:val="single" w:color="auto"/>
                      <w:lang w:val="en-US" w:eastAsia="zh-CN"/>
                    </w:rPr>
                  </w:pPr>
                  <w:r>
                    <w:rPr>
                      <w:rFonts w:hint="eastAsia"/>
                      <w:color w:val="auto"/>
                      <w:szCs w:val="21"/>
                      <w:u w:val="single" w:color="auto"/>
                      <w:lang w:val="en-US" w:eastAsia="zh-CN"/>
                    </w:rPr>
                    <w:t>无</w:t>
                  </w:r>
                </w:p>
              </w:tc>
              <w:tc>
                <w:tcPr>
                  <w:tcW w:w="924" w:type="pct"/>
                  <w:tcBorders>
                    <w:tl2br w:val="nil"/>
                    <w:tr2bl w:val="nil"/>
                  </w:tcBorders>
                  <w:noWrap w:val="0"/>
                  <w:vAlign w:val="center"/>
                </w:tcPr>
                <w:p>
                  <w:pPr>
                    <w:ind w:left="12" w:leftChars="-40" w:hanging="96" w:hangingChars="46"/>
                    <w:jc w:val="center"/>
                    <w:rPr>
                      <w:rFonts w:hint="default" w:eastAsia="宋体"/>
                      <w:color w:val="auto"/>
                      <w:szCs w:val="21"/>
                      <w:u w:val="single" w:color="auto"/>
                      <w:lang w:val="en-US" w:eastAsia="zh-CN"/>
                    </w:rPr>
                  </w:pPr>
                  <w:r>
                    <w:rPr>
                      <w:rFonts w:hint="eastAsia"/>
                      <w:color w:val="auto"/>
                      <w:szCs w:val="21"/>
                      <w:u w:val="single" w:color="auto"/>
                      <w:lang w:val="en-US" w:eastAsia="zh-CN"/>
                    </w:rPr>
                    <w:t>无需整改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 w:type="pct"/>
                  <w:vMerge w:val="continue"/>
                  <w:tcBorders>
                    <w:tl2br w:val="nil"/>
                    <w:tr2bl w:val="nil"/>
                  </w:tcBorders>
                  <w:noWrap w:val="0"/>
                  <w:vAlign w:val="center"/>
                </w:tcPr>
                <w:p>
                  <w:pPr>
                    <w:snapToGrid w:val="0"/>
                    <w:jc w:val="center"/>
                    <w:rPr>
                      <w:color w:val="auto"/>
                      <w:szCs w:val="21"/>
                      <w:u w:val="single" w:color="auto"/>
                    </w:rPr>
                  </w:pPr>
                </w:p>
              </w:tc>
              <w:tc>
                <w:tcPr>
                  <w:tcW w:w="404" w:type="pct"/>
                  <w:tcBorders>
                    <w:tl2br w:val="nil"/>
                    <w:tr2bl w:val="nil"/>
                  </w:tcBorders>
                  <w:noWrap w:val="0"/>
                  <w:vAlign w:val="center"/>
                </w:tcPr>
                <w:p>
                  <w:pPr>
                    <w:snapToGrid w:val="0"/>
                    <w:jc w:val="center"/>
                    <w:rPr>
                      <w:color w:val="auto"/>
                      <w:szCs w:val="21"/>
                      <w:u w:val="single" w:color="auto"/>
                    </w:rPr>
                  </w:pPr>
                  <w:r>
                    <w:rPr>
                      <w:color w:val="auto"/>
                      <w:szCs w:val="21"/>
                      <w:u w:val="single" w:color="auto"/>
                    </w:rPr>
                    <w:t>污水处理站臭气</w:t>
                  </w:r>
                </w:p>
              </w:tc>
              <w:tc>
                <w:tcPr>
                  <w:tcW w:w="885" w:type="pct"/>
                  <w:tcBorders>
                    <w:tl2br w:val="nil"/>
                    <w:tr2bl w:val="nil"/>
                  </w:tcBorders>
                  <w:noWrap w:val="0"/>
                  <w:vAlign w:val="center"/>
                </w:tcPr>
                <w:p>
                  <w:pPr>
                    <w:snapToGrid w:val="0"/>
                    <w:jc w:val="center"/>
                    <w:rPr>
                      <w:rFonts w:hint="default" w:eastAsia="宋体"/>
                      <w:color w:val="auto"/>
                      <w:szCs w:val="21"/>
                      <w:u w:val="single" w:color="auto"/>
                      <w:lang w:val="en-US" w:eastAsia="zh-CN"/>
                    </w:rPr>
                  </w:pPr>
                  <w:r>
                    <w:rPr>
                      <w:rFonts w:hint="eastAsia"/>
                      <w:color w:val="auto"/>
                      <w:szCs w:val="21"/>
                      <w:u w:val="single" w:color="auto"/>
                      <w:lang w:val="en-US" w:eastAsia="zh-CN"/>
                    </w:rPr>
                    <w:t>地埋式污水处理系统，密闭</w:t>
                  </w:r>
                </w:p>
              </w:tc>
              <w:tc>
                <w:tcPr>
                  <w:tcW w:w="673" w:type="pct"/>
                  <w:tcBorders>
                    <w:tl2br w:val="nil"/>
                    <w:tr2bl w:val="nil"/>
                  </w:tcBorders>
                  <w:shd w:val="clear" w:color="auto" w:fill="auto"/>
                  <w:noWrap w:val="0"/>
                  <w:vAlign w:val="center"/>
                </w:tcPr>
                <w:p>
                  <w:pPr>
                    <w:snapToGrid w:val="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color w:val="auto"/>
                      <w:szCs w:val="21"/>
                      <w:u w:val="single" w:color="auto"/>
                      <w:lang w:val="en-US" w:eastAsia="zh-CN"/>
                    </w:rPr>
                    <w:t>无</w:t>
                  </w:r>
                </w:p>
              </w:tc>
              <w:tc>
                <w:tcPr>
                  <w:tcW w:w="924" w:type="pct"/>
                  <w:tcBorders>
                    <w:tl2br w:val="nil"/>
                    <w:tr2bl w:val="nil"/>
                  </w:tcBorders>
                  <w:noWrap w:val="0"/>
                  <w:vAlign w:val="center"/>
                </w:tcPr>
                <w:p>
                  <w:pPr>
                    <w:snapToGrid w:val="0"/>
                    <w:jc w:val="center"/>
                    <w:rPr>
                      <w:rFonts w:hint="default"/>
                      <w:color w:val="auto"/>
                      <w:szCs w:val="21"/>
                      <w:u w:val="single" w:color="auto"/>
                      <w:lang w:val="en-US" w:eastAsia="zh-CN"/>
                    </w:rPr>
                  </w:pPr>
                  <w:r>
                    <w:rPr>
                      <w:rFonts w:hint="eastAsia"/>
                      <w:color w:val="auto"/>
                      <w:szCs w:val="21"/>
                      <w:u w:val="single" w:color="auto"/>
                      <w:lang w:val="en-US" w:eastAsia="zh-CN"/>
                    </w:rPr>
                    <w:t>无</w:t>
                  </w:r>
                </w:p>
              </w:tc>
              <w:tc>
                <w:tcPr>
                  <w:tcW w:w="1548" w:type="dxa"/>
                  <w:tcBorders>
                    <w:tl2br w:val="nil"/>
                    <w:tr2bl w:val="nil"/>
                  </w:tcBorders>
                  <w:noWrap w:val="0"/>
                  <w:vAlign w:val="center"/>
                </w:tcPr>
                <w:p>
                  <w:pPr>
                    <w:snapToGrid w:val="0"/>
                    <w:jc w:val="center"/>
                    <w:rPr>
                      <w:rFonts w:hint="eastAsia"/>
                      <w:color w:val="auto"/>
                      <w:szCs w:val="21"/>
                      <w:u w:val="single" w:color="auto"/>
                      <w:lang w:val="en-US" w:eastAsia="zh-CN"/>
                    </w:rPr>
                  </w:pPr>
                  <w:r>
                    <w:rPr>
                      <w:rFonts w:hint="eastAsia"/>
                      <w:color w:val="auto"/>
                      <w:szCs w:val="21"/>
                      <w:u w:val="single" w:color="auto"/>
                      <w:lang w:val="en-US" w:eastAsia="zh-CN"/>
                    </w:rPr>
                    <w:t>无</w:t>
                  </w:r>
                </w:p>
              </w:tc>
              <w:tc>
                <w:tcPr>
                  <w:tcW w:w="924" w:type="pct"/>
                  <w:tcBorders>
                    <w:tl2br w:val="nil"/>
                    <w:tr2bl w:val="nil"/>
                  </w:tcBorders>
                  <w:noWrap w:val="0"/>
                  <w:vAlign w:val="center"/>
                </w:tcPr>
                <w:p>
                  <w:pPr>
                    <w:snapToGrid w:val="0"/>
                    <w:jc w:val="center"/>
                    <w:rPr>
                      <w:color w:val="auto"/>
                      <w:szCs w:val="21"/>
                      <w:u w:val="single" w:color="auto"/>
                    </w:rPr>
                  </w:pPr>
                  <w:r>
                    <w:rPr>
                      <w:rFonts w:hint="eastAsia"/>
                      <w:color w:val="auto"/>
                      <w:szCs w:val="21"/>
                      <w:u w:val="single" w:color="auto"/>
                      <w:lang w:val="en-US" w:eastAsia="zh-CN"/>
                    </w:rPr>
                    <w:t>无需整改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63" w:type="pct"/>
                  <w:tcBorders>
                    <w:tl2br w:val="nil"/>
                    <w:tr2bl w:val="nil"/>
                  </w:tcBorders>
                  <w:noWrap w:val="0"/>
                  <w:vAlign w:val="center"/>
                </w:tcPr>
                <w:p>
                  <w:pPr>
                    <w:snapToGrid w:val="0"/>
                    <w:jc w:val="center"/>
                    <w:rPr>
                      <w:color w:val="auto"/>
                      <w:szCs w:val="21"/>
                      <w:u w:val="single" w:color="auto"/>
                    </w:rPr>
                  </w:pPr>
                  <w:r>
                    <w:rPr>
                      <w:color w:val="auto"/>
                      <w:szCs w:val="21"/>
                      <w:u w:val="single" w:color="auto"/>
                    </w:rPr>
                    <w:t>废水</w:t>
                  </w:r>
                </w:p>
              </w:tc>
              <w:tc>
                <w:tcPr>
                  <w:tcW w:w="404" w:type="pct"/>
                  <w:tcBorders>
                    <w:tl2br w:val="nil"/>
                    <w:tr2bl w:val="nil"/>
                  </w:tcBorders>
                  <w:noWrap w:val="0"/>
                  <w:vAlign w:val="center"/>
                </w:tcPr>
                <w:p>
                  <w:pPr>
                    <w:snapToGrid w:val="0"/>
                    <w:jc w:val="center"/>
                    <w:rPr>
                      <w:rFonts w:hint="eastAsia" w:eastAsia="宋体"/>
                      <w:color w:val="auto"/>
                      <w:szCs w:val="21"/>
                      <w:u w:val="single" w:color="auto"/>
                      <w:lang w:eastAsia="zh-CN"/>
                    </w:rPr>
                  </w:pPr>
                  <w:r>
                    <w:rPr>
                      <w:color w:val="auto"/>
                      <w:szCs w:val="21"/>
                      <w:u w:val="single" w:color="auto"/>
                    </w:rPr>
                    <w:t>生活污水</w:t>
                  </w:r>
                </w:p>
                <w:p>
                  <w:pPr>
                    <w:snapToGrid w:val="0"/>
                    <w:jc w:val="center"/>
                    <w:rPr>
                      <w:color w:val="auto"/>
                      <w:szCs w:val="21"/>
                      <w:u w:val="single" w:color="auto"/>
                    </w:rPr>
                  </w:pPr>
                  <w:r>
                    <w:rPr>
                      <w:color w:val="auto"/>
                      <w:szCs w:val="21"/>
                      <w:u w:val="single" w:color="auto"/>
                    </w:rPr>
                    <w:t>医疗废水</w:t>
                  </w:r>
                </w:p>
              </w:tc>
              <w:tc>
                <w:tcPr>
                  <w:tcW w:w="885" w:type="pct"/>
                  <w:tcBorders>
                    <w:tl2br w:val="nil"/>
                    <w:tr2bl w:val="nil"/>
                  </w:tcBorders>
                  <w:noWrap w:val="0"/>
                  <w:vAlign w:val="center"/>
                </w:tcPr>
                <w:p>
                  <w:pPr>
                    <w:snapToGrid w:val="0"/>
                    <w:jc w:val="center"/>
                    <w:rPr>
                      <w:rFonts w:hint="default" w:eastAsia="宋体"/>
                      <w:color w:val="auto"/>
                      <w:szCs w:val="21"/>
                      <w:u w:val="single" w:color="auto"/>
                      <w:lang w:val="en-US" w:eastAsia="zh-CN"/>
                    </w:rPr>
                  </w:pPr>
                  <w:r>
                    <w:rPr>
                      <w:rFonts w:hint="eastAsia"/>
                      <w:color w:val="auto"/>
                      <w:szCs w:val="21"/>
                      <w:u w:val="single" w:color="auto"/>
                      <w:lang w:val="en-US" w:eastAsia="zh-CN"/>
                    </w:rPr>
                    <w:t>排入院内</w:t>
                  </w:r>
                  <w:r>
                    <w:rPr>
                      <w:color w:val="auto"/>
                      <w:szCs w:val="21"/>
                      <w:u w:val="single" w:color="auto"/>
                    </w:rPr>
                    <w:t>污水处理</w:t>
                  </w:r>
                  <w:r>
                    <w:rPr>
                      <w:rFonts w:hint="eastAsia"/>
                      <w:color w:val="auto"/>
                      <w:szCs w:val="21"/>
                      <w:u w:val="single" w:color="auto"/>
                      <w:lang w:val="en-US" w:eastAsia="zh-CN"/>
                    </w:rPr>
                    <w:t>系统后排入市政污水管网</w:t>
                  </w:r>
                </w:p>
              </w:tc>
              <w:tc>
                <w:tcPr>
                  <w:tcW w:w="673" w:type="pct"/>
                  <w:tcBorders>
                    <w:tl2br w:val="nil"/>
                    <w:tr2bl w:val="nil"/>
                  </w:tcBorders>
                  <w:shd w:val="clear" w:color="auto" w:fill="auto"/>
                  <w:noWrap w:val="0"/>
                  <w:vAlign w:val="center"/>
                </w:tcPr>
                <w:p>
                  <w:pPr>
                    <w:snapToGrid w:val="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color w:val="auto"/>
                      <w:szCs w:val="21"/>
                      <w:u w:val="single" w:color="auto"/>
                      <w:lang w:val="en-US" w:eastAsia="zh-CN"/>
                    </w:rPr>
                    <w:t>污水处理站采样口标识不清，无污泥压滤机</w:t>
                  </w:r>
                </w:p>
              </w:tc>
              <w:tc>
                <w:tcPr>
                  <w:tcW w:w="924" w:type="pct"/>
                  <w:tcBorders>
                    <w:tl2br w:val="nil"/>
                    <w:tr2bl w:val="nil"/>
                  </w:tcBorders>
                  <w:noWrap w:val="0"/>
                  <w:vAlign w:val="center"/>
                </w:tcPr>
                <w:p>
                  <w:pPr>
                    <w:snapToGrid w:val="0"/>
                    <w:jc w:val="center"/>
                    <w:rPr>
                      <w:rFonts w:hint="default"/>
                      <w:color w:val="auto"/>
                      <w:szCs w:val="21"/>
                      <w:u w:val="single" w:color="auto"/>
                      <w:lang w:val="en-US" w:eastAsia="zh-CN"/>
                    </w:rPr>
                  </w:pPr>
                  <w:r>
                    <w:rPr>
                      <w:rFonts w:hint="eastAsia"/>
                      <w:color w:val="auto"/>
                      <w:szCs w:val="21"/>
                      <w:u w:val="single" w:color="auto"/>
                      <w:lang w:val="en-US" w:eastAsia="zh-CN"/>
                    </w:rPr>
                    <w:t>重新张贴了采样口标识</w:t>
                  </w:r>
                </w:p>
              </w:tc>
              <w:tc>
                <w:tcPr>
                  <w:tcW w:w="924" w:type="pct"/>
                  <w:tcBorders>
                    <w:tl2br w:val="nil"/>
                    <w:tr2bl w:val="nil"/>
                  </w:tcBorders>
                  <w:noWrap w:val="0"/>
                  <w:vAlign w:val="center"/>
                </w:tcPr>
                <w:p>
                  <w:pPr>
                    <w:snapToGrid w:val="0"/>
                    <w:jc w:val="center"/>
                    <w:rPr>
                      <w:rFonts w:hint="default"/>
                      <w:color w:val="auto"/>
                      <w:szCs w:val="21"/>
                      <w:u w:val="single" w:color="auto"/>
                      <w:lang w:val="en-US" w:eastAsia="zh-CN"/>
                    </w:rPr>
                  </w:pPr>
                  <w:r>
                    <w:rPr>
                      <w:rFonts w:hint="eastAsia"/>
                      <w:color w:val="auto"/>
                      <w:szCs w:val="21"/>
                      <w:u w:val="single" w:color="auto"/>
                      <w:lang w:val="en-US" w:eastAsia="zh-CN"/>
                    </w:rPr>
                    <w:t>无事故应急池</w:t>
                  </w:r>
                </w:p>
              </w:tc>
              <w:tc>
                <w:tcPr>
                  <w:tcW w:w="924" w:type="pct"/>
                  <w:tcBorders>
                    <w:tl2br w:val="nil"/>
                    <w:tr2bl w:val="nil"/>
                  </w:tcBorders>
                  <w:noWrap w:val="0"/>
                  <w:vAlign w:val="center"/>
                </w:tcPr>
                <w:p>
                  <w:pPr>
                    <w:snapToGrid w:val="0"/>
                    <w:jc w:val="center"/>
                    <w:rPr>
                      <w:rFonts w:hint="default"/>
                      <w:color w:val="auto"/>
                      <w:szCs w:val="21"/>
                      <w:u w:val="single" w:color="auto"/>
                      <w:lang w:val="en-US"/>
                    </w:rPr>
                  </w:pPr>
                  <w:r>
                    <w:rPr>
                      <w:rFonts w:hint="eastAsia"/>
                      <w:color w:val="auto"/>
                      <w:szCs w:val="21"/>
                      <w:u w:val="single" w:color="auto"/>
                      <w:lang w:val="en-US" w:eastAsia="zh-CN"/>
                    </w:rPr>
                    <w:t>新建事故应急池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 w:type="pct"/>
                  <w:vMerge w:val="restart"/>
                  <w:tcBorders>
                    <w:tl2br w:val="nil"/>
                    <w:tr2bl w:val="nil"/>
                  </w:tcBorders>
                  <w:noWrap w:val="0"/>
                  <w:vAlign w:val="center"/>
                </w:tcPr>
                <w:p>
                  <w:pPr>
                    <w:snapToGrid w:val="0"/>
                    <w:jc w:val="center"/>
                    <w:rPr>
                      <w:color w:val="auto"/>
                      <w:szCs w:val="21"/>
                      <w:u w:val="single" w:color="auto"/>
                    </w:rPr>
                  </w:pPr>
                  <w:r>
                    <w:rPr>
                      <w:color w:val="auto"/>
                      <w:szCs w:val="21"/>
                      <w:u w:val="single" w:color="auto"/>
                    </w:rPr>
                    <w:t>固废</w:t>
                  </w:r>
                </w:p>
              </w:tc>
              <w:tc>
                <w:tcPr>
                  <w:tcW w:w="404" w:type="pct"/>
                  <w:tcBorders>
                    <w:tl2br w:val="nil"/>
                    <w:tr2bl w:val="nil"/>
                  </w:tcBorders>
                  <w:noWrap w:val="0"/>
                  <w:vAlign w:val="center"/>
                </w:tcPr>
                <w:p>
                  <w:pPr>
                    <w:snapToGrid w:val="0"/>
                    <w:jc w:val="center"/>
                    <w:rPr>
                      <w:color w:val="auto"/>
                      <w:szCs w:val="21"/>
                      <w:u w:val="single" w:color="auto"/>
                    </w:rPr>
                  </w:pPr>
                  <w:r>
                    <w:rPr>
                      <w:color w:val="auto"/>
                      <w:szCs w:val="21"/>
                      <w:u w:val="single" w:color="auto"/>
                    </w:rPr>
                    <w:t>生活垃圾</w:t>
                  </w:r>
                </w:p>
              </w:tc>
              <w:tc>
                <w:tcPr>
                  <w:tcW w:w="885" w:type="pct"/>
                  <w:tcBorders>
                    <w:tl2br w:val="nil"/>
                    <w:tr2bl w:val="nil"/>
                  </w:tcBorders>
                  <w:noWrap w:val="0"/>
                  <w:vAlign w:val="center"/>
                </w:tcPr>
                <w:p>
                  <w:pPr>
                    <w:snapToGrid w:val="0"/>
                    <w:jc w:val="center"/>
                    <w:rPr>
                      <w:color w:val="auto"/>
                      <w:szCs w:val="21"/>
                      <w:u w:val="single" w:color="auto"/>
                    </w:rPr>
                  </w:pPr>
                  <w:r>
                    <w:rPr>
                      <w:color w:val="auto"/>
                      <w:szCs w:val="21"/>
                      <w:u w:val="single" w:color="auto"/>
                    </w:rPr>
                    <w:t>设置垃圾桶收集后交由环卫部门处置</w:t>
                  </w:r>
                </w:p>
              </w:tc>
              <w:tc>
                <w:tcPr>
                  <w:tcW w:w="673" w:type="pct"/>
                  <w:tcBorders>
                    <w:tl2br w:val="nil"/>
                    <w:tr2bl w:val="nil"/>
                  </w:tcBorders>
                  <w:shd w:val="clear" w:color="auto" w:fill="auto"/>
                  <w:noWrap w:val="0"/>
                  <w:vAlign w:val="center"/>
                </w:tcPr>
                <w:p>
                  <w:pPr>
                    <w:snapToGrid w:val="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color w:val="auto"/>
                      <w:szCs w:val="21"/>
                      <w:u w:val="single" w:color="auto"/>
                      <w:lang w:val="en-US" w:eastAsia="zh-CN"/>
                    </w:rPr>
                    <w:t>无</w:t>
                  </w:r>
                </w:p>
              </w:tc>
              <w:tc>
                <w:tcPr>
                  <w:tcW w:w="924" w:type="pct"/>
                  <w:tcBorders>
                    <w:tl2br w:val="nil"/>
                    <w:tr2bl w:val="nil"/>
                  </w:tcBorders>
                  <w:noWrap w:val="0"/>
                  <w:vAlign w:val="center"/>
                </w:tcPr>
                <w:p>
                  <w:pPr>
                    <w:snapToGrid w:val="0"/>
                    <w:jc w:val="center"/>
                    <w:rPr>
                      <w:rFonts w:hint="eastAsia"/>
                      <w:color w:val="auto"/>
                      <w:szCs w:val="21"/>
                      <w:u w:val="single" w:color="auto"/>
                      <w:lang w:val="en-US" w:eastAsia="zh-CN"/>
                    </w:rPr>
                  </w:pPr>
                  <w:r>
                    <w:rPr>
                      <w:rFonts w:hint="eastAsia"/>
                      <w:color w:val="auto"/>
                      <w:szCs w:val="21"/>
                      <w:u w:val="single" w:color="auto"/>
                      <w:lang w:val="en-US" w:eastAsia="zh-CN"/>
                    </w:rPr>
                    <w:t>无</w:t>
                  </w:r>
                </w:p>
              </w:tc>
              <w:tc>
                <w:tcPr>
                  <w:tcW w:w="924" w:type="pct"/>
                  <w:tcBorders>
                    <w:tl2br w:val="nil"/>
                    <w:tr2bl w:val="nil"/>
                  </w:tcBorders>
                  <w:noWrap w:val="0"/>
                  <w:vAlign w:val="center"/>
                </w:tcPr>
                <w:p>
                  <w:pPr>
                    <w:snapToGrid w:val="0"/>
                    <w:jc w:val="center"/>
                    <w:rPr>
                      <w:rFonts w:hint="eastAsia"/>
                      <w:color w:val="auto"/>
                      <w:szCs w:val="21"/>
                      <w:u w:val="single" w:color="auto"/>
                      <w:lang w:val="en-US" w:eastAsia="zh-CN"/>
                    </w:rPr>
                  </w:pPr>
                  <w:r>
                    <w:rPr>
                      <w:rFonts w:hint="eastAsia"/>
                      <w:color w:val="auto"/>
                      <w:szCs w:val="21"/>
                      <w:u w:val="single" w:color="auto"/>
                      <w:lang w:val="en-US" w:eastAsia="zh-CN"/>
                    </w:rPr>
                    <w:t>无</w:t>
                  </w:r>
                </w:p>
              </w:tc>
              <w:tc>
                <w:tcPr>
                  <w:tcW w:w="924" w:type="pct"/>
                  <w:tcBorders>
                    <w:tl2br w:val="nil"/>
                    <w:tr2bl w:val="nil"/>
                  </w:tcBorders>
                  <w:noWrap w:val="0"/>
                  <w:vAlign w:val="center"/>
                </w:tcPr>
                <w:p>
                  <w:pPr>
                    <w:snapToGrid w:val="0"/>
                    <w:jc w:val="center"/>
                    <w:rPr>
                      <w:color w:val="auto"/>
                      <w:szCs w:val="21"/>
                      <w:u w:val="single" w:color="auto"/>
                    </w:rPr>
                  </w:pPr>
                  <w:r>
                    <w:rPr>
                      <w:rFonts w:hint="eastAsia"/>
                      <w:color w:val="auto"/>
                      <w:szCs w:val="21"/>
                      <w:u w:val="single" w:color="auto"/>
                      <w:lang w:val="en-US" w:eastAsia="zh-CN"/>
                    </w:rPr>
                    <w:t>无需整改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63" w:type="pct"/>
                  <w:vMerge w:val="continue"/>
                  <w:tcBorders>
                    <w:tl2br w:val="nil"/>
                    <w:tr2bl w:val="nil"/>
                  </w:tcBorders>
                  <w:noWrap w:val="0"/>
                  <w:vAlign w:val="center"/>
                </w:tcPr>
                <w:p>
                  <w:pPr>
                    <w:snapToGrid w:val="0"/>
                    <w:jc w:val="center"/>
                    <w:rPr>
                      <w:color w:val="auto"/>
                      <w:szCs w:val="21"/>
                      <w:u w:val="single" w:color="auto"/>
                    </w:rPr>
                  </w:pPr>
                </w:p>
              </w:tc>
              <w:tc>
                <w:tcPr>
                  <w:tcW w:w="404" w:type="pct"/>
                  <w:tcBorders>
                    <w:tl2br w:val="nil"/>
                    <w:tr2bl w:val="nil"/>
                  </w:tcBorders>
                  <w:noWrap w:val="0"/>
                  <w:vAlign w:val="center"/>
                </w:tcPr>
                <w:p>
                  <w:pPr>
                    <w:snapToGrid w:val="0"/>
                    <w:jc w:val="center"/>
                    <w:rPr>
                      <w:color w:val="auto"/>
                      <w:szCs w:val="21"/>
                      <w:u w:val="single" w:color="auto"/>
                    </w:rPr>
                  </w:pPr>
                  <w:r>
                    <w:rPr>
                      <w:color w:val="auto"/>
                      <w:szCs w:val="21"/>
                      <w:u w:val="single" w:color="auto"/>
                    </w:rPr>
                    <w:t>医疗废物</w:t>
                  </w:r>
                </w:p>
              </w:tc>
              <w:tc>
                <w:tcPr>
                  <w:tcW w:w="885" w:type="pct"/>
                  <w:tcBorders>
                    <w:tl2br w:val="nil"/>
                    <w:tr2bl w:val="nil"/>
                  </w:tcBorders>
                  <w:noWrap w:val="0"/>
                  <w:vAlign w:val="center"/>
                </w:tcPr>
                <w:p>
                  <w:pPr>
                    <w:snapToGrid w:val="0"/>
                    <w:jc w:val="center"/>
                    <w:rPr>
                      <w:color w:val="auto"/>
                      <w:szCs w:val="21"/>
                      <w:u w:val="single" w:color="auto"/>
                    </w:rPr>
                  </w:pPr>
                  <w:r>
                    <w:rPr>
                      <w:rFonts w:hint="eastAsia"/>
                      <w:color w:val="auto"/>
                      <w:szCs w:val="21"/>
                      <w:u w:val="single" w:color="auto"/>
                      <w:lang w:val="en-US" w:eastAsia="zh-CN"/>
                    </w:rPr>
                    <w:t>医疗废物暂存间暂存后，</w:t>
                  </w:r>
                  <w:r>
                    <w:rPr>
                      <w:color w:val="auto"/>
                      <w:szCs w:val="21"/>
                      <w:u w:val="single" w:color="auto"/>
                    </w:rPr>
                    <w:t>交由岳阳市方向固废安全处置中心处置</w:t>
                  </w:r>
                </w:p>
              </w:tc>
              <w:tc>
                <w:tcPr>
                  <w:tcW w:w="673" w:type="pct"/>
                  <w:tcBorders>
                    <w:tl2br w:val="nil"/>
                    <w:tr2bl w:val="nil"/>
                  </w:tcBorders>
                  <w:shd w:val="clear" w:color="auto" w:fill="auto"/>
                  <w:noWrap w:val="0"/>
                  <w:vAlign w:val="center"/>
                </w:tcPr>
                <w:p>
                  <w:pPr>
                    <w:snapToGrid w:val="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color w:val="auto"/>
                      <w:szCs w:val="21"/>
                      <w:u w:val="single" w:color="auto"/>
                      <w:lang w:val="en-US" w:eastAsia="zh-CN"/>
                    </w:rPr>
                    <w:t>现场踏勘时，医疗废物暂存间的门呈打开状态，管理不严</w:t>
                  </w:r>
                </w:p>
              </w:tc>
              <w:tc>
                <w:tcPr>
                  <w:tcW w:w="924" w:type="pct"/>
                  <w:tcBorders>
                    <w:tl2br w:val="nil"/>
                    <w:tr2bl w:val="nil"/>
                  </w:tcBorders>
                  <w:noWrap w:val="0"/>
                  <w:vAlign w:val="center"/>
                </w:tcPr>
                <w:p>
                  <w:pPr>
                    <w:snapToGrid w:val="0"/>
                    <w:jc w:val="center"/>
                    <w:rPr>
                      <w:rFonts w:hint="eastAsia"/>
                      <w:color w:val="auto"/>
                      <w:szCs w:val="21"/>
                      <w:u w:val="single" w:color="auto"/>
                      <w:lang w:val="en-US" w:eastAsia="zh-CN"/>
                    </w:rPr>
                  </w:pPr>
                  <w:r>
                    <w:rPr>
                      <w:rFonts w:hint="eastAsia"/>
                      <w:color w:val="auto"/>
                      <w:szCs w:val="21"/>
                      <w:u w:val="single" w:color="auto"/>
                      <w:lang w:val="en-US" w:eastAsia="zh-CN"/>
                    </w:rPr>
                    <w:t>已加强管理，无医疗废物出入时，医疗废物间暂存间保持关闭状态</w:t>
                  </w:r>
                </w:p>
              </w:tc>
              <w:tc>
                <w:tcPr>
                  <w:tcW w:w="924" w:type="pct"/>
                  <w:tcBorders>
                    <w:tl2br w:val="nil"/>
                    <w:tr2bl w:val="nil"/>
                  </w:tcBorders>
                  <w:noWrap w:val="0"/>
                  <w:vAlign w:val="center"/>
                </w:tcPr>
                <w:p>
                  <w:pPr>
                    <w:snapToGrid w:val="0"/>
                    <w:jc w:val="both"/>
                    <w:rPr>
                      <w:rFonts w:hint="eastAsia"/>
                      <w:color w:val="auto"/>
                      <w:szCs w:val="21"/>
                      <w:u w:val="single" w:color="auto"/>
                      <w:lang w:val="en-US" w:eastAsia="zh-CN"/>
                    </w:rPr>
                  </w:pPr>
                  <w:r>
                    <w:rPr>
                      <w:rFonts w:hint="eastAsia"/>
                      <w:color w:val="auto"/>
                      <w:szCs w:val="21"/>
                      <w:u w:val="single" w:color="auto"/>
                      <w:lang w:val="en-US" w:eastAsia="zh-CN"/>
                    </w:rPr>
                    <w:t>现医疗废物处置协议已到期，未进行续签。</w:t>
                  </w:r>
                </w:p>
              </w:tc>
              <w:tc>
                <w:tcPr>
                  <w:tcW w:w="924" w:type="pct"/>
                  <w:tcBorders>
                    <w:tl2br w:val="nil"/>
                    <w:tr2bl w:val="nil"/>
                  </w:tcBorders>
                  <w:noWrap w:val="0"/>
                  <w:vAlign w:val="center"/>
                </w:tcPr>
                <w:p>
                  <w:pPr>
                    <w:snapToGrid w:val="0"/>
                    <w:jc w:val="center"/>
                    <w:rPr>
                      <w:rFonts w:hint="default" w:eastAsia="宋体"/>
                      <w:color w:val="auto"/>
                      <w:szCs w:val="21"/>
                      <w:u w:val="single" w:color="auto"/>
                      <w:lang w:val="en-US" w:eastAsia="zh-CN"/>
                    </w:rPr>
                  </w:pPr>
                  <w:r>
                    <w:rPr>
                      <w:rFonts w:hint="eastAsia" w:eastAsia="宋体"/>
                      <w:color w:val="auto"/>
                      <w:szCs w:val="21"/>
                      <w:u w:val="single" w:color="auto"/>
                      <w:lang w:val="en-US" w:eastAsia="zh-CN"/>
                    </w:rPr>
                    <w:t>需进行续签医疗废物处置协议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63" w:type="pct"/>
                  <w:tcBorders>
                    <w:tl2br w:val="nil"/>
                    <w:tr2bl w:val="nil"/>
                  </w:tcBorders>
                  <w:noWrap w:val="0"/>
                  <w:vAlign w:val="center"/>
                </w:tcPr>
                <w:p>
                  <w:pPr>
                    <w:snapToGrid w:val="0"/>
                    <w:jc w:val="center"/>
                    <w:rPr>
                      <w:rFonts w:hint="eastAsia" w:eastAsia="宋体"/>
                      <w:color w:val="auto"/>
                      <w:szCs w:val="21"/>
                      <w:u w:val="single" w:color="auto"/>
                      <w:lang w:val="en-US" w:eastAsia="zh-CN"/>
                    </w:rPr>
                  </w:pPr>
                  <w:r>
                    <w:rPr>
                      <w:rFonts w:hint="eastAsia"/>
                      <w:color w:val="auto"/>
                      <w:szCs w:val="21"/>
                      <w:u w:val="single" w:color="auto"/>
                      <w:lang w:val="en-US" w:eastAsia="zh-CN"/>
                    </w:rPr>
                    <w:t>其他</w:t>
                  </w:r>
                </w:p>
              </w:tc>
              <w:tc>
                <w:tcPr>
                  <w:tcW w:w="404" w:type="pct"/>
                  <w:tcBorders>
                    <w:tl2br w:val="nil"/>
                    <w:tr2bl w:val="nil"/>
                  </w:tcBorders>
                  <w:noWrap w:val="0"/>
                  <w:vAlign w:val="center"/>
                </w:tcPr>
                <w:p>
                  <w:pPr>
                    <w:snapToGrid w:val="0"/>
                    <w:jc w:val="center"/>
                    <w:rPr>
                      <w:rFonts w:hint="eastAsia" w:eastAsia="宋体"/>
                      <w:color w:val="auto"/>
                      <w:szCs w:val="21"/>
                      <w:u w:val="single" w:color="auto"/>
                      <w:lang w:val="en-US" w:eastAsia="zh-CN"/>
                    </w:rPr>
                  </w:pPr>
                  <w:r>
                    <w:rPr>
                      <w:rFonts w:hint="eastAsia"/>
                      <w:color w:val="auto"/>
                      <w:u w:val="single" w:color="auto"/>
                      <w:lang w:eastAsia="zh-CN"/>
                    </w:rPr>
                    <w:t>环境事故应急预案</w:t>
                  </w:r>
                </w:p>
              </w:tc>
              <w:tc>
                <w:tcPr>
                  <w:tcW w:w="885" w:type="pct"/>
                  <w:tcBorders>
                    <w:tl2br w:val="nil"/>
                    <w:tr2bl w:val="nil"/>
                  </w:tcBorders>
                  <w:noWrap w:val="0"/>
                  <w:vAlign w:val="center"/>
                </w:tcPr>
                <w:p>
                  <w:pPr>
                    <w:snapToGrid w:val="0"/>
                    <w:jc w:val="center"/>
                    <w:rPr>
                      <w:rFonts w:hint="default" w:eastAsia="宋体"/>
                      <w:color w:val="auto"/>
                      <w:szCs w:val="21"/>
                      <w:u w:val="single" w:color="auto"/>
                      <w:lang w:val="en-US" w:eastAsia="zh-CN"/>
                    </w:rPr>
                  </w:pPr>
                  <w:r>
                    <w:rPr>
                      <w:rFonts w:hint="eastAsia"/>
                      <w:color w:val="auto"/>
                      <w:u w:val="single" w:color="auto"/>
                      <w:lang w:eastAsia="zh-CN"/>
                    </w:rPr>
                    <w:t>环境事故应急预案</w:t>
                  </w:r>
                </w:p>
              </w:tc>
              <w:tc>
                <w:tcPr>
                  <w:tcW w:w="673" w:type="pct"/>
                  <w:tcBorders>
                    <w:tl2br w:val="nil"/>
                    <w:tr2bl w:val="nil"/>
                  </w:tcBorders>
                  <w:shd w:val="clear" w:color="auto" w:fill="auto"/>
                  <w:noWrap w:val="0"/>
                  <w:vAlign w:val="center"/>
                </w:tcPr>
                <w:p>
                  <w:pPr>
                    <w:snapToGrid w:val="0"/>
                    <w:jc w:val="center"/>
                    <w:rPr>
                      <w:rFonts w:hint="default"/>
                      <w:color w:val="auto"/>
                      <w:szCs w:val="21"/>
                      <w:u w:val="single" w:color="auto"/>
                      <w:lang w:val="en-US" w:eastAsia="zh-CN"/>
                    </w:rPr>
                  </w:pPr>
                  <w:r>
                    <w:rPr>
                      <w:rFonts w:hint="eastAsia"/>
                      <w:color w:val="auto"/>
                      <w:szCs w:val="21"/>
                      <w:u w:val="single" w:color="auto"/>
                      <w:lang w:val="en-US" w:eastAsia="zh-CN"/>
                    </w:rPr>
                    <w:t>要求编制</w:t>
                  </w:r>
                  <w:r>
                    <w:rPr>
                      <w:rFonts w:hint="eastAsia"/>
                      <w:color w:val="auto"/>
                      <w:u w:val="single" w:color="auto"/>
                      <w:lang w:eastAsia="zh-CN"/>
                    </w:rPr>
                    <w:t>环境事故应急预案</w:t>
                  </w:r>
                </w:p>
              </w:tc>
              <w:tc>
                <w:tcPr>
                  <w:tcW w:w="924" w:type="pct"/>
                  <w:tcBorders>
                    <w:tl2br w:val="nil"/>
                    <w:tr2bl w:val="nil"/>
                  </w:tcBorders>
                  <w:noWrap w:val="0"/>
                  <w:vAlign w:val="center"/>
                </w:tcPr>
                <w:p>
                  <w:pPr>
                    <w:snapToGrid w:val="0"/>
                    <w:jc w:val="center"/>
                    <w:rPr>
                      <w:rFonts w:hint="default"/>
                      <w:color w:val="auto"/>
                      <w:szCs w:val="21"/>
                      <w:u w:val="single" w:color="auto"/>
                      <w:lang w:val="en-US" w:eastAsia="zh-CN"/>
                    </w:rPr>
                  </w:pPr>
                  <w:r>
                    <w:rPr>
                      <w:rFonts w:hint="eastAsia"/>
                      <w:color w:val="auto"/>
                      <w:szCs w:val="21"/>
                      <w:u w:val="single" w:color="auto"/>
                      <w:lang w:val="en-US" w:eastAsia="zh-CN"/>
                    </w:rPr>
                    <w:t>未编制完成</w:t>
                  </w:r>
                </w:p>
              </w:tc>
              <w:tc>
                <w:tcPr>
                  <w:tcW w:w="924" w:type="pct"/>
                  <w:tcBorders>
                    <w:tl2br w:val="nil"/>
                    <w:tr2bl w:val="nil"/>
                  </w:tcBorders>
                  <w:noWrap w:val="0"/>
                  <w:vAlign w:val="center"/>
                </w:tcPr>
                <w:p>
                  <w:pPr>
                    <w:snapToGrid w:val="0"/>
                    <w:jc w:val="both"/>
                    <w:rPr>
                      <w:rFonts w:hint="default"/>
                      <w:color w:val="auto"/>
                      <w:szCs w:val="21"/>
                      <w:u w:val="single" w:color="auto"/>
                      <w:lang w:val="en-US" w:eastAsia="zh-CN"/>
                    </w:rPr>
                  </w:pPr>
                  <w:r>
                    <w:rPr>
                      <w:rFonts w:hint="eastAsia"/>
                      <w:color w:val="auto"/>
                      <w:szCs w:val="21"/>
                      <w:u w:val="single" w:color="auto"/>
                      <w:lang w:val="en-US" w:eastAsia="zh-CN"/>
                    </w:rPr>
                    <w:t>编制</w:t>
                  </w:r>
                  <w:r>
                    <w:rPr>
                      <w:rFonts w:hint="eastAsia"/>
                      <w:color w:val="auto"/>
                      <w:u w:val="single" w:color="auto"/>
                      <w:lang w:eastAsia="zh-CN"/>
                    </w:rPr>
                    <w:t>环境事故应急预案</w:t>
                  </w:r>
                </w:p>
              </w:tc>
              <w:tc>
                <w:tcPr>
                  <w:tcW w:w="924" w:type="pct"/>
                  <w:tcBorders>
                    <w:tl2br w:val="nil"/>
                    <w:tr2bl w:val="nil"/>
                  </w:tcBorders>
                  <w:noWrap w:val="0"/>
                  <w:vAlign w:val="center"/>
                </w:tcPr>
                <w:p>
                  <w:pPr>
                    <w:snapToGrid w:val="0"/>
                    <w:jc w:val="center"/>
                    <w:rPr>
                      <w:rFonts w:hint="eastAsia" w:eastAsia="宋体"/>
                      <w:color w:val="auto"/>
                      <w:szCs w:val="21"/>
                      <w:u w:val="single" w:color="auto"/>
                      <w:lang w:val="en-US" w:eastAsia="zh-CN"/>
                    </w:rPr>
                  </w:pPr>
                  <w:r>
                    <w:rPr>
                      <w:rFonts w:hint="eastAsia"/>
                      <w:color w:val="auto"/>
                      <w:szCs w:val="21"/>
                      <w:u w:val="single" w:color="auto"/>
                      <w:lang w:val="en-US" w:eastAsia="zh-CN"/>
                    </w:rPr>
                    <w:t>编制</w:t>
                  </w:r>
                  <w:r>
                    <w:rPr>
                      <w:rFonts w:hint="eastAsia"/>
                      <w:color w:val="auto"/>
                      <w:u w:val="single" w:color="auto"/>
                      <w:lang w:eastAsia="zh-CN"/>
                    </w:rPr>
                    <w:t>环境事故应急预案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szCs w:val="24"/>
                <w:u w:val="none" w:color="auto"/>
                <w:lang w:val="en-US" w:eastAsia="zh-CN"/>
              </w:rPr>
            </w:pPr>
          </w:p>
          <w:p>
            <w:pPr>
              <w:ind w:left="0" w:leftChars="0" w:firstLine="0" w:firstLineChars="0"/>
              <w:rPr>
                <w:rFonts w:hint="default"/>
                <w:color w:val="auto"/>
                <w:u w:val="none" w:color="auto"/>
                <w:lang w:val="en-US" w:eastAsia="zh-CN"/>
              </w:rPr>
            </w:pPr>
          </w:p>
        </w:tc>
      </w:tr>
    </w:tbl>
    <w:p>
      <w:pPr>
        <w:pStyle w:val="18"/>
        <w:jc w:val="center"/>
        <w:rPr>
          <w:rFonts w:ascii="黑体" w:hAnsi="黑体" w:eastAsia="黑体"/>
          <w:snapToGrid w:val="0"/>
          <w:color w:val="auto"/>
          <w:sz w:val="36"/>
          <w:szCs w:val="36"/>
          <w:u w:val="none" w:color="auto"/>
        </w:rPr>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adjustRightInd w:val="0"/>
        <w:snapToGrid w:val="0"/>
        <w:spacing w:before="0" w:beforeAutospacing="0" w:after="0" w:afterAutospacing="0" w:line="14" w:lineRule="auto"/>
        <w:jc w:val="center"/>
        <w:outlineLvl w:val="9"/>
        <w:rPr>
          <w:rFonts w:hint="eastAsia" w:ascii="黑体" w:hAnsi="黑体" w:eastAsia="黑体"/>
          <w:snapToGrid w:val="0"/>
          <w:color w:val="auto"/>
          <w:sz w:val="30"/>
          <w:szCs w:val="30"/>
          <w:u w:val="none" w:color="auto"/>
        </w:rPr>
      </w:pPr>
    </w:p>
    <w:p>
      <w:pPr>
        <w:pStyle w:val="18"/>
        <w:jc w:val="left"/>
        <w:outlineLvl w:val="0"/>
        <w:rPr>
          <w:rFonts w:ascii="黑体" w:hAnsi="黑体" w:eastAsia="黑体"/>
          <w:snapToGrid w:val="0"/>
          <w:color w:val="auto"/>
          <w:sz w:val="30"/>
          <w:szCs w:val="30"/>
          <w:u w:val="none" w:color="auto"/>
        </w:rPr>
      </w:pPr>
      <w:bookmarkStart w:id="8" w:name="_Toc20626"/>
      <w:r>
        <w:rPr>
          <w:rFonts w:hint="eastAsia" w:ascii="黑体" w:hAnsi="黑体" w:eastAsia="黑体"/>
          <w:snapToGrid w:val="0"/>
          <w:color w:val="auto"/>
          <w:sz w:val="30"/>
          <w:szCs w:val="30"/>
          <w:u w:val="none" w:color="auto"/>
        </w:rPr>
        <w:t>三、区域环境质量现状、环境保护目标及评价标准</w:t>
      </w:r>
      <w:bookmarkEnd w:id="8"/>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2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区域</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环境</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质量</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现状</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3.1环境空气质量现状</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根据《建设项目环境影响报告表编制技术指南（污染影响类）》常规污染物引用与建设项目距离近的有效数据，包括近3年的规划环境影响评价的监测数据，国家、地方环境空气质量监测网数据或生态环境主管部门公开发布的质量数据等。</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本项目位于湖南省岳阳</w:t>
            </w:r>
            <w:r>
              <w:rPr>
                <w:rFonts w:hint="eastAsia" w:ascii="Times New Roman" w:hAnsi="Times New Roman" w:eastAsia="宋体" w:cs="Times New Roman"/>
                <w:color w:val="auto"/>
                <w:sz w:val="24"/>
                <w:szCs w:val="24"/>
                <w:u w:val="none" w:color="auto"/>
                <w:lang w:val="en-US" w:eastAsia="zh-CN"/>
              </w:rPr>
              <w:t>湘阴县</w:t>
            </w:r>
            <w:r>
              <w:rPr>
                <w:rFonts w:hint="eastAsia" w:ascii="Times New Roman" w:hAnsi="Times New Roman" w:eastAsia="宋体" w:cs="Times New Roman"/>
                <w:color w:val="auto"/>
                <w:sz w:val="24"/>
                <w:szCs w:val="24"/>
                <w:u w:val="none" w:color="auto"/>
              </w:rPr>
              <w:t>，本评价引用岳阳市生态环境局</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rPr>
              <w:t>岳阳市2023年度生态环境质量公报</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lang w:val="en-US" w:eastAsia="zh-CN"/>
              </w:rPr>
              <w:t>中</w:t>
            </w:r>
            <w:r>
              <w:rPr>
                <w:rFonts w:hint="eastAsia" w:ascii="Times New Roman" w:hAnsi="Times New Roman" w:eastAsia="宋体" w:cs="Times New Roman"/>
                <w:color w:val="auto"/>
                <w:sz w:val="24"/>
                <w:szCs w:val="24"/>
                <w:u w:val="none" w:color="auto"/>
              </w:rPr>
              <w:t>公布的</w:t>
            </w:r>
            <w:r>
              <w:rPr>
                <w:rFonts w:hint="eastAsia" w:ascii="Times New Roman" w:hAnsi="Times New Roman" w:eastAsia="宋体" w:cs="Times New Roman"/>
                <w:color w:val="auto"/>
                <w:sz w:val="24"/>
                <w:szCs w:val="24"/>
                <w:u w:val="none" w:color="auto"/>
                <w:lang w:val="en-US" w:eastAsia="zh-CN"/>
              </w:rPr>
              <w:t>湘阴县</w:t>
            </w:r>
            <w:r>
              <w:rPr>
                <w:rFonts w:hint="eastAsia" w:ascii="Times New Roman" w:hAnsi="Times New Roman" w:eastAsia="宋体" w:cs="Times New Roman"/>
                <w:color w:val="auto"/>
                <w:sz w:val="24"/>
                <w:szCs w:val="24"/>
                <w:u w:val="none" w:color="auto"/>
              </w:rPr>
              <w:t>202</w:t>
            </w:r>
            <w:r>
              <w:rPr>
                <w:rFonts w:hint="eastAsia" w:ascii="Times New Roman" w:hAnsi="Times New Roman" w:eastAsia="宋体" w:cs="Times New Roman"/>
                <w:color w:val="auto"/>
                <w:sz w:val="24"/>
                <w:szCs w:val="24"/>
                <w:u w:val="none" w:color="auto"/>
                <w:lang w:val="en-US" w:eastAsia="zh-CN"/>
              </w:rPr>
              <w:t>3</w:t>
            </w:r>
            <w:r>
              <w:rPr>
                <w:rFonts w:hint="eastAsia" w:ascii="Times New Roman" w:hAnsi="Times New Roman" w:eastAsia="宋体" w:cs="Times New Roman"/>
                <w:color w:val="auto"/>
                <w:sz w:val="24"/>
                <w:szCs w:val="24"/>
                <w:u w:val="none" w:color="auto"/>
              </w:rPr>
              <w:t>年环境空气质量</w:t>
            </w:r>
            <w:r>
              <w:rPr>
                <w:rFonts w:hint="eastAsia" w:ascii="Times New Roman" w:hAnsi="Times New Roman" w:eastAsia="宋体" w:cs="Times New Roman"/>
                <w:color w:val="auto"/>
                <w:sz w:val="24"/>
                <w:szCs w:val="24"/>
                <w:u w:val="none" w:color="auto"/>
                <w:lang w:val="en-US" w:eastAsia="zh-CN"/>
              </w:rPr>
              <w:t>状况，</w:t>
            </w:r>
            <w:r>
              <w:rPr>
                <w:rFonts w:hint="eastAsia" w:ascii="Times New Roman" w:hAnsi="Times New Roman" w:eastAsia="宋体" w:cs="Times New Roman"/>
                <w:color w:val="auto"/>
                <w:sz w:val="24"/>
                <w:szCs w:val="24"/>
                <w:u w:val="none" w:color="auto"/>
              </w:rPr>
              <w:t>见下表。</w:t>
            </w:r>
          </w:p>
          <w:p>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color w:val="auto"/>
                <w:sz w:val="24"/>
                <w:szCs w:val="24"/>
                <w:u w:val="none" w:color="auto"/>
              </w:rPr>
            </w:pPr>
            <w:r>
              <w:rPr>
                <w:rFonts w:hint="eastAsia" w:ascii="Times New Roman" w:hAnsi="Times New Roman" w:eastAsia="宋体" w:cs="Times New Roman"/>
                <w:b w:val="0"/>
                <w:bCs w:val="0"/>
                <w:color w:val="auto"/>
                <w:sz w:val="24"/>
                <w:szCs w:val="24"/>
                <w:u w:val="none" w:color="auto"/>
              </w:rPr>
              <w:t>表3-</w:t>
            </w:r>
            <w:r>
              <w:rPr>
                <w:rFonts w:hint="eastAsia" w:ascii="Times New Roman" w:hAnsi="Times New Roman" w:eastAsia="宋体" w:cs="Times New Roman"/>
                <w:b w:val="0"/>
                <w:bCs w:val="0"/>
                <w:color w:val="auto"/>
                <w:sz w:val="24"/>
                <w:szCs w:val="24"/>
                <w:u w:val="none" w:color="auto"/>
              </w:rPr>
              <w:fldChar w:fldCharType="begin"/>
            </w:r>
            <w:r>
              <w:rPr>
                <w:rFonts w:hint="eastAsia" w:ascii="Times New Roman" w:hAnsi="Times New Roman" w:eastAsia="宋体" w:cs="Times New Roman"/>
                <w:b w:val="0"/>
                <w:bCs w:val="0"/>
                <w:color w:val="auto"/>
                <w:sz w:val="24"/>
                <w:szCs w:val="24"/>
                <w:u w:val="none" w:color="auto"/>
              </w:rPr>
              <w:instrText xml:space="preserve"> SEQ 表3- \* ARABIC </w:instrText>
            </w:r>
            <w:r>
              <w:rPr>
                <w:rFonts w:hint="eastAsia" w:ascii="Times New Roman" w:hAnsi="Times New Roman" w:eastAsia="宋体" w:cs="Times New Roman"/>
                <w:b w:val="0"/>
                <w:bCs w:val="0"/>
                <w:color w:val="auto"/>
                <w:sz w:val="24"/>
                <w:szCs w:val="24"/>
                <w:u w:val="none" w:color="auto"/>
              </w:rPr>
              <w:fldChar w:fldCharType="separate"/>
            </w:r>
            <w:r>
              <w:rPr>
                <w:rFonts w:hint="eastAsia" w:ascii="Times New Roman" w:hAnsi="Times New Roman" w:eastAsia="宋体" w:cs="Times New Roman"/>
                <w:b w:val="0"/>
                <w:bCs w:val="0"/>
                <w:color w:val="auto"/>
                <w:sz w:val="24"/>
                <w:szCs w:val="24"/>
                <w:u w:val="none" w:color="auto"/>
              </w:rPr>
              <w:t>1</w:t>
            </w:r>
            <w:r>
              <w:rPr>
                <w:rFonts w:hint="eastAsia" w:ascii="Times New Roman" w:hAnsi="Times New Roman" w:eastAsia="宋体" w:cs="Times New Roman"/>
                <w:b w:val="0"/>
                <w:bCs w:val="0"/>
                <w:color w:val="auto"/>
                <w:sz w:val="24"/>
                <w:szCs w:val="24"/>
                <w:u w:val="none" w:color="auto"/>
              </w:rPr>
              <w:fldChar w:fldCharType="end"/>
            </w:r>
            <w:r>
              <w:rPr>
                <w:rFonts w:hint="eastAsia" w:ascii="Times New Roman" w:hAnsi="Times New Roman" w:eastAsia="宋体" w:cs="Times New Roman"/>
                <w:b w:val="0"/>
                <w:bCs w:val="0"/>
                <w:color w:val="auto"/>
                <w:sz w:val="24"/>
                <w:szCs w:val="24"/>
                <w:u w:val="none" w:color="auto"/>
                <w:lang w:val="en-US" w:eastAsia="zh-CN"/>
              </w:rPr>
              <w:t xml:space="preserve"> </w:t>
            </w:r>
            <w:r>
              <w:rPr>
                <w:rFonts w:hint="eastAsia" w:ascii="Times New Roman" w:hAnsi="Times New Roman" w:eastAsia="宋体" w:cs="Times New Roman"/>
                <w:b w:val="0"/>
                <w:bCs w:val="0"/>
                <w:color w:val="auto"/>
                <w:sz w:val="24"/>
                <w:szCs w:val="24"/>
                <w:u w:val="none" w:color="auto"/>
              </w:rPr>
              <w:t>202</w:t>
            </w:r>
            <w:r>
              <w:rPr>
                <w:rFonts w:hint="eastAsia" w:ascii="Times New Roman" w:hAnsi="Times New Roman" w:eastAsia="宋体" w:cs="Times New Roman"/>
                <w:b w:val="0"/>
                <w:bCs w:val="0"/>
                <w:color w:val="auto"/>
                <w:sz w:val="24"/>
                <w:szCs w:val="24"/>
                <w:u w:val="none" w:color="auto"/>
                <w:lang w:val="en-US" w:eastAsia="zh-CN"/>
              </w:rPr>
              <w:t>3</w:t>
            </w:r>
            <w:r>
              <w:rPr>
                <w:rFonts w:hint="eastAsia" w:ascii="Times New Roman" w:hAnsi="Times New Roman" w:eastAsia="宋体" w:cs="Times New Roman"/>
                <w:b w:val="0"/>
                <w:bCs w:val="0"/>
                <w:color w:val="auto"/>
                <w:sz w:val="24"/>
                <w:szCs w:val="24"/>
                <w:u w:val="none" w:color="auto"/>
              </w:rPr>
              <w:t>年岳阳</w:t>
            </w:r>
            <w:r>
              <w:rPr>
                <w:rFonts w:hint="eastAsia" w:ascii="Times New Roman" w:hAnsi="Times New Roman" w:eastAsia="宋体" w:cs="Times New Roman"/>
                <w:b w:val="0"/>
                <w:bCs w:val="0"/>
                <w:color w:val="auto"/>
                <w:sz w:val="24"/>
                <w:szCs w:val="24"/>
                <w:u w:val="none" w:color="auto"/>
                <w:lang w:val="en-US" w:eastAsia="zh-CN"/>
              </w:rPr>
              <w:t>湘阴县</w:t>
            </w:r>
            <w:r>
              <w:rPr>
                <w:rFonts w:hint="eastAsia" w:ascii="Times New Roman" w:hAnsi="Times New Roman" w:eastAsia="宋体" w:cs="Times New Roman"/>
                <w:b w:val="0"/>
                <w:bCs w:val="0"/>
                <w:color w:val="auto"/>
                <w:sz w:val="24"/>
                <w:szCs w:val="24"/>
                <w:u w:val="none" w:color="auto"/>
              </w:rPr>
              <w:t>空气质量现状评价表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768"/>
              <w:gridCol w:w="2598"/>
              <w:gridCol w:w="1159"/>
              <w:gridCol w:w="1146"/>
              <w:gridCol w:w="91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所在区域</w:t>
                  </w:r>
                </w:p>
              </w:tc>
              <w:tc>
                <w:tcPr>
                  <w:tcW w:w="480"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监测项目</w:t>
                  </w:r>
                </w:p>
              </w:tc>
              <w:tc>
                <w:tcPr>
                  <w:tcW w:w="16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年评价指标</w:t>
                  </w:r>
                </w:p>
              </w:tc>
              <w:tc>
                <w:tcPr>
                  <w:tcW w:w="7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现状浓度（μg/m</w:t>
                  </w:r>
                  <w:r>
                    <w:rPr>
                      <w:rFonts w:hint="default" w:ascii="Times New Roman" w:hAnsi="Times New Roman" w:eastAsia="宋体" w:cs="Times New Roman"/>
                      <w:color w:val="auto"/>
                      <w:sz w:val="21"/>
                      <w:szCs w:val="21"/>
                      <w:u w:val="none"/>
                      <w:vertAlign w:val="superscript"/>
                      <w:lang w:val="en-US" w:eastAsia="zh-CN"/>
                    </w:rPr>
                    <w:t>3</w:t>
                  </w:r>
                  <w:r>
                    <w:rPr>
                      <w:rFonts w:hint="default" w:ascii="Times New Roman" w:hAnsi="Times New Roman" w:eastAsia="宋体" w:cs="Times New Roman"/>
                      <w:color w:val="auto"/>
                      <w:sz w:val="21"/>
                      <w:szCs w:val="21"/>
                      <w:u w:val="none"/>
                      <w:vertAlign w:val="baseline"/>
                      <w:lang w:val="en-US" w:eastAsia="zh-CN"/>
                    </w:rPr>
                    <w:t>）</w:t>
                  </w:r>
                </w:p>
              </w:tc>
              <w:tc>
                <w:tcPr>
                  <w:tcW w:w="717"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标准值（μg/m</w:t>
                  </w:r>
                  <w:r>
                    <w:rPr>
                      <w:rFonts w:hint="default" w:ascii="Times New Roman" w:hAnsi="Times New Roman" w:eastAsia="宋体" w:cs="Times New Roman"/>
                      <w:color w:val="auto"/>
                      <w:sz w:val="21"/>
                      <w:szCs w:val="21"/>
                      <w:u w:val="none"/>
                      <w:vertAlign w:val="superscript"/>
                      <w:lang w:val="en-US" w:eastAsia="zh-CN"/>
                    </w:rPr>
                    <w:t>3</w:t>
                  </w:r>
                  <w:r>
                    <w:rPr>
                      <w:rFonts w:hint="default" w:ascii="Times New Roman" w:hAnsi="Times New Roman" w:eastAsia="宋体" w:cs="Times New Roman"/>
                      <w:color w:val="auto"/>
                      <w:sz w:val="21"/>
                      <w:szCs w:val="21"/>
                      <w:u w:val="none"/>
                      <w:vertAlign w:val="baseline"/>
                      <w:lang w:val="en-US" w:eastAsia="zh-CN"/>
                    </w:rPr>
                    <w:t>）</w:t>
                  </w:r>
                </w:p>
              </w:tc>
              <w:tc>
                <w:tcPr>
                  <w:tcW w:w="574"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占标率</w:t>
                  </w:r>
                  <w:r>
                    <w:rPr>
                      <w:rFonts w:hint="eastAsia" w:ascii="Times New Roman" w:hAnsi="Times New Roman" w:eastAsia="宋体" w:cs="Times New Roman"/>
                      <w:color w:val="auto"/>
                      <w:sz w:val="21"/>
                      <w:szCs w:val="21"/>
                      <w:u w:val="none"/>
                      <w:vertAlign w:val="baseline"/>
                      <w:lang w:val="en-US" w:eastAsia="zh-CN"/>
                    </w:rPr>
                    <w:t>（%）</w:t>
                  </w:r>
                </w:p>
              </w:tc>
              <w:tc>
                <w:tcPr>
                  <w:tcW w:w="41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湘阴县</w:t>
                  </w:r>
                </w:p>
              </w:tc>
              <w:tc>
                <w:tcPr>
                  <w:tcW w:w="480"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cs="Times New Roman"/>
                      <w:color w:val="auto"/>
                      <w:kern w:val="0"/>
                      <w:sz w:val="21"/>
                      <w:szCs w:val="21"/>
                      <w:u w:val="none"/>
                    </w:rPr>
                    <w:t>SO</w:t>
                  </w:r>
                  <w:r>
                    <w:rPr>
                      <w:rFonts w:hint="default" w:ascii="Times New Roman" w:hAnsi="Times New Roman" w:cs="Times New Roman"/>
                      <w:color w:val="auto"/>
                      <w:kern w:val="0"/>
                      <w:sz w:val="21"/>
                      <w:szCs w:val="21"/>
                      <w:u w:val="none"/>
                      <w:vertAlign w:val="subscript"/>
                    </w:rPr>
                    <w:t>2</w:t>
                  </w:r>
                </w:p>
              </w:tc>
              <w:tc>
                <w:tcPr>
                  <w:tcW w:w="16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年平均质量浓度</w:t>
                  </w:r>
                </w:p>
              </w:tc>
              <w:tc>
                <w:tcPr>
                  <w:tcW w:w="7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5</w:t>
                  </w:r>
                  <w:r>
                    <w:rPr>
                      <w:rFonts w:hint="eastAsia" w:ascii="Times New Roman" w:hAnsi="Times New Roman" w:eastAsia="宋体" w:cs="Times New Roman"/>
                      <w:color w:val="auto"/>
                      <w:sz w:val="21"/>
                      <w:szCs w:val="21"/>
                      <w:u w:val="none"/>
                      <w:vertAlign w:val="baseline"/>
                      <w:lang w:val="en-US" w:eastAsia="zh-CN"/>
                    </w:rPr>
                    <w:t>.0</w:t>
                  </w:r>
                </w:p>
              </w:tc>
              <w:tc>
                <w:tcPr>
                  <w:tcW w:w="717"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60</w:t>
                  </w:r>
                </w:p>
              </w:tc>
              <w:tc>
                <w:tcPr>
                  <w:tcW w:w="574"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8.3</w:t>
                  </w:r>
                </w:p>
              </w:tc>
              <w:tc>
                <w:tcPr>
                  <w:tcW w:w="41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p>
              </w:tc>
              <w:tc>
                <w:tcPr>
                  <w:tcW w:w="480"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cs="Times New Roman"/>
                      <w:color w:val="auto"/>
                      <w:kern w:val="0"/>
                      <w:sz w:val="21"/>
                      <w:szCs w:val="21"/>
                      <w:u w:val="none"/>
                    </w:rPr>
                    <w:t>NO</w:t>
                  </w:r>
                  <w:r>
                    <w:rPr>
                      <w:rFonts w:hint="default" w:ascii="Times New Roman" w:hAnsi="Times New Roman" w:cs="Times New Roman"/>
                      <w:color w:val="auto"/>
                      <w:kern w:val="0"/>
                      <w:sz w:val="21"/>
                      <w:szCs w:val="21"/>
                      <w:u w:val="none"/>
                      <w:vertAlign w:val="subscript"/>
                    </w:rPr>
                    <w:t>2</w:t>
                  </w:r>
                </w:p>
              </w:tc>
              <w:tc>
                <w:tcPr>
                  <w:tcW w:w="16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eastAsia="宋体" w:cs="Times New Roman"/>
                      <w:color w:val="auto"/>
                      <w:sz w:val="21"/>
                      <w:szCs w:val="21"/>
                      <w:u w:val="none"/>
                      <w:vertAlign w:val="baseline"/>
                      <w:lang w:val="en-US" w:eastAsia="zh-CN"/>
                    </w:rPr>
                    <w:t>年平均质量浓度</w:t>
                  </w:r>
                </w:p>
              </w:tc>
              <w:tc>
                <w:tcPr>
                  <w:tcW w:w="7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15</w:t>
                  </w:r>
                </w:p>
              </w:tc>
              <w:tc>
                <w:tcPr>
                  <w:tcW w:w="717"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40</w:t>
                  </w:r>
                </w:p>
              </w:tc>
              <w:tc>
                <w:tcPr>
                  <w:tcW w:w="574"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37.5</w:t>
                  </w:r>
                </w:p>
              </w:tc>
              <w:tc>
                <w:tcPr>
                  <w:tcW w:w="41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eastAsia="宋体" w:cs="Times New Roman"/>
                      <w:color w:val="auto"/>
                      <w:sz w:val="21"/>
                      <w:szCs w:val="21"/>
                      <w:u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p>
              </w:tc>
              <w:tc>
                <w:tcPr>
                  <w:tcW w:w="480"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cs="Times New Roman"/>
                      <w:color w:val="auto"/>
                      <w:kern w:val="0"/>
                      <w:sz w:val="21"/>
                      <w:szCs w:val="21"/>
                      <w:u w:val="none"/>
                    </w:rPr>
                    <w:t>PM</w:t>
                  </w:r>
                  <w:r>
                    <w:rPr>
                      <w:rFonts w:hint="default" w:ascii="Times New Roman" w:hAnsi="Times New Roman" w:cs="Times New Roman"/>
                      <w:color w:val="auto"/>
                      <w:kern w:val="0"/>
                      <w:sz w:val="21"/>
                      <w:szCs w:val="21"/>
                      <w:u w:val="none"/>
                      <w:vertAlign w:val="subscript"/>
                    </w:rPr>
                    <w:t>10</w:t>
                  </w:r>
                </w:p>
              </w:tc>
              <w:tc>
                <w:tcPr>
                  <w:tcW w:w="16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eastAsia="宋体" w:cs="Times New Roman"/>
                      <w:color w:val="auto"/>
                      <w:sz w:val="21"/>
                      <w:szCs w:val="21"/>
                      <w:u w:val="none"/>
                      <w:vertAlign w:val="baseline"/>
                      <w:lang w:val="en-US" w:eastAsia="zh-CN"/>
                    </w:rPr>
                    <w:t>年平均质量浓度</w:t>
                  </w:r>
                </w:p>
              </w:tc>
              <w:tc>
                <w:tcPr>
                  <w:tcW w:w="7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48</w:t>
                  </w:r>
                </w:p>
              </w:tc>
              <w:tc>
                <w:tcPr>
                  <w:tcW w:w="717"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70</w:t>
                  </w:r>
                </w:p>
              </w:tc>
              <w:tc>
                <w:tcPr>
                  <w:tcW w:w="574"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68.5</w:t>
                  </w:r>
                </w:p>
              </w:tc>
              <w:tc>
                <w:tcPr>
                  <w:tcW w:w="41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eastAsia="宋体" w:cs="Times New Roman"/>
                      <w:color w:val="auto"/>
                      <w:sz w:val="21"/>
                      <w:szCs w:val="21"/>
                      <w:u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63"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p>
              </w:tc>
              <w:tc>
                <w:tcPr>
                  <w:tcW w:w="480"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cs="Times New Roman"/>
                      <w:color w:val="auto"/>
                      <w:kern w:val="0"/>
                      <w:sz w:val="21"/>
                      <w:szCs w:val="21"/>
                      <w:u w:val="none"/>
                    </w:rPr>
                    <w:t>PM</w:t>
                  </w:r>
                  <w:r>
                    <w:rPr>
                      <w:rFonts w:hint="default" w:ascii="Times New Roman" w:hAnsi="Times New Roman" w:cs="Times New Roman"/>
                      <w:color w:val="auto"/>
                      <w:kern w:val="0"/>
                      <w:sz w:val="21"/>
                      <w:szCs w:val="21"/>
                      <w:u w:val="none"/>
                      <w:vertAlign w:val="subscript"/>
                    </w:rPr>
                    <w:t>2.5</w:t>
                  </w:r>
                </w:p>
              </w:tc>
              <w:tc>
                <w:tcPr>
                  <w:tcW w:w="16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eastAsia="宋体" w:cs="Times New Roman"/>
                      <w:color w:val="auto"/>
                      <w:sz w:val="21"/>
                      <w:szCs w:val="21"/>
                      <w:u w:val="none"/>
                      <w:vertAlign w:val="baseline"/>
                      <w:lang w:val="en-US" w:eastAsia="zh-CN"/>
                    </w:rPr>
                    <w:t>年平均质量浓度</w:t>
                  </w:r>
                </w:p>
              </w:tc>
              <w:tc>
                <w:tcPr>
                  <w:tcW w:w="7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33</w:t>
                  </w:r>
                </w:p>
              </w:tc>
              <w:tc>
                <w:tcPr>
                  <w:tcW w:w="717"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35</w:t>
                  </w:r>
                </w:p>
              </w:tc>
              <w:tc>
                <w:tcPr>
                  <w:tcW w:w="574"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94.3</w:t>
                  </w:r>
                </w:p>
              </w:tc>
              <w:tc>
                <w:tcPr>
                  <w:tcW w:w="41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eastAsia="宋体" w:cs="Times New Roman"/>
                      <w:color w:val="auto"/>
                      <w:sz w:val="21"/>
                      <w:szCs w:val="21"/>
                      <w:u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p>
              </w:tc>
              <w:tc>
                <w:tcPr>
                  <w:tcW w:w="480"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cs="Times New Roman"/>
                      <w:color w:val="auto"/>
                      <w:kern w:val="0"/>
                      <w:sz w:val="21"/>
                      <w:szCs w:val="21"/>
                      <w:u w:val="none"/>
                    </w:rPr>
                    <w:t>CO</w:t>
                  </w:r>
                </w:p>
              </w:tc>
              <w:tc>
                <w:tcPr>
                  <w:tcW w:w="16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日均值第95百分位数浓度</w:t>
                  </w:r>
                </w:p>
              </w:tc>
              <w:tc>
                <w:tcPr>
                  <w:tcW w:w="7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900</w:t>
                  </w:r>
                </w:p>
              </w:tc>
              <w:tc>
                <w:tcPr>
                  <w:tcW w:w="717"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4000</w:t>
                  </w:r>
                </w:p>
              </w:tc>
              <w:tc>
                <w:tcPr>
                  <w:tcW w:w="574"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22.5</w:t>
                  </w:r>
                </w:p>
              </w:tc>
              <w:tc>
                <w:tcPr>
                  <w:tcW w:w="41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eastAsia="宋体" w:cs="Times New Roman"/>
                      <w:color w:val="auto"/>
                      <w:sz w:val="21"/>
                      <w:szCs w:val="21"/>
                      <w:u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p>
              </w:tc>
              <w:tc>
                <w:tcPr>
                  <w:tcW w:w="480"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cs="Times New Roman"/>
                      <w:color w:val="auto"/>
                      <w:kern w:val="0"/>
                      <w:sz w:val="21"/>
                      <w:szCs w:val="21"/>
                      <w:u w:val="none"/>
                    </w:rPr>
                    <w:t>O</w:t>
                  </w:r>
                  <w:r>
                    <w:rPr>
                      <w:rFonts w:hint="default" w:ascii="Times New Roman" w:hAnsi="Times New Roman" w:cs="Times New Roman"/>
                      <w:color w:val="auto"/>
                      <w:kern w:val="0"/>
                      <w:sz w:val="21"/>
                      <w:szCs w:val="21"/>
                      <w:u w:val="none"/>
                      <w:vertAlign w:val="subscript"/>
                      <w:lang w:val="en-US" w:eastAsia="zh-CN"/>
                    </w:rPr>
                    <w:t>3</w:t>
                  </w:r>
                </w:p>
              </w:tc>
              <w:tc>
                <w:tcPr>
                  <w:tcW w:w="16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日最大8小时滑动平均值第90百分位数浓度</w:t>
                  </w:r>
                </w:p>
              </w:tc>
              <w:tc>
                <w:tcPr>
                  <w:tcW w:w="725"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139</w:t>
                  </w:r>
                </w:p>
              </w:tc>
              <w:tc>
                <w:tcPr>
                  <w:tcW w:w="717"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160</w:t>
                  </w:r>
                </w:p>
              </w:tc>
              <w:tc>
                <w:tcPr>
                  <w:tcW w:w="574"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86.8</w:t>
                  </w:r>
                </w:p>
              </w:tc>
              <w:tc>
                <w:tcPr>
                  <w:tcW w:w="412"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vertAlign w:val="baseline"/>
                    </w:rPr>
                  </w:pPr>
                  <w:r>
                    <w:rPr>
                      <w:rFonts w:hint="default" w:ascii="Times New Roman" w:hAnsi="Times New Roman" w:eastAsia="宋体" w:cs="Times New Roman"/>
                      <w:color w:val="auto"/>
                      <w:sz w:val="21"/>
                      <w:szCs w:val="21"/>
                      <w:u w:val="none"/>
                      <w:vertAlign w:val="baseline"/>
                      <w:lang w:val="en-US" w:eastAsia="zh-CN"/>
                    </w:rPr>
                    <w:t>达标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position w:val="2"/>
                <w:sz w:val="24"/>
                <w:szCs w:val="24"/>
                <w:u w:val="none" w:color="auto"/>
              </w:rPr>
            </w:pPr>
            <w:r>
              <w:rPr>
                <w:rFonts w:hint="eastAsia" w:ascii="Times New Roman" w:hAnsi="Times New Roman" w:eastAsia="宋体" w:cs="Times New Roman"/>
                <w:color w:val="auto"/>
                <w:sz w:val="24"/>
                <w:szCs w:val="24"/>
                <w:u w:val="none" w:color="auto"/>
              </w:rPr>
              <w:t>根据上表可知，</w:t>
            </w:r>
            <w:r>
              <w:rPr>
                <w:rFonts w:hint="eastAsia" w:ascii="Times New Roman" w:hAnsi="Times New Roman" w:eastAsia="宋体" w:cs="Times New Roman"/>
                <w:color w:val="auto"/>
                <w:sz w:val="24"/>
                <w:szCs w:val="24"/>
                <w:u w:val="none" w:color="auto"/>
                <w:lang w:val="en-US" w:eastAsia="zh-CN"/>
              </w:rPr>
              <w:t>湘阴县</w:t>
            </w:r>
            <w:r>
              <w:rPr>
                <w:rFonts w:hint="eastAsia" w:ascii="Times New Roman" w:hAnsi="Times New Roman" w:eastAsia="宋体" w:cs="Times New Roman"/>
                <w:color w:val="auto"/>
                <w:sz w:val="24"/>
                <w:szCs w:val="24"/>
                <w:u w:val="none" w:color="auto"/>
              </w:rPr>
              <w:t>202</w:t>
            </w:r>
            <w:r>
              <w:rPr>
                <w:rFonts w:hint="eastAsia" w:ascii="Times New Roman" w:hAnsi="Times New Roman" w:eastAsia="宋体" w:cs="Times New Roman"/>
                <w:color w:val="auto"/>
                <w:sz w:val="24"/>
                <w:szCs w:val="24"/>
                <w:u w:val="none" w:color="auto"/>
                <w:lang w:val="en-US" w:eastAsia="zh-CN"/>
              </w:rPr>
              <w:t>3</w:t>
            </w:r>
            <w:r>
              <w:rPr>
                <w:rFonts w:hint="eastAsia" w:ascii="Times New Roman" w:hAnsi="Times New Roman" w:eastAsia="宋体" w:cs="Times New Roman"/>
                <w:color w:val="auto"/>
                <w:sz w:val="24"/>
                <w:szCs w:val="24"/>
                <w:u w:val="none" w:color="auto"/>
              </w:rPr>
              <w:t>年区域空气质量中SO</w:t>
            </w:r>
            <w:r>
              <w:rPr>
                <w:rFonts w:hint="eastAsia" w:ascii="Times New Roman" w:hAnsi="Times New Roman" w:eastAsia="宋体" w:cs="Times New Roman"/>
                <w:color w:val="auto"/>
                <w:sz w:val="24"/>
                <w:szCs w:val="24"/>
                <w:u w:val="none" w:color="auto"/>
                <w:vertAlign w:val="subscript"/>
              </w:rPr>
              <w:t>2</w:t>
            </w:r>
            <w:r>
              <w:rPr>
                <w:rFonts w:hint="eastAsia" w:ascii="Times New Roman" w:hAnsi="Times New Roman" w:eastAsia="宋体" w:cs="Times New Roman"/>
                <w:color w:val="auto"/>
                <w:sz w:val="24"/>
                <w:szCs w:val="24"/>
                <w:u w:val="none" w:color="auto"/>
              </w:rPr>
              <w:t>、NO</w:t>
            </w:r>
            <w:r>
              <w:rPr>
                <w:rFonts w:hint="eastAsia" w:ascii="Times New Roman" w:hAnsi="Times New Roman" w:eastAsia="宋体" w:cs="Times New Roman"/>
                <w:color w:val="auto"/>
                <w:sz w:val="24"/>
                <w:szCs w:val="24"/>
                <w:u w:val="none" w:color="auto"/>
                <w:vertAlign w:val="subscript"/>
              </w:rPr>
              <w:t>2</w:t>
            </w:r>
            <w:r>
              <w:rPr>
                <w:rFonts w:hint="eastAsia" w:ascii="Times New Roman" w:hAnsi="Times New Roman" w:eastAsia="宋体" w:cs="Times New Roman"/>
                <w:color w:val="auto"/>
                <w:sz w:val="24"/>
                <w:szCs w:val="24"/>
                <w:u w:val="none" w:color="auto"/>
              </w:rPr>
              <w:t>、PM</w:t>
            </w:r>
            <w:r>
              <w:rPr>
                <w:rFonts w:hint="eastAsia" w:ascii="Times New Roman" w:hAnsi="Times New Roman" w:eastAsia="宋体" w:cs="Times New Roman"/>
                <w:color w:val="auto"/>
                <w:sz w:val="24"/>
                <w:szCs w:val="24"/>
                <w:u w:val="none" w:color="auto"/>
                <w:vertAlign w:val="subscript"/>
              </w:rPr>
              <w:t>10</w:t>
            </w:r>
            <w:r>
              <w:rPr>
                <w:rFonts w:hint="eastAsia" w:ascii="Times New Roman" w:hAnsi="Times New Roman" w:eastAsia="宋体" w:cs="Times New Roman"/>
                <w:color w:val="auto"/>
                <w:sz w:val="24"/>
                <w:szCs w:val="24"/>
                <w:u w:val="none" w:color="auto"/>
              </w:rPr>
              <w:t>、PM</w:t>
            </w:r>
            <w:r>
              <w:rPr>
                <w:rFonts w:hint="eastAsia" w:ascii="Times New Roman" w:hAnsi="Times New Roman" w:eastAsia="宋体" w:cs="Times New Roman"/>
                <w:color w:val="auto"/>
                <w:sz w:val="24"/>
                <w:szCs w:val="24"/>
                <w:u w:val="none" w:color="auto"/>
                <w:vertAlign w:val="subscript"/>
              </w:rPr>
              <w:t>2.5</w:t>
            </w:r>
            <w:r>
              <w:rPr>
                <w:rFonts w:hint="eastAsia" w:ascii="Times New Roman" w:hAnsi="Times New Roman" w:eastAsia="宋体" w:cs="Times New Roman"/>
                <w:color w:val="auto"/>
                <w:sz w:val="24"/>
                <w:szCs w:val="24"/>
                <w:u w:val="none" w:color="auto"/>
              </w:rPr>
              <w:t>年平均质量浓度、CO</w:t>
            </w:r>
            <w:r>
              <w:rPr>
                <w:rFonts w:hint="eastAsia" w:ascii="Times New Roman" w:hAnsi="Times New Roman" w:eastAsia="宋体" w:cs="Times New Roman"/>
                <w:color w:val="auto"/>
                <w:sz w:val="24"/>
                <w:szCs w:val="24"/>
                <w:u w:val="none" w:color="auto"/>
                <w:vertAlign w:val="subscript"/>
              </w:rPr>
              <w:t>24</w:t>
            </w:r>
            <w:r>
              <w:rPr>
                <w:rFonts w:hint="eastAsia" w:ascii="Times New Roman" w:hAnsi="Times New Roman" w:eastAsia="宋体" w:cs="Times New Roman"/>
                <w:color w:val="auto"/>
                <w:sz w:val="24"/>
                <w:szCs w:val="24"/>
                <w:u w:val="none" w:color="auto"/>
              </w:rPr>
              <w:t>h平均第95百分位数、O</w:t>
            </w:r>
            <w:r>
              <w:rPr>
                <w:rFonts w:hint="eastAsia" w:ascii="Times New Roman" w:hAnsi="Times New Roman" w:eastAsia="宋体" w:cs="Times New Roman"/>
                <w:color w:val="auto"/>
                <w:sz w:val="24"/>
                <w:szCs w:val="24"/>
                <w:u w:val="none" w:color="auto"/>
                <w:vertAlign w:val="subscript"/>
              </w:rPr>
              <w:t>3</w:t>
            </w:r>
            <w:r>
              <w:rPr>
                <w:rFonts w:hint="eastAsia" w:ascii="Times New Roman" w:hAnsi="Times New Roman" w:eastAsia="宋体" w:cs="Times New Roman"/>
                <w:color w:val="auto"/>
                <w:sz w:val="24"/>
                <w:szCs w:val="24"/>
                <w:u w:val="none" w:color="auto"/>
              </w:rPr>
              <w:t>日最大8h平均第90百分位数均达到《环境空气质量》（GB3095-2012）的二级标准。</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3.2地表水环境质量现状</w:t>
            </w:r>
          </w:p>
          <w:p>
            <w:pPr>
              <w:pStyle w:val="43"/>
              <w:keepNext w:val="0"/>
              <w:keepLines w:val="0"/>
              <w:pageBreakBefore w:val="0"/>
              <w:widowControl w:val="0"/>
              <w:kinsoku/>
              <w:wordWrap/>
              <w:overflowPunct/>
              <w:topLinePunct w:val="0"/>
              <w:bidi w:val="0"/>
              <w:spacing w:line="360" w:lineRule="auto"/>
              <w:ind w:left="104" w:right="55" w:firstLine="480"/>
              <w:jc w:val="both"/>
              <w:textAlignment w:val="auto"/>
              <w:rPr>
                <w:rFonts w:hint="default" w:ascii="Times New Roman" w:hAnsi="Times New Roman" w:eastAsia="宋体" w:cs="Times New Roman"/>
                <w:color w:val="auto"/>
                <w:sz w:val="24"/>
                <w:szCs w:val="24"/>
                <w:u w:val="none" w:color="auto"/>
              </w:rPr>
            </w:pPr>
            <w:r>
              <w:rPr>
                <w:rFonts w:hint="eastAsia" w:cs="Times New Roman"/>
                <w:color w:val="auto"/>
                <w:sz w:val="24"/>
                <w:szCs w:val="24"/>
                <w:u w:val="single" w:color="auto"/>
                <w:lang w:val="en-US" w:eastAsia="zh-CN"/>
              </w:rPr>
              <w:t>本项目污水经卫生院污水处理站处理后排入东塘镇污水处理厂处理，通过沟渠排入三汊港南湖，最终排入湘江，入河口</w:t>
            </w:r>
            <w:r>
              <w:rPr>
                <w:rFonts w:hint="eastAsia" w:eastAsia="宋体" w:cs="Times New Roman"/>
                <w:color w:val="auto"/>
                <w:sz w:val="24"/>
                <w:szCs w:val="24"/>
                <w:u w:val="single" w:color="auto"/>
                <w:lang w:val="en-US" w:eastAsia="zh-CN"/>
              </w:rPr>
              <w:t>位于</w:t>
            </w:r>
            <w:r>
              <w:rPr>
                <w:rFonts w:hint="default" w:eastAsia="宋体" w:cs="Times New Roman"/>
                <w:color w:val="auto"/>
                <w:sz w:val="24"/>
                <w:szCs w:val="24"/>
                <w:u w:val="single" w:color="auto"/>
                <w:lang w:val="en-US" w:eastAsia="zh-CN"/>
              </w:rPr>
              <w:t>屈原湘江取水口</w:t>
            </w:r>
            <w:r>
              <w:rPr>
                <w:rFonts w:hint="eastAsia" w:eastAsia="宋体" w:cs="Times New Roman"/>
                <w:color w:val="auto"/>
                <w:sz w:val="24"/>
                <w:szCs w:val="24"/>
                <w:u w:val="single" w:color="auto"/>
                <w:lang w:val="en-US" w:eastAsia="zh-CN"/>
              </w:rPr>
              <w:t>取水口上游约1.5km处。</w:t>
            </w:r>
            <w:r>
              <w:rPr>
                <w:rFonts w:hint="default" w:eastAsia="宋体" w:cs="Times New Roman"/>
                <w:color w:val="auto"/>
                <w:sz w:val="24"/>
                <w:szCs w:val="24"/>
                <w:u w:val="single" w:color="auto"/>
                <w:lang w:val="en-US" w:eastAsia="zh-CN"/>
              </w:rPr>
              <w:t>本</w:t>
            </w:r>
            <w:r>
              <w:rPr>
                <w:rFonts w:hint="eastAsia" w:eastAsia="宋体" w:cs="Times New Roman"/>
                <w:color w:val="auto"/>
                <w:sz w:val="24"/>
                <w:szCs w:val="24"/>
                <w:u w:val="single" w:color="auto"/>
                <w:lang w:val="en-US" w:eastAsia="zh-CN"/>
              </w:rPr>
              <w:t>次评价收集</w:t>
            </w:r>
            <w:r>
              <w:rPr>
                <w:rFonts w:hint="eastAsia" w:ascii="Times New Roman" w:hAnsi="Times New Roman" w:eastAsia="宋体" w:cs="Times New Roman"/>
                <w:color w:val="auto"/>
                <w:sz w:val="24"/>
                <w:szCs w:val="24"/>
                <w:u w:val="single" w:color="auto"/>
                <w:lang w:val="en-US" w:eastAsia="zh-CN"/>
              </w:rPr>
              <w:t>了</w:t>
            </w:r>
            <w:r>
              <w:rPr>
                <w:rFonts w:hint="eastAsia" w:ascii="Times New Roman" w:hAnsi="Times New Roman" w:eastAsia="宋体" w:cs="Times New Roman"/>
                <w:color w:val="auto"/>
                <w:sz w:val="24"/>
                <w:szCs w:val="24"/>
                <w:highlight w:val="none"/>
                <w:u w:val="single" w:color="auto"/>
                <w:lang w:val="en-US" w:eastAsia="zh-CN"/>
              </w:rPr>
              <w:t>湖南省生态环境厅在其网站上发布的2023年1-</w:t>
            </w:r>
            <w:r>
              <w:rPr>
                <w:rFonts w:hint="eastAsia" w:cs="Times New Roman"/>
                <w:color w:val="auto"/>
                <w:sz w:val="24"/>
                <w:szCs w:val="24"/>
                <w:highlight w:val="none"/>
                <w:u w:val="single" w:color="auto"/>
                <w:lang w:val="en-US" w:eastAsia="zh-CN"/>
              </w:rPr>
              <w:t>12</w:t>
            </w:r>
            <w:r>
              <w:rPr>
                <w:rFonts w:hint="eastAsia" w:ascii="Times New Roman" w:hAnsi="Times New Roman" w:eastAsia="宋体" w:cs="Times New Roman"/>
                <w:color w:val="auto"/>
                <w:sz w:val="24"/>
                <w:szCs w:val="24"/>
                <w:highlight w:val="none"/>
                <w:u w:val="single" w:color="auto"/>
                <w:lang w:val="en-US" w:eastAsia="zh-CN"/>
              </w:rPr>
              <w:t>月份湖南省地表水水质状况中湘阴县</w:t>
            </w:r>
            <w:r>
              <w:rPr>
                <w:rFonts w:hint="eastAsia" w:ascii="Times New Roman" w:hAnsi="Times New Roman" w:eastAsia="宋体" w:cs="Times New Roman"/>
                <w:color w:val="auto"/>
                <w:sz w:val="24"/>
                <w:szCs w:val="24"/>
                <w:u w:val="single" w:color="auto"/>
                <w:lang w:val="en-US" w:eastAsia="zh-CN"/>
              </w:rPr>
              <w:t>境内</w:t>
            </w:r>
            <w:r>
              <w:rPr>
                <w:rFonts w:hint="default" w:ascii="Times New Roman" w:hAnsi="Times New Roman" w:eastAsia="宋体" w:cs="Times New Roman"/>
                <w:color w:val="auto"/>
                <w:sz w:val="24"/>
                <w:szCs w:val="24"/>
                <w:u w:val="single" w:color="auto"/>
                <w:lang w:val="en-US" w:eastAsia="zh-CN"/>
              </w:rPr>
              <w:t>屈原湘江取水口</w:t>
            </w:r>
            <w:r>
              <w:rPr>
                <w:rFonts w:hint="eastAsia" w:ascii="Times New Roman" w:hAnsi="Times New Roman" w:eastAsia="宋体" w:cs="Times New Roman"/>
                <w:color w:val="auto"/>
                <w:sz w:val="24"/>
                <w:szCs w:val="24"/>
                <w:u w:val="single" w:color="auto"/>
                <w:lang w:val="en-US" w:eastAsia="zh-CN"/>
              </w:rPr>
              <w:t>断面水</w:t>
            </w:r>
            <w:r>
              <w:rPr>
                <w:rFonts w:hint="eastAsia" w:ascii="Times New Roman" w:hAnsi="Times New Roman" w:eastAsia="宋体" w:cs="Times New Roman"/>
                <w:color w:val="auto"/>
                <w:sz w:val="24"/>
                <w:szCs w:val="24"/>
                <w:highlight w:val="none"/>
                <w:u w:val="single" w:color="auto"/>
                <w:lang w:val="en-US" w:eastAsia="zh-CN"/>
              </w:rPr>
              <w:t>质状况。</w:t>
            </w:r>
            <w:r>
              <w:rPr>
                <w:rFonts w:hint="eastAsia" w:ascii="Times New Roman" w:hAnsi="Times New Roman" w:eastAsia="宋体" w:cs="Times New Roman"/>
                <w:color w:val="auto"/>
                <w:sz w:val="24"/>
                <w:szCs w:val="24"/>
                <w:u w:val="none" w:color="auto"/>
                <w:lang w:val="en-US" w:eastAsia="zh-CN"/>
              </w:rPr>
              <w:t>统计</w:t>
            </w:r>
            <w:r>
              <w:rPr>
                <w:rFonts w:hint="default" w:ascii="Times New Roman" w:hAnsi="Times New Roman" w:eastAsia="宋体" w:cs="Times New Roman"/>
                <w:color w:val="auto"/>
                <w:sz w:val="24"/>
                <w:szCs w:val="24"/>
                <w:u w:val="none" w:color="auto"/>
              </w:rPr>
              <w:t>如下所示。</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表3-</w:t>
            </w:r>
            <w:r>
              <w:rPr>
                <w:rFonts w:hint="eastAsia" w:ascii="Times New Roman" w:hAnsi="Times New Roman" w:eastAsia="宋体" w:cs="Times New Roman"/>
                <w:color w:val="auto"/>
                <w:sz w:val="24"/>
                <w:szCs w:val="24"/>
                <w:u w:val="none" w:color="auto"/>
                <w:lang w:val="en-US" w:eastAsia="zh-CN"/>
              </w:rPr>
              <w:t>2  2023年1月-6月湘阴县内三个断面水质状况</w:t>
            </w:r>
            <w:r>
              <w:rPr>
                <w:rFonts w:hint="default" w:ascii="Times New Roman" w:hAnsi="Times New Roman" w:eastAsia="宋体" w:cs="Times New Roman"/>
                <w:color w:val="auto"/>
                <w:sz w:val="24"/>
                <w:szCs w:val="24"/>
                <w:u w:val="none" w:color="auto"/>
              </w:rPr>
              <w:t>统计</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0"/>
              <w:gridCol w:w="4179"/>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断面</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名称</w:t>
                  </w: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监测时间</w:t>
                  </w:r>
                </w:p>
              </w:tc>
              <w:tc>
                <w:tcPr>
                  <w:tcW w:w="144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水质类别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屈原湘江取水口</w:t>
                  </w: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2023年1月</w:t>
                  </w:r>
                </w:p>
              </w:tc>
              <w:tc>
                <w:tcPr>
                  <w:tcW w:w="144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2023年2月</w:t>
                  </w:r>
                </w:p>
              </w:tc>
              <w:tc>
                <w:tcPr>
                  <w:tcW w:w="144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2023年3月</w:t>
                  </w:r>
                </w:p>
              </w:tc>
              <w:tc>
                <w:tcPr>
                  <w:tcW w:w="144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trPr>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2023年4月</w:t>
                  </w:r>
                </w:p>
              </w:tc>
              <w:tc>
                <w:tcPr>
                  <w:tcW w:w="144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2023年5月</w:t>
                  </w:r>
                </w:p>
              </w:tc>
              <w:tc>
                <w:tcPr>
                  <w:tcW w:w="144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2023年6月</w:t>
                  </w:r>
                </w:p>
              </w:tc>
              <w:tc>
                <w:tcPr>
                  <w:tcW w:w="144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2023年</w:t>
                  </w:r>
                  <w:r>
                    <w:rPr>
                      <w:rFonts w:hint="eastAsia" w:cs="Times New Roman"/>
                      <w:color w:val="auto"/>
                      <w:sz w:val="21"/>
                      <w:szCs w:val="21"/>
                      <w:highlight w:val="none"/>
                      <w:u w:val="none" w:color="auto"/>
                      <w:vertAlign w:val="baseline"/>
                      <w:lang w:val="en-US" w:eastAsia="zh-CN"/>
                    </w:rPr>
                    <w:t>7</w:t>
                  </w:r>
                  <w:r>
                    <w:rPr>
                      <w:rFonts w:hint="default" w:ascii="Times New Roman" w:hAnsi="Times New Roman" w:eastAsia="宋体" w:cs="Times New Roman"/>
                      <w:color w:val="auto"/>
                      <w:sz w:val="21"/>
                      <w:szCs w:val="21"/>
                      <w:highlight w:val="none"/>
                      <w:u w:val="none" w:color="auto"/>
                      <w:vertAlign w:val="baseline"/>
                      <w:lang w:val="en-US" w:eastAsia="zh-CN"/>
                    </w:rPr>
                    <w:t>月</w:t>
                  </w:r>
                </w:p>
              </w:tc>
              <w:tc>
                <w:tcPr>
                  <w:tcW w:w="230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2023年</w:t>
                  </w:r>
                  <w:r>
                    <w:rPr>
                      <w:rFonts w:hint="eastAsia" w:cs="Times New Roman"/>
                      <w:color w:val="auto"/>
                      <w:sz w:val="21"/>
                      <w:szCs w:val="21"/>
                      <w:highlight w:val="none"/>
                      <w:u w:val="none" w:color="auto"/>
                      <w:vertAlign w:val="baseline"/>
                      <w:lang w:val="en-US" w:eastAsia="zh-CN"/>
                    </w:rPr>
                    <w:t>8</w:t>
                  </w:r>
                  <w:r>
                    <w:rPr>
                      <w:rFonts w:hint="default" w:ascii="Times New Roman" w:hAnsi="Times New Roman" w:eastAsia="宋体" w:cs="Times New Roman"/>
                      <w:color w:val="auto"/>
                      <w:sz w:val="21"/>
                      <w:szCs w:val="21"/>
                      <w:highlight w:val="none"/>
                      <w:u w:val="none" w:color="auto"/>
                      <w:vertAlign w:val="baseline"/>
                      <w:lang w:val="en-US" w:eastAsia="zh-CN"/>
                    </w:rPr>
                    <w:t>月</w:t>
                  </w:r>
                </w:p>
              </w:tc>
              <w:tc>
                <w:tcPr>
                  <w:tcW w:w="230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2023年</w:t>
                  </w:r>
                  <w:r>
                    <w:rPr>
                      <w:rFonts w:hint="eastAsia" w:cs="Times New Roman"/>
                      <w:color w:val="auto"/>
                      <w:sz w:val="21"/>
                      <w:szCs w:val="21"/>
                      <w:highlight w:val="none"/>
                      <w:u w:val="none" w:color="auto"/>
                      <w:vertAlign w:val="baseline"/>
                      <w:lang w:val="en-US" w:eastAsia="zh-CN"/>
                    </w:rPr>
                    <w:t>9</w:t>
                  </w:r>
                  <w:r>
                    <w:rPr>
                      <w:rFonts w:hint="default" w:ascii="Times New Roman" w:hAnsi="Times New Roman" w:eastAsia="宋体" w:cs="Times New Roman"/>
                      <w:color w:val="auto"/>
                      <w:sz w:val="21"/>
                      <w:szCs w:val="21"/>
                      <w:highlight w:val="none"/>
                      <w:u w:val="none" w:color="auto"/>
                      <w:vertAlign w:val="baseline"/>
                      <w:lang w:val="en-US" w:eastAsia="zh-CN"/>
                    </w:rPr>
                    <w:t>月</w:t>
                  </w:r>
                </w:p>
              </w:tc>
              <w:tc>
                <w:tcPr>
                  <w:tcW w:w="230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2023年</w:t>
                  </w:r>
                  <w:r>
                    <w:rPr>
                      <w:rFonts w:hint="eastAsia" w:cs="Times New Roman"/>
                      <w:color w:val="auto"/>
                      <w:sz w:val="21"/>
                      <w:szCs w:val="21"/>
                      <w:highlight w:val="none"/>
                      <w:u w:val="none" w:color="auto"/>
                      <w:vertAlign w:val="baseline"/>
                      <w:lang w:val="en-US" w:eastAsia="zh-CN"/>
                    </w:rPr>
                    <w:t>10</w:t>
                  </w:r>
                  <w:r>
                    <w:rPr>
                      <w:rFonts w:hint="default" w:ascii="Times New Roman" w:hAnsi="Times New Roman" w:eastAsia="宋体" w:cs="Times New Roman"/>
                      <w:color w:val="auto"/>
                      <w:sz w:val="21"/>
                      <w:szCs w:val="21"/>
                      <w:highlight w:val="none"/>
                      <w:u w:val="none" w:color="auto"/>
                      <w:vertAlign w:val="baseline"/>
                      <w:lang w:val="en-US" w:eastAsia="zh-CN"/>
                    </w:rPr>
                    <w:t>月</w:t>
                  </w:r>
                </w:p>
              </w:tc>
              <w:tc>
                <w:tcPr>
                  <w:tcW w:w="230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2023年</w:t>
                  </w:r>
                  <w:r>
                    <w:rPr>
                      <w:rFonts w:hint="eastAsia" w:cs="Times New Roman"/>
                      <w:color w:val="auto"/>
                      <w:sz w:val="21"/>
                      <w:szCs w:val="21"/>
                      <w:highlight w:val="none"/>
                      <w:u w:val="none" w:color="auto"/>
                      <w:vertAlign w:val="baseline"/>
                      <w:lang w:val="en-US" w:eastAsia="zh-CN"/>
                    </w:rPr>
                    <w:t>11</w:t>
                  </w:r>
                  <w:r>
                    <w:rPr>
                      <w:rFonts w:hint="default" w:ascii="Times New Roman" w:hAnsi="Times New Roman" w:eastAsia="宋体" w:cs="Times New Roman"/>
                      <w:color w:val="auto"/>
                      <w:sz w:val="21"/>
                      <w:szCs w:val="21"/>
                      <w:highlight w:val="none"/>
                      <w:u w:val="none" w:color="auto"/>
                      <w:vertAlign w:val="baseline"/>
                      <w:lang w:val="en-US" w:eastAsia="zh-CN"/>
                    </w:rPr>
                    <w:t>月</w:t>
                  </w:r>
                </w:p>
              </w:tc>
              <w:tc>
                <w:tcPr>
                  <w:tcW w:w="230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44" w:type="pct"/>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613"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2023年</w:t>
                  </w:r>
                  <w:r>
                    <w:rPr>
                      <w:rFonts w:hint="eastAsia" w:cs="Times New Roman"/>
                      <w:color w:val="auto"/>
                      <w:sz w:val="21"/>
                      <w:szCs w:val="21"/>
                      <w:highlight w:val="none"/>
                      <w:u w:val="none" w:color="auto"/>
                      <w:vertAlign w:val="baseline"/>
                      <w:lang w:val="en-US" w:eastAsia="zh-CN"/>
                    </w:rPr>
                    <w:t>12</w:t>
                  </w:r>
                  <w:r>
                    <w:rPr>
                      <w:rFonts w:hint="default" w:ascii="Times New Roman" w:hAnsi="Times New Roman" w:eastAsia="宋体" w:cs="Times New Roman"/>
                      <w:color w:val="auto"/>
                      <w:sz w:val="21"/>
                      <w:szCs w:val="21"/>
                      <w:highlight w:val="none"/>
                      <w:u w:val="none" w:color="auto"/>
                      <w:vertAlign w:val="baseline"/>
                      <w:lang w:val="en-US" w:eastAsia="zh-CN"/>
                    </w:rPr>
                    <w:t>月</w:t>
                  </w:r>
                </w:p>
              </w:tc>
              <w:tc>
                <w:tcPr>
                  <w:tcW w:w="230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Ⅱ类</w:t>
                  </w:r>
                </w:p>
              </w:tc>
            </w:tr>
          </w:tbl>
          <w:p>
            <w:pPr>
              <w:pStyle w:val="43"/>
              <w:keepNext w:val="0"/>
              <w:keepLines w:val="0"/>
              <w:pageBreakBefore w:val="0"/>
              <w:widowControl w:val="0"/>
              <w:kinsoku/>
              <w:wordWrap/>
              <w:overflowPunct/>
              <w:topLinePunct w:val="0"/>
              <w:bidi w:val="0"/>
              <w:spacing w:line="360" w:lineRule="auto"/>
              <w:ind w:left="104" w:right="102" w:firstLine="480"/>
              <w:jc w:val="both"/>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由上表</w:t>
            </w:r>
            <w:r>
              <w:rPr>
                <w:rFonts w:hint="eastAsia" w:ascii="Times New Roman" w:hAnsi="Times New Roman" w:eastAsia="宋体" w:cs="Times New Roman"/>
                <w:color w:val="auto"/>
                <w:sz w:val="24"/>
                <w:szCs w:val="24"/>
                <w:u w:val="none" w:color="auto"/>
                <w:lang w:val="en-US" w:eastAsia="zh-CN"/>
              </w:rPr>
              <w:t>统计结果可知</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highlight w:val="none"/>
                <w:u w:val="single" w:color="auto"/>
                <w:lang w:val="en-US" w:eastAsia="zh-CN"/>
              </w:rPr>
              <w:t>2023年1-</w:t>
            </w:r>
            <w:r>
              <w:rPr>
                <w:rFonts w:hint="eastAsia" w:cs="Times New Roman"/>
                <w:color w:val="auto"/>
                <w:sz w:val="24"/>
                <w:szCs w:val="24"/>
                <w:highlight w:val="none"/>
                <w:u w:val="single" w:color="auto"/>
                <w:lang w:val="en-US" w:eastAsia="zh-CN"/>
              </w:rPr>
              <w:t>12</w:t>
            </w:r>
            <w:r>
              <w:rPr>
                <w:rFonts w:hint="eastAsia" w:ascii="Times New Roman" w:hAnsi="Times New Roman" w:eastAsia="宋体" w:cs="Times New Roman"/>
                <w:color w:val="auto"/>
                <w:sz w:val="24"/>
                <w:szCs w:val="24"/>
                <w:highlight w:val="none"/>
                <w:u w:val="single" w:color="auto"/>
                <w:lang w:val="en-US" w:eastAsia="zh-CN"/>
              </w:rPr>
              <w:t>月份湖南省地表水水质状况中湘阴县</w:t>
            </w:r>
            <w:r>
              <w:rPr>
                <w:rFonts w:hint="eastAsia" w:ascii="Times New Roman" w:hAnsi="Times New Roman" w:eastAsia="宋体" w:cs="Times New Roman"/>
                <w:color w:val="auto"/>
                <w:sz w:val="24"/>
                <w:szCs w:val="24"/>
                <w:u w:val="single" w:color="auto"/>
                <w:lang w:val="en-US" w:eastAsia="zh-CN"/>
              </w:rPr>
              <w:t>境内</w:t>
            </w:r>
            <w:r>
              <w:rPr>
                <w:rFonts w:hint="default" w:ascii="Times New Roman" w:hAnsi="Times New Roman" w:eastAsia="宋体" w:cs="Times New Roman"/>
                <w:color w:val="auto"/>
                <w:sz w:val="24"/>
                <w:szCs w:val="24"/>
                <w:u w:val="single" w:color="auto"/>
                <w:lang w:val="en-US" w:eastAsia="zh-CN"/>
              </w:rPr>
              <w:t>屈原湘江取水口</w:t>
            </w:r>
            <w:r>
              <w:rPr>
                <w:rFonts w:hint="eastAsia" w:ascii="Times New Roman" w:hAnsi="Times New Roman" w:eastAsia="宋体" w:cs="Times New Roman"/>
                <w:color w:val="auto"/>
                <w:sz w:val="24"/>
                <w:szCs w:val="24"/>
                <w:u w:val="single" w:color="auto"/>
                <w:lang w:val="en-US" w:eastAsia="zh-CN"/>
              </w:rPr>
              <w:t>断面</w:t>
            </w:r>
            <w:r>
              <w:rPr>
                <w:rFonts w:hint="eastAsia" w:ascii="Times New Roman" w:hAnsi="Times New Roman" w:eastAsia="宋体" w:cs="Times New Roman"/>
                <w:color w:val="auto"/>
                <w:sz w:val="24"/>
                <w:szCs w:val="24"/>
                <w:highlight w:val="none"/>
                <w:u w:val="none" w:color="auto"/>
                <w:lang w:val="en-US" w:eastAsia="zh-CN"/>
              </w:rPr>
              <w:t>水质较好</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本项目所在地属于地表水达标区。</w:t>
            </w:r>
          </w:p>
          <w:p>
            <w:pPr>
              <w:pStyle w:val="10"/>
              <w:bidi w:val="0"/>
              <w:rPr>
                <w:rFonts w:hint="default"/>
                <w:color w:val="auto"/>
                <w:lang w:val="en-US" w:eastAsia="zh-CN"/>
              </w:rPr>
            </w:pPr>
            <w:r>
              <w:rPr>
                <w:rFonts w:hint="default"/>
                <w:color w:val="auto"/>
                <w:lang w:val="en-US" w:eastAsia="zh-CN"/>
              </w:rPr>
              <w:t>本次评价引用</w:t>
            </w:r>
            <w:r>
              <w:rPr>
                <w:rFonts w:hint="eastAsia"/>
                <w:color w:val="auto"/>
                <w:lang w:val="en-US" w:eastAsia="zh-CN"/>
              </w:rPr>
              <w:t>《湘阴县（白泥湖、范家坝、三汊港南湖）内湖采砂规划（2023~2027年）环境影响报告书》中范家坝采区地表水监测数据，监测时间为2022年10月25日~10月27日，具体监测数据及达标情况见下表。</w:t>
            </w:r>
          </w:p>
          <w:p>
            <w:pPr>
              <w:pStyle w:val="10"/>
              <w:bidi w:val="0"/>
              <w:jc w:val="center"/>
              <w:rPr>
                <w:rFonts w:hint="eastAsia"/>
                <w:color w:val="auto"/>
                <w:lang w:val="en-US" w:eastAsia="zh-CN"/>
              </w:rPr>
            </w:pPr>
            <w:r>
              <w:rPr>
                <w:rFonts w:hint="default"/>
                <w:color w:val="auto"/>
                <w:lang w:val="en-US" w:eastAsia="zh-CN"/>
              </w:rPr>
              <w:t>表3-</w:t>
            </w:r>
            <w:r>
              <w:rPr>
                <w:rFonts w:hint="eastAsia"/>
                <w:color w:val="auto"/>
                <w:lang w:val="en-US" w:eastAsia="zh-CN"/>
              </w:rPr>
              <w:t>3</w:t>
            </w:r>
            <w:r>
              <w:rPr>
                <w:rFonts w:hint="default"/>
                <w:color w:val="auto"/>
                <w:lang w:val="en-US" w:eastAsia="zh-CN"/>
              </w:rPr>
              <w:t xml:space="preserve"> 地表水环境质量现状监测结果表</w:t>
            </w:r>
          </w:p>
          <w:p>
            <w:pPr>
              <w:pStyle w:val="55"/>
              <w:bidi w:val="0"/>
              <w:jc w:val="right"/>
              <w:rPr>
                <w:rFonts w:hint="default"/>
                <w:color w:val="auto"/>
                <w:lang w:val="en-US" w:eastAsia="zh-CN"/>
              </w:rPr>
            </w:pPr>
            <w:r>
              <w:rPr>
                <w:rFonts w:hint="eastAsia"/>
                <w:color w:val="auto"/>
                <w:lang w:val="en-US" w:eastAsia="zh-CN"/>
              </w:rPr>
              <w:t>单位 mg/L，pH无量纲，粪大肠菌群个/L</w:t>
            </w: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70"/>
              <w:gridCol w:w="1322"/>
              <w:gridCol w:w="1324"/>
              <w:gridCol w:w="133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vMerge w:val="restart"/>
                  <w:noWrap w:val="0"/>
                  <w:vAlign w:val="center"/>
                </w:tcPr>
                <w:p>
                  <w:pPr>
                    <w:pStyle w:val="58"/>
                    <w:bidi w:val="0"/>
                    <w:rPr>
                      <w:rFonts w:hint="default"/>
                      <w:color w:val="auto"/>
                      <w:u w:val="single"/>
                      <w:lang w:eastAsia="zh-CN"/>
                    </w:rPr>
                  </w:pPr>
                  <w:r>
                    <w:rPr>
                      <w:rFonts w:hint="default"/>
                      <w:color w:val="auto"/>
                      <w:u w:val="single"/>
                      <w:lang w:eastAsia="zh-CN"/>
                    </w:rPr>
                    <w:t>监测因子</w:t>
                  </w:r>
                </w:p>
              </w:tc>
              <w:tc>
                <w:tcPr>
                  <w:tcW w:w="2526" w:type="pct"/>
                  <w:gridSpan w:val="3"/>
                  <w:noWrap w:val="0"/>
                  <w:vAlign w:val="center"/>
                </w:tcPr>
                <w:p>
                  <w:pPr>
                    <w:pStyle w:val="58"/>
                    <w:bidi w:val="0"/>
                    <w:rPr>
                      <w:rFonts w:hint="default"/>
                      <w:color w:val="auto"/>
                      <w:u w:val="single"/>
                      <w:lang w:val="en-US" w:eastAsia="zh-CN"/>
                    </w:rPr>
                  </w:pPr>
                  <w:r>
                    <w:rPr>
                      <w:rFonts w:hint="eastAsia"/>
                      <w:color w:val="auto"/>
                      <w:u w:val="single"/>
                      <w:lang w:val="en-US" w:eastAsia="zh-CN"/>
                    </w:rPr>
                    <w:t>三汊港南湖</w:t>
                  </w:r>
                </w:p>
              </w:tc>
              <w:tc>
                <w:tcPr>
                  <w:tcW w:w="841" w:type="pct"/>
                  <w:vMerge w:val="restart"/>
                  <w:noWrap w:val="0"/>
                  <w:vAlign w:val="center"/>
                </w:tcPr>
                <w:p>
                  <w:pPr>
                    <w:pStyle w:val="58"/>
                    <w:bidi w:val="0"/>
                    <w:rPr>
                      <w:rFonts w:hint="default"/>
                      <w:color w:val="auto"/>
                      <w:u w:val="single"/>
                      <w:lang w:val="en-US" w:eastAsia="zh-CN"/>
                    </w:rPr>
                  </w:pPr>
                  <w:r>
                    <w:rPr>
                      <w:rFonts w:hint="eastAsia"/>
                      <w:color w:val="auto"/>
                      <w:u w:val="single"/>
                      <w:lang w:val="en-US" w:eastAsia="zh-CN"/>
                    </w:rPr>
                    <w:t>Ⅲ类水质标准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vMerge w:val="continue"/>
                  <w:noWrap w:val="0"/>
                  <w:vAlign w:val="center"/>
                </w:tcPr>
                <w:p>
                  <w:pPr>
                    <w:pStyle w:val="58"/>
                    <w:bidi w:val="0"/>
                    <w:rPr>
                      <w:rFonts w:hint="default"/>
                      <w:color w:val="auto"/>
                      <w:u w:val="single"/>
                      <w:lang w:eastAsia="zh-CN"/>
                    </w:rPr>
                  </w:pPr>
                </w:p>
              </w:tc>
              <w:tc>
                <w:tcPr>
                  <w:tcW w:w="839" w:type="pct"/>
                  <w:noWrap w:val="0"/>
                  <w:vAlign w:val="center"/>
                </w:tcPr>
                <w:p>
                  <w:pPr>
                    <w:pStyle w:val="58"/>
                    <w:bidi w:val="0"/>
                    <w:rPr>
                      <w:rFonts w:hint="eastAsia"/>
                      <w:color w:val="auto"/>
                      <w:sz w:val="21"/>
                      <w:szCs w:val="21"/>
                      <w:u w:val="single"/>
                      <w:lang w:val="en-US" w:eastAsia="zh-CN"/>
                    </w:rPr>
                  </w:pPr>
                  <w:r>
                    <w:rPr>
                      <w:rFonts w:hint="default"/>
                      <w:color w:val="auto"/>
                      <w:sz w:val="21"/>
                      <w:szCs w:val="21"/>
                      <w:u w:val="single"/>
                      <w:lang w:val="en-US" w:eastAsia="zh-CN"/>
                    </w:rPr>
                    <w:t>10.17</w:t>
                  </w:r>
                </w:p>
              </w:tc>
              <w:tc>
                <w:tcPr>
                  <w:tcW w:w="840" w:type="pct"/>
                  <w:noWrap w:val="0"/>
                  <w:vAlign w:val="center"/>
                </w:tcPr>
                <w:p>
                  <w:pPr>
                    <w:pStyle w:val="58"/>
                    <w:bidi w:val="0"/>
                    <w:rPr>
                      <w:rFonts w:hint="eastAsia"/>
                      <w:color w:val="auto"/>
                      <w:sz w:val="21"/>
                      <w:szCs w:val="21"/>
                      <w:u w:val="single"/>
                      <w:lang w:val="en-US" w:eastAsia="zh-CN"/>
                    </w:rPr>
                  </w:pPr>
                  <w:r>
                    <w:rPr>
                      <w:rFonts w:hint="default"/>
                      <w:color w:val="auto"/>
                      <w:sz w:val="21"/>
                      <w:szCs w:val="21"/>
                      <w:u w:val="single"/>
                      <w:lang w:val="en-US" w:eastAsia="zh-CN"/>
                    </w:rPr>
                    <w:t>10.18</w:t>
                  </w:r>
                </w:p>
              </w:tc>
              <w:tc>
                <w:tcPr>
                  <w:tcW w:w="846" w:type="pct"/>
                  <w:noWrap w:val="0"/>
                  <w:vAlign w:val="center"/>
                </w:tcPr>
                <w:p>
                  <w:pPr>
                    <w:pStyle w:val="58"/>
                    <w:bidi w:val="0"/>
                    <w:rPr>
                      <w:rFonts w:hint="eastAsia"/>
                      <w:color w:val="auto"/>
                      <w:sz w:val="21"/>
                      <w:szCs w:val="21"/>
                      <w:u w:val="single"/>
                      <w:lang w:val="en-US" w:eastAsia="zh-CN"/>
                    </w:rPr>
                  </w:pPr>
                  <w:r>
                    <w:rPr>
                      <w:rFonts w:hint="default"/>
                      <w:color w:val="auto"/>
                      <w:sz w:val="21"/>
                      <w:szCs w:val="21"/>
                      <w:u w:val="single"/>
                      <w:lang w:val="en-US" w:eastAsia="zh-CN"/>
                    </w:rPr>
                    <w:t>10.19</w:t>
                  </w:r>
                </w:p>
              </w:tc>
              <w:tc>
                <w:tcPr>
                  <w:tcW w:w="841" w:type="pct"/>
                  <w:vMerge w:val="continue"/>
                  <w:noWrap w:val="0"/>
                  <w:vAlign w:val="center"/>
                </w:tcPr>
                <w:p>
                  <w:pPr>
                    <w:pStyle w:val="58"/>
                    <w:bidi w:val="0"/>
                    <w:rPr>
                      <w:rFonts w:hint="eastAsia"/>
                      <w:color w:val="auto"/>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default"/>
                      <w:color w:val="auto"/>
                      <w:u w:val="single"/>
                      <w:lang w:val="en-US" w:eastAsia="zh-CN"/>
                    </w:rPr>
                    <w:t>pH值</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7.04</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7.06</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6.98</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化学需氧量</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38</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42</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41</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氨氮</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0.754</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0.772</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0.787</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总磷</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0.11</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0.11</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0.11</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总氮</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1.67</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1.65</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1.64</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悬浮物</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32</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27</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29</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五日生化需氧量</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9.8</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10.5</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10.9</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粪大肠菌群</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1.5</w:t>
                  </w:r>
                  <w:r>
                    <w:rPr>
                      <w:rFonts w:hint="default"/>
                      <w:color w:val="auto"/>
                      <w:u w:val="single"/>
                      <w:lang w:val="en-US" w:eastAsia="zh-CN"/>
                    </w:rPr>
                    <w:t>×10</w:t>
                  </w:r>
                  <w:r>
                    <w:rPr>
                      <w:rFonts w:hint="eastAsia"/>
                      <w:color w:val="auto"/>
                      <w:u w:val="single"/>
                      <w:vertAlign w:val="superscript"/>
                      <w:lang w:val="en-US" w:eastAsia="zh-CN"/>
                    </w:rPr>
                    <w:t>3</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1.</w:t>
                  </w:r>
                  <w:r>
                    <w:rPr>
                      <w:rFonts w:hint="eastAsia"/>
                      <w:color w:val="auto"/>
                      <w:u w:val="single"/>
                      <w:lang w:val="en-US" w:eastAsia="zh-CN"/>
                    </w:rPr>
                    <w:t>9</w:t>
                  </w:r>
                  <w:r>
                    <w:rPr>
                      <w:rFonts w:hint="default"/>
                      <w:color w:val="auto"/>
                      <w:u w:val="single"/>
                      <w:lang w:val="en-US" w:eastAsia="zh-CN"/>
                    </w:rPr>
                    <w:t>×10</w:t>
                  </w:r>
                  <w:r>
                    <w:rPr>
                      <w:rFonts w:hint="default"/>
                      <w:color w:val="auto"/>
                      <w:u w:val="single"/>
                      <w:vertAlign w:val="superscript"/>
                      <w:lang w:val="en-US" w:eastAsia="zh-CN"/>
                    </w:rPr>
                    <w:t>3</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1.</w:t>
                  </w:r>
                  <w:r>
                    <w:rPr>
                      <w:rFonts w:hint="eastAsia"/>
                      <w:color w:val="auto"/>
                      <w:u w:val="single"/>
                      <w:lang w:val="en-US" w:eastAsia="zh-CN"/>
                    </w:rPr>
                    <w:t>6</w:t>
                  </w:r>
                  <w:r>
                    <w:rPr>
                      <w:rFonts w:hint="default"/>
                      <w:color w:val="auto"/>
                      <w:u w:val="single"/>
                      <w:lang w:val="en-US" w:eastAsia="zh-CN"/>
                    </w:rPr>
                    <w:t>×10</w:t>
                  </w:r>
                  <w:r>
                    <w:rPr>
                      <w:rFonts w:hint="default"/>
                      <w:color w:val="auto"/>
                      <w:u w:val="single"/>
                      <w:vertAlign w:val="superscript"/>
                      <w:lang w:val="en-US" w:eastAsia="zh-CN"/>
                    </w:rPr>
                    <w:t>3</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溶解氧</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5.94</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5.92</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5.99</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阴离子表面活性剂</w:t>
                  </w:r>
                </w:p>
              </w:tc>
              <w:tc>
                <w:tcPr>
                  <w:tcW w:w="839" w:type="pct"/>
                  <w:noWrap w:val="0"/>
                  <w:vAlign w:val="center"/>
                </w:tcPr>
                <w:p>
                  <w:pPr>
                    <w:pStyle w:val="58"/>
                    <w:bidi w:val="0"/>
                    <w:rPr>
                      <w:rFonts w:hint="default"/>
                      <w:color w:val="auto"/>
                      <w:u w:val="single"/>
                    </w:rPr>
                  </w:pPr>
                  <w:r>
                    <w:rPr>
                      <w:rFonts w:hint="default"/>
                      <w:color w:val="auto"/>
                      <w:u w:val="single"/>
                      <w:lang w:val="en-US" w:eastAsia="zh-CN"/>
                    </w:rPr>
                    <w:t>0.05L</w:t>
                  </w:r>
                </w:p>
              </w:tc>
              <w:tc>
                <w:tcPr>
                  <w:tcW w:w="840" w:type="pct"/>
                  <w:noWrap w:val="0"/>
                  <w:vAlign w:val="center"/>
                </w:tcPr>
                <w:p>
                  <w:pPr>
                    <w:pStyle w:val="58"/>
                    <w:bidi w:val="0"/>
                    <w:rPr>
                      <w:rFonts w:hint="default"/>
                      <w:color w:val="auto"/>
                      <w:u w:val="single"/>
                    </w:rPr>
                  </w:pPr>
                  <w:r>
                    <w:rPr>
                      <w:rFonts w:hint="default"/>
                      <w:color w:val="auto"/>
                      <w:u w:val="single"/>
                      <w:lang w:val="en-US" w:eastAsia="zh-CN"/>
                    </w:rPr>
                    <w:t>0.05L</w:t>
                  </w:r>
                </w:p>
              </w:tc>
              <w:tc>
                <w:tcPr>
                  <w:tcW w:w="846" w:type="pct"/>
                  <w:noWrap w:val="0"/>
                  <w:vAlign w:val="center"/>
                </w:tcPr>
                <w:p>
                  <w:pPr>
                    <w:pStyle w:val="58"/>
                    <w:bidi w:val="0"/>
                    <w:rPr>
                      <w:rFonts w:hint="default"/>
                      <w:color w:val="auto"/>
                      <w:u w:val="single"/>
                    </w:rPr>
                  </w:pPr>
                  <w:r>
                    <w:rPr>
                      <w:rFonts w:hint="default"/>
                      <w:color w:val="auto"/>
                      <w:u w:val="single"/>
                      <w:lang w:val="en-US" w:eastAsia="zh-CN"/>
                    </w:rPr>
                    <w:t>0.05L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石油类</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0.01L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0.01L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0.01L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六价铬</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0.004L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0.004L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0.004L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硝酸盐</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0.306</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w:t>
                  </w:r>
                  <w:r>
                    <w:rPr>
                      <w:rFonts w:hint="eastAsia"/>
                      <w:color w:val="auto"/>
                      <w:u w:val="single"/>
                      <w:lang w:val="en-US" w:eastAsia="zh-CN"/>
                    </w:rPr>
                    <w:t>297</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w:t>
                  </w:r>
                  <w:r>
                    <w:rPr>
                      <w:rFonts w:hint="eastAsia"/>
                      <w:color w:val="auto"/>
                      <w:u w:val="single"/>
                      <w:lang w:val="en-US" w:eastAsia="zh-CN"/>
                    </w:rPr>
                    <w:t>274</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硫酸盐</w:t>
                  </w:r>
                </w:p>
              </w:tc>
              <w:tc>
                <w:tcPr>
                  <w:tcW w:w="839" w:type="pct"/>
                  <w:noWrap w:val="0"/>
                  <w:vAlign w:val="center"/>
                </w:tcPr>
                <w:p>
                  <w:pPr>
                    <w:pStyle w:val="58"/>
                    <w:bidi w:val="0"/>
                    <w:rPr>
                      <w:rFonts w:hint="default"/>
                      <w:color w:val="auto"/>
                      <w:u w:val="single"/>
                      <w:lang w:val="en-US" w:eastAsia="zh-CN"/>
                    </w:rPr>
                  </w:pPr>
                  <w:r>
                    <w:rPr>
                      <w:rFonts w:hint="eastAsia"/>
                      <w:color w:val="auto"/>
                      <w:u w:val="single"/>
                      <w:lang w:val="en-US" w:eastAsia="zh-CN"/>
                    </w:rPr>
                    <w:t>13.9</w:t>
                  </w:r>
                </w:p>
              </w:tc>
              <w:tc>
                <w:tcPr>
                  <w:tcW w:w="840" w:type="pct"/>
                  <w:noWrap w:val="0"/>
                  <w:vAlign w:val="center"/>
                </w:tcPr>
                <w:p>
                  <w:pPr>
                    <w:pStyle w:val="58"/>
                    <w:bidi w:val="0"/>
                    <w:rPr>
                      <w:rFonts w:hint="default"/>
                      <w:color w:val="auto"/>
                      <w:u w:val="single"/>
                      <w:lang w:val="en-US" w:eastAsia="zh-CN"/>
                    </w:rPr>
                  </w:pPr>
                  <w:r>
                    <w:rPr>
                      <w:rFonts w:hint="eastAsia"/>
                      <w:color w:val="auto"/>
                      <w:u w:val="single"/>
                      <w:lang w:val="en-US" w:eastAsia="zh-CN"/>
                    </w:rPr>
                    <w:t>13.9</w:t>
                  </w:r>
                </w:p>
              </w:tc>
              <w:tc>
                <w:tcPr>
                  <w:tcW w:w="846" w:type="pct"/>
                  <w:noWrap w:val="0"/>
                  <w:vAlign w:val="center"/>
                </w:tcPr>
                <w:p>
                  <w:pPr>
                    <w:pStyle w:val="58"/>
                    <w:bidi w:val="0"/>
                    <w:rPr>
                      <w:rFonts w:hint="default"/>
                      <w:color w:val="auto"/>
                      <w:u w:val="single"/>
                      <w:lang w:val="en-US" w:eastAsia="zh-CN"/>
                    </w:rPr>
                  </w:pPr>
                  <w:r>
                    <w:rPr>
                      <w:rFonts w:hint="eastAsia"/>
                      <w:color w:val="auto"/>
                      <w:u w:val="single"/>
                      <w:lang w:val="en-US" w:eastAsia="zh-CN"/>
                    </w:rPr>
                    <w:t>13.5</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铜</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0.001L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0.001L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0.001L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锌</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0.05L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0.05L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0.05L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铅</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0.001L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0.001L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0.001L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镉</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0.0001L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0.0001L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0.0001L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砷</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0.0003L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0.0003L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0.0003L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硒</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0.0004L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0.0004L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0.0004L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镍</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0.005L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0.005L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0.005L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硫化物</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0.01L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0.01L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0.01L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挥发酚</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0.0003L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0.0003L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0.0003L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631" w:type="pct"/>
                  <w:noWrap w:val="0"/>
                  <w:vAlign w:val="center"/>
                </w:tcPr>
                <w:p>
                  <w:pPr>
                    <w:pStyle w:val="58"/>
                    <w:bidi w:val="0"/>
                    <w:rPr>
                      <w:rFonts w:hint="default"/>
                      <w:color w:val="auto"/>
                      <w:u w:val="single"/>
                      <w:lang w:val="en-US" w:eastAsia="zh-CN"/>
                    </w:rPr>
                  </w:pPr>
                  <w:r>
                    <w:rPr>
                      <w:rFonts w:hint="eastAsia"/>
                      <w:color w:val="auto"/>
                      <w:u w:val="single"/>
                      <w:lang w:val="en-US" w:eastAsia="zh-CN"/>
                    </w:rPr>
                    <w:t>氰化物</w:t>
                  </w:r>
                </w:p>
              </w:tc>
              <w:tc>
                <w:tcPr>
                  <w:tcW w:w="839" w:type="pct"/>
                  <w:noWrap w:val="0"/>
                  <w:vAlign w:val="center"/>
                </w:tcPr>
                <w:p>
                  <w:pPr>
                    <w:pStyle w:val="58"/>
                    <w:bidi w:val="0"/>
                    <w:rPr>
                      <w:rFonts w:hint="default"/>
                      <w:color w:val="auto"/>
                      <w:u w:val="single"/>
                      <w:lang w:val="en-US" w:eastAsia="zh-CN"/>
                    </w:rPr>
                  </w:pPr>
                  <w:r>
                    <w:rPr>
                      <w:rFonts w:hint="default"/>
                      <w:color w:val="auto"/>
                      <w:u w:val="single"/>
                      <w:lang w:val="en-US" w:eastAsia="zh-CN"/>
                    </w:rPr>
                    <w:t>0.004L</w:t>
                  </w:r>
                </w:p>
              </w:tc>
              <w:tc>
                <w:tcPr>
                  <w:tcW w:w="840" w:type="pct"/>
                  <w:noWrap w:val="0"/>
                  <w:vAlign w:val="center"/>
                </w:tcPr>
                <w:p>
                  <w:pPr>
                    <w:pStyle w:val="58"/>
                    <w:bidi w:val="0"/>
                    <w:rPr>
                      <w:rFonts w:hint="default"/>
                      <w:color w:val="auto"/>
                      <w:u w:val="single"/>
                      <w:lang w:val="en-US" w:eastAsia="zh-CN"/>
                    </w:rPr>
                  </w:pPr>
                  <w:r>
                    <w:rPr>
                      <w:rFonts w:hint="default"/>
                      <w:color w:val="auto"/>
                      <w:u w:val="single"/>
                      <w:lang w:val="en-US" w:eastAsia="zh-CN"/>
                    </w:rPr>
                    <w:t>0.004L</w:t>
                  </w:r>
                </w:p>
              </w:tc>
              <w:tc>
                <w:tcPr>
                  <w:tcW w:w="846" w:type="pct"/>
                  <w:noWrap w:val="0"/>
                  <w:vAlign w:val="center"/>
                </w:tcPr>
                <w:p>
                  <w:pPr>
                    <w:pStyle w:val="58"/>
                    <w:bidi w:val="0"/>
                    <w:rPr>
                      <w:rFonts w:hint="default"/>
                      <w:color w:val="auto"/>
                      <w:u w:val="single"/>
                      <w:lang w:val="en-US" w:eastAsia="zh-CN"/>
                    </w:rPr>
                  </w:pPr>
                  <w:r>
                    <w:rPr>
                      <w:rFonts w:hint="default"/>
                      <w:color w:val="auto"/>
                      <w:u w:val="single"/>
                      <w:lang w:val="en-US" w:eastAsia="zh-CN"/>
                    </w:rPr>
                    <w:t>0.004L</w:t>
                  </w:r>
                </w:p>
              </w:tc>
              <w:tc>
                <w:tcPr>
                  <w:tcW w:w="841" w:type="pct"/>
                  <w:noWrap w:val="0"/>
                  <w:vAlign w:val="center"/>
                </w:tcPr>
                <w:p>
                  <w:pPr>
                    <w:pStyle w:val="58"/>
                    <w:bidi w:val="0"/>
                    <w:rPr>
                      <w:rFonts w:hint="default"/>
                      <w:color w:val="auto"/>
                      <w:u w:val="single"/>
                      <w:lang w:val="en-US" w:eastAsia="zh-CN"/>
                    </w:rPr>
                  </w:pPr>
                  <w:r>
                    <w:rPr>
                      <w:rFonts w:hint="default"/>
                      <w:color w:val="auto"/>
                      <w:u w:val="single"/>
                      <w:lang w:val="en-US" w:eastAsia="zh-CN"/>
                    </w:rPr>
                    <w:t>≤0.2</w:t>
                  </w:r>
                </w:p>
              </w:tc>
            </w:tr>
          </w:tbl>
          <w:p>
            <w:pPr>
              <w:pStyle w:val="56"/>
              <w:bidi w:val="0"/>
              <w:rPr>
                <w:rFonts w:hint="default"/>
                <w:color w:val="auto"/>
                <w:highlight w:val="none"/>
                <w:u w:val="single"/>
              </w:rPr>
            </w:pPr>
          </w:p>
          <w:p>
            <w:pPr>
              <w:pStyle w:val="10"/>
              <w:bidi w:val="0"/>
              <w:rPr>
                <w:rFonts w:hint="eastAsia"/>
                <w:color w:val="auto"/>
                <w:lang w:val="en-US" w:eastAsia="zh-CN"/>
              </w:rPr>
            </w:pPr>
            <w:r>
              <w:rPr>
                <w:rFonts w:hint="default"/>
                <w:color w:val="auto"/>
              </w:rPr>
              <w:t>由上表可知，</w:t>
            </w:r>
            <w:r>
              <w:rPr>
                <w:rFonts w:hint="eastAsia"/>
                <w:color w:val="auto"/>
                <w:lang w:val="en-US" w:eastAsia="zh-CN"/>
              </w:rPr>
              <w:t>三汊港南湖监测</w:t>
            </w:r>
            <w:r>
              <w:rPr>
                <w:rFonts w:hint="default"/>
                <w:color w:val="auto"/>
                <w:lang w:val="en-US" w:eastAsia="zh-CN"/>
              </w:rPr>
              <w:t>断面</w:t>
            </w:r>
            <w:r>
              <w:rPr>
                <w:rFonts w:hint="eastAsia"/>
                <w:color w:val="auto"/>
                <w:lang w:val="en-US" w:eastAsia="zh-CN"/>
              </w:rPr>
              <w:t>中化学需氧量、总氮、悬浮物、五日生化需氧量均超标，其余监测因子均</w:t>
            </w:r>
            <w:r>
              <w:rPr>
                <w:rFonts w:hint="default"/>
                <w:color w:val="auto"/>
                <w:lang w:val="en-US" w:eastAsia="zh-CN"/>
              </w:rPr>
              <w:t>满足《地表水环境质量标准》（GB3838-2002）中III类标准</w:t>
            </w:r>
            <w:r>
              <w:rPr>
                <w:rFonts w:hint="eastAsia"/>
                <w:color w:val="auto"/>
                <w:lang w:val="en-US" w:eastAsia="zh-CN"/>
              </w:rPr>
              <w:t>，超标原因为断面周边生活污水直接排放造成。项目废水经卫生院污水处理站处理排入东塘镇污水处理厂处理，达到《城镇污水厂污染物排放标准》（GB18918-2002）一级A标准要求后排放。可降低污染物排放浓度，减少对三汊港南湖的影响，对三汊港南湖的污染有改善作用。</w:t>
            </w:r>
          </w:p>
          <w:p>
            <w:pPr>
              <w:pStyle w:val="11"/>
              <w:rPr>
                <w:rFonts w:hint="default"/>
                <w:color w:val="auto"/>
                <w:lang w:val="en-US"/>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3.3声环境质量现状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rPr>
              <w:t>本</w:t>
            </w:r>
            <w:r>
              <w:rPr>
                <w:rFonts w:hint="eastAsia" w:ascii="Times New Roman" w:hAnsi="Times New Roman" w:eastAsia="宋体" w:cs="Times New Roman"/>
                <w:color w:val="auto"/>
                <w:sz w:val="24"/>
                <w:szCs w:val="24"/>
                <w:highlight w:val="none"/>
                <w:u w:val="none" w:color="auto"/>
                <w:lang w:val="en-US" w:eastAsia="zh-CN"/>
              </w:rPr>
              <w:t>次收集业主</w:t>
            </w:r>
            <w:r>
              <w:rPr>
                <w:rFonts w:hint="default" w:ascii="Times New Roman" w:hAnsi="Times New Roman" w:eastAsia="宋体" w:cs="Times New Roman"/>
                <w:bCs/>
                <w:color w:val="auto"/>
                <w:sz w:val="24"/>
                <w:szCs w:val="24"/>
                <w:highlight w:val="none"/>
                <w:u w:val="none" w:color="auto"/>
              </w:rPr>
              <w:t>委托</w:t>
            </w:r>
            <w:r>
              <w:rPr>
                <w:rFonts w:hint="default" w:ascii="Times New Roman" w:hAnsi="Times New Roman" w:eastAsia="宋体" w:cs="Times New Roman"/>
                <w:color w:val="auto"/>
                <w:sz w:val="24"/>
                <w:szCs w:val="24"/>
                <w:highlight w:val="none"/>
                <w:u w:val="none" w:color="auto"/>
              </w:rPr>
              <w:t>湖南</w:t>
            </w:r>
            <w:r>
              <w:rPr>
                <w:rFonts w:hint="eastAsia" w:ascii="Times New Roman" w:hAnsi="Times New Roman" w:eastAsia="宋体" w:cs="Times New Roman"/>
                <w:color w:val="auto"/>
                <w:sz w:val="24"/>
                <w:szCs w:val="24"/>
                <w:highlight w:val="none"/>
                <w:u w:val="none" w:color="auto"/>
                <w:lang w:val="en-US" w:eastAsia="zh-CN"/>
              </w:rPr>
              <w:t>山水</w:t>
            </w:r>
            <w:r>
              <w:rPr>
                <w:rFonts w:hint="default" w:ascii="Times New Roman" w:hAnsi="Times New Roman" w:eastAsia="宋体" w:cs="Times New Roman"/>
                <w:color w:val="auto"/>
                <w:sz w:val="24"/>
                <w:szCs w:val="24"/>
                <w:highlight w:val="none"/>
                <w:u w:val="none" w:color="auto"/>
              </w:rPr>
              <w:t>检测有限公司</w:t>
            </w:r>
            <w:r>
              <w:rPr>
                <w:rFonts w:hint="eastAsia" w:ascii="Times New Roman" w:hAnsi="Times New Roman" w:eastAsia="宋体" w:cs="Times New Roman"/>
                <w:color w:val="auto"/>
                <w:sz w:val="24"/>
                <w:szCs w:val="24"/>
                <w:highlight w:val="none"/>
                <w:u w:val="none" w:color="auto"/>
                <w:lang w:val="en-US" w:eastAsia="zh-CN"/>
              </w:rPr>
              <w:t>于2023年9月11日对周边环保目标的声环境进行了监测，环保目标噪声监测结果详见表3-</w:t>
            </w:r>
            <w:r>
              <w:rPr>
                <w:rFonts w:hint="eastAsia" w:cs="Times New Roman"/>
                <w:color w:val="auto"/>
                <w:sz w:val="24"/>
                <w:szCs w:val="24"/>
                <w:highlight w:val="none"/>
                <w:u w:val="none" w:color="auto"/>
                <w:lang w:val="en-US" w:eastAsia="zh-CN"/>
              </w:rPr>
              <w:t>3</w:t>
            </w:r>
            <w:r>
              <w:rPr>
                <w:rFonts w:hint="eastAsia" w:ascii="Times New Roman" w:hAnsi="Times New Roman" w:eastAsia="宋体" w:cs="Times New Roman"/>
                <w:color w:val="auto"/>
                <w:sz w:val="24"/>
                <w:szCs w:val="24"/>
                <w:highlight w:val="none"/>
                <w:u w:val="none" w:color="auto"/>
                <w:lang w:val="en-US" w:eastAsia="zh-CN"/>
              </w:rPr>
              <w:t>。</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表3-</w:t>
            </w:r>
            <w:r>
              <w:rPr>
                <w:rFonts w:hint="eastAsia" w:ascii="Times New Roman" w:hAnsi="Times New Roman" w:eastAsia="宋体" w:cs="Times New Roman"/>
                <w:color w:val="auto"/>
                <w:sz w:val="24"/>
                <w:szCs w:val="24"/>
                <w:u w:val="none" w:color="auto"/>
                <w:lang w:val="en-US" w:eastAsia="zh-CN"/>
              </w:rPr>
              <w:t xml:space="preserve">3  </w:t>
            </w:r>
            <w:r>
              <w:rPr>
                <w:rFonts w:hint="default" w:ascii="Times New Roman" w:hAnsi="Times New Roman" w:eastAsia="宋体" w:cs="Times New Roman"/>
                <w:color w:val="auto"/>
                <w:sz w:val="24"/>
                <w:szCs w:val="24"/>
                <w:u w:val="none" w:color="auto"/>
              </w:rPr>
              <w:t>厂界噪声监测结果</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09"/>
              <w:gridCol w:w="998"/>
              <w:gridCol w:w="2066"/>
              <w:gridCol w:w="1758"/>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采样点位</w:t>
                  </w: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采样时间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检测值</w:t>
                  </w:r>
                  <w:r>
                    <w:rPr>
                      <w:rFonts w:hint="eastAsia" w:ascii="Times New Roman" w:hAnsi="Times New Roman" w:eastAsia="宋体" w:cs="Times New Roman"/>
                      <w:color w:val="auto"/>
                      <w:sz w:val="21"/>
                      <w:szCs w:val="21"/>
                      <w:u w:val="none" w:color="auto"/>
                      <w:vertAlign w:val="baseline"/>
                      <w:lang w:val="en-US" w:eastAsia="zh-CN"/>
                    </w:rPr>
                    <w:t>（</w:t>
                  </w:r>
                  <w:r>
                    <w:rPr>
                      <w:rFonts w:hint="default" w:ascii="Times New Roman" w:hAnsi="Times New Roman" w:eastAsia="宋体" w:cs="Times New Roman"/>
                      <w:color w:val="auto"/>
                      <w:sz w:val="21"/>
                      <w:szCs w:val="21"/>
                      <w:u w:val="none" w:color="auto"/>
                      <w:vertAlign w:val="baseline"/>
                      <w:lang w:val="en-US" w:eastAsia="zh-CN"/>
                    </w:rPr>
                    <w:t>dB（A）</w:t>
                  </w:r>
                  <w:r>
                    <w:rPr>
                      <w:rFonts w:hint="eastAsia" w:ascii="Times New Roman" w:hAnsi="Times New Roman" w:eastAsia="宋体" w:cs="Times New Roman"/>
                      <w:color w:val="auto"/>
                      <w:sz w:val="21"/>
                      <w:szCs w:val="21"/>
                      <w:u w:val="none" w:color="auto"/>
                      <w:vertAlign w:val="baseline"/>
                      <w:lang w:val="en-US" w:eastAsia="zh-CN"/>
                    </w:rPr>
                    <w:t>）</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val="en-US" w:eastAsia="zh-CN"/>
                    </w:rPr>
                    <w:t>标准限值</w:t>
                  </w:r>
                  <w:r>
                    <w:rPr>
                      <w:rFonts w:hint="eastAsia" w:ascii="Times New Roman" w:hAnsi="Times New Roman" w:eastAsia="宋体" w:cs="Times New Roman"/>
                      <w:color w:val="auto"/>
                      <w:sz w:val="21"/>
                      <w:szCs w:val="21"/>
                      <w:u w:val="none" w:color="auto"/>
                      <w:vertAlign w:val="baseline"/>
                      <w:lang w:val="en-US" w:eastAsia="zh-CN"/>
                    </w:rPr>
                    <w:t>（</w:t>
                  </w:r>
                  <w:r>
                    <w:rPr>
                      <w:rFonts w:hint="default" w:ascii="Times New Roman" w:hAnsi="Times New Roman" w:eastAsia="宋体" w:cs="Times New Roman"/>
                      <w:color w:val="auto"/>
                      <w:sz w:val="21"/>
                      <w:szCs w:val="21"/>
                      <w:u w:val="none" w:color="auto"/>
                      <w:vertAlign w:val="baseline"/>
                      <w:lang w:val="en-US" w:eastAsia="zh-CN"/>
                    </w:rPr>
                    <w:t>dB（A）</w:t>
                  </w:r>
                  <w:r>
                    <w:rPr>
                      <w:rFonts w:hint="eastAsia" w:ascii="Times New Roman" w:hAnsi="Times New Roman" w:eastAsia="宋体" w:cs="Times New Roman"/>
                      <w:color w:val="auto"/>
                      <w:sz w:val="21"/>
                      <w:szCs w:val="21"/>
                      <w:u w:val="none" w:color="auto"/>
                      <w:vertAlign w:val="baseline"/>
                      <w:lang w:val="en-US" w:eastAsia="zh-CN"/>
                    </w:rPr>
                    <w:t>）</w:t>
                  </w:r>
                </w:p>
              </w:tc>
              <w:tc>
                <w:tcPr>
                  <w:tcW w:w="600"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住院楼N1</w:t>
                  </w: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昼间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55.8</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rPr>
                  </w:pP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夜间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45.8</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东侧居民区N2</w:t>
                  </w: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昼间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54.8</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60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夜间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44.3</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50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东南侧居民区N3</w:t>
                  </w: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昼间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52.7</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60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夜间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44.5</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50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西南侧居民区N4</w:t>
                  </w: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昼间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54.6</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60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夜间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44.0</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eastAsia" w:ascii="Times New Roman" w:hAnsi="Times New Roman" w:eastAsia="宋体" w:cs="Times New Roman"/>
                      <w:color w:val="auto"/>
                      <w:sz w:val="21"/>
                      <w:szCs w:val="21"/>
                      <w:u w:val="none" w:color="auto"/>
                      <w:vertAlign w:val="baseline"/>
                      <w:lang w:val="en-US" w:eastAsia="zh-CN"/>
                    </w:rPr>
                    <w:t>50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东侧居民区N5</w:t>
                  </w: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昼间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53.3</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60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夜间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44.3</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50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restar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湘阴农村商业银行N6</w:t>
                  </w: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昼间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56.1</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60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2" w:type="pct"/>
                  <w:vMerge w:val="continue"/>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rPr>
                  </w:pPr>
                </w:p>
              </w:tc>
              <w:tc>
                <w:tcPr>
                  <w:tcW w:w="624"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夜间</w:t>
                  </w:r>
                </w:p>
              </w:tc>
              <w:tc>
                <w:tcPr>
                  <w:tcW w:w="1292"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45.9</w:t>
                  </w:r>
                </w:p>
              </w:tc>
              <w:tc>
                <w:tcPr>
                  <w:tcW w:w="1099" w:type="pct"/>
                  <w:noWrap w:val="0"/>
                  <w:vAlign w:val="center"/>
                </w:tcPr>
                <w:p>
                  <w:pPr>
                    <w:pStyle w:val="43"/>
                    <w:keepNext w:val="0"/>
                    <w:keepLines w:val="0"/>
                    <w:pageBreakBefore w:val="0"/>
                    <w:widowControl w:val="0"/>
                    <w:kinsoku/>
                    <w:wordWrap/>
                    <w:overflowPunct/>
                    <w:topLinePunct w:val="0"/>
                    <w:bidi w:val="0"/>
                    <w:spacing w:line="240" w:lineRule="auto"/>
                    <w:ind w:right="69" w:rightChars="0"/>
                    <w:jc w:val="center"/>
                    <w:textAlignment w:val="auto"/>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50</w:t>
                  </w:r>
                </w:p>
              </w:tc>
              <w:tc>
                <w:tcPr>
                  <w:tcW w:w="600" w:type="pct"/>
                  <w:noWrap w:val="0"/>
                  <w:vAlign w:val="center"/>
                </w:tcPr>
                <w:p>
                  <w:pPr>
                    <w:keepNext w:val="0"/>
                    <w:keepLines w:val="0"/>
                    <w:pageBreakBefore w:val="0"/>
                    <w:widowControl w:val="0"/>
                    <w:kinsoku/>
                    <w:wordWrap/>
                    <w:overflowPunct/>
                    <w:topLinePunct w:val="0"/>
                    <w:bidi w:val="0"/>
                    <w:spacing w:line="240" w:lineRule="auto"/>
                    <w:ind w:right="69" w:right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达标</w:t>
                  </w:r>
                </w:p>
              </w:tc>
            </w:tr>
          </w:tbl>
          <w:p>
            <w:pPr>
              <w:pStyle w:val="43"/>
              <w:keepNext w:val="0"/>
              <w:keepLines w:val="0"/>
              <w:pageBreakBefore w:val="0"/>
              <w:widowControl w:val="0"/>
              <w:kinsoku/>
              <w:wordWrap/>
              <w:overflowPunct/>
              <w:topLinePunct w:val="0"/>
              <w:bidi w:val="0"/>
              <w:spacing w:line="360" w:lineRule="auto"/>
              <w:ind w:left="104" w:right="102" w:firstLine="480"/>
              <w:jc w:val="both"/>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根据监测结果可知，项目正常运营时</w:t>
            </w:r>
            <w:r>
              <w:rPr>
                <w:rFonts w:hint="eastAsia" w:ascii="Times New Roman" w:hAnsi="Times New Roman" w:eastAsia="宋体" w:cs="Times New Roman"/>
                <w:color w:val="auto"/>
                <w:sz w:val="24"/>
                <w:szCs w:val="24"/>
                <w:u w:val="none" w:color="auto"/>
                <w:lang w:val="en-US" w:eastAsia="zh-CN"/>
              </w:rPr>
              <w:t>，本项目住院楼及周边环保目标的声环境可以达到</w:t>
            </w:r>
            <w:r>
              <w:rPr>
                <w:rFonts w:hint="default" w:ascii="Times New Roman" w:hAnsi="Times New Roman" w:eastAsia="宋体" w:cs="Times New Roman"/>
                <w:color w:val="auto"/>
                <w:sz w:val="24"/>
                <w:szCs w:val="24"/>
                <w:u w:val="none" w:color="auto"/>
              </w:rPr>
              <w:t>《声环境质量标准》（</w:t>
            </w:r>
            <w:r>
              <w:rPr>
                <w:rFonts w:hint="default" w:ascii="Times New Roman" w:hAnsi="Times New Roman" w:eastAsia="Times New Roman" w:cs="Times New Roman"/>
                <w:color w:val="auto"/>
                <w:sz w:val="24"/>
                <w:szCs w:val="24"/>
                <w:u w:val="none" w:color="auto"/>
              </w:rPr>
              <w:t>GB3096-2008</w:t>
            </w:r>
            <w:r>
              <w:rPr>
                <w:rFonts w:hint="default" w:ascii="Times New Roman" w:hAnsi="Times New Roman" w:eastAsia="宋体" w:cs="Times New Roman"/>
                <w:color w:val="auto"/>
                <w:sz w:val="24"/>
                <w:szCs w:val="24"/>
                <w:u w:val="none" w:color="auto"/>
              </w:rPr>
              <w:t>）中的</w:t>
            </w:r>
            <w:r>
              <w:rPr>
                <w:rFonts w:hint="default" w:ascii="Times New Roman" w:hAnsi="Times New Roman" w:eastAsia="Times New Roman" w:cs="Times New Roman"/>
                <w:color w:val="auto"/>
                <w:sz w:val="24"/>
                <w:szCs w:val="24"/>
                <w:u w:val="none" w:color="auto"/>
              </w:rPr>
              <w:t>2</w:t>
            </w:r>
            <w:r>
              <w:rPr>
                <w:rFonts w:hint="default" w:ascii="Times New Roman" w:hAnsi="Times New Roman" w:eastAsia="宋体" w:cs="Times New Roman"/>
                <w:color w:val="auto"/>
                <w:sz w:val="24"/>
                <w:szCs w:val="24"/>
                <w:u w:val="none" w:color="auto"/>
              </w:rPr>
              <w:t>类标准</w:t>
            </w:r>
            <w:r>
              <w:rPr>
                <w:rFonts w:hint="eastAsia" w:ascii="Times New Roman" w:hAnsi="Times New Roman" w:eastAsia="宋体" w:cs="Times New Roman"/>
                <w:color w:val="auto"/>
                <w:sz w:val="24"/>
                <w:szCs w:val="24"/>
                <w:u w:val="none" w:color="auto"/>
                <w:lang w:val="en-US" w:eastAsia="zh-CN"/>
              </w:rPr>
              <w:t>要求</w:t>
            </w:r>
            <w:r>
              <w:rPr>
                <w:rFonts w:hint="default" w:ascii="Times New Roman" w:hAnsi="Times New Roman" w:eastAsia="宋体" w:cs="Times New Roman"/>
                <w:color w:val="auto"/>
                <w:sz w:val="24"/>
                <w:szCs w:val="24"/>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3.4地下水、土壤环境质量现状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pacing w:val="2"/>
                <w:sz w:val="24"/>
                <w:szCs w:val="24"/>
                <w:u w:val="none" w:color="auto"/>
              </w:rPr>
              <w:t>根据《环境影响评价技术导则</w:t>
            </w:r>
            <w:r>
              <w:rPr>
                <w:rFonts w:hint="eastAsia" w:ascii="Times New Roman" w:hAnsi="Times New Roman" w:eastAsia="宋体" w:cs="Times New Roman"/>
                <w:color w:val="auto"/>
                <w:spacing w:val="2"/>
                <w:sz w:val="24"/>
                <w:szCs w:val="24"/>
                <w:u w:val="none" w:color="auto"/>
                <w:lang w:val="en-US" w:eastAsia="zh-CN"/>
              </w:rPr>
              <w:t xml:space="preserve"> </w:t>
            </w:r>
            <w:r>
              <w:rPr>
                <w:rFonts w:hint="default" w:ascii="Times New Roman" w:hAnsi="Times New Roman" w:eastAsia="宋体" w:cs="Times New Roman"/>
                <w:color w:val="auto"/>
                <w:spacing w:val="2"/>
                <w:sz w:val="24"/>
                <w:szCs w:val="24"/>
                <w:u w:val="none" w:color="auto"/>
              </w:rPr>
              <w:t>地下水环境》（</w:t>
            </w:r>
            <w:r>
              <w:rPr>
                <w:rFonts w:hint="default" w:ascii="Times New Roman" w:hAnsi="Times New Roman" w:eastAsia="Times New Roman" w:cs="Times New Roman"/>
                <w:color w:val="auto"/>
                <w:spacing w:val="2"/>
                <w:sz w:val="24"/>
                <w:szCs w:val="24"/>
                <w:u w:val="none" w:color="auto"/>
              </w:rPr>
              <w:t>HJ610</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Times New Roman" w:cs="Times New Roman"/>
                <w:color w:val="auto"/>
                <w:spacing w:val="2"/>
                <w:sz w:val="24"/>
                <w:szCs w:val="24"/>
                <w:u w:val="none" w:color="auto"/>
              </w:rPr>
              <w:t>2016</w:t>
            </w:r>
            <w:r>
              <w:rPr>
                <w:rFonts w:hint="default" w:ascii="Times New Roman" w:hAnsi="Times New Roman" w:eastAsia="宋体" w:cs="Times New Roman"/>
                <w:color w:val="auto"/>
                <w:spacing w:val="2"/>
                <w:sz w:val="24"/>
                <w:szCs w:val="24"/>
                <w:u w:val="none" w:color="auto"/>
              </w:rPr>
              <w:t>），附录</w:t>
            </w:r>
            <w:r>
              <w:rPr>
                <w:rFonts w:hint="default" w:ascii="Times New Roman" w:hAnsi="Times New Roman" w:eastAsia="Times New Roman" w:cs="Times New Roman"/>
                <w:color w:val="auto"/>
                <w:sz w:val="24"/>
                <w:szCs w:val="24"/>
                <w:u w:val="none" w:color="auto"/>
              </w:rPr>
              <w:t>A</w:t>
            </w:r>
            <w:r>
              <w:rPr>
                <w:rFonts w:hint="default" w:ascii="Times New Roman" w:hAnsi="Times New Roman" w:eastAsia="宋体" w:cs="Times New Roman"/>
                <w:color w:val="auto"/>
                <w:spacing w:val="2"/>
                <w:sz w:val="24"/>
                <w:szCs w:val="24"/>
                <w:u w:val="none" w:color="auto"/>
              </w:rPr>
              <w:t>地下水</w:t>
            </w:r>
            <w:r>
              <w:rPr>
                <w:rFonts w:hint="default" w:ascii="Times New Roman" w:hAnsi="Times New Roman" w:eastAsia="宋体" w:cs="Times New Roman"/>
                <w:color w:val="auto"/>
                <w:sz w:val="24"/>
                <w:szCs w:val="24"/>
                <w:u w:val="none" w:color="auto"/>
              </w:rPr>
              <w:t>环境影响评价行业分类表</w:t>
            </w:r>
            <w:r>
              <w:rPr>
                <w:rFonts w:hint="default" w:ascii="Times New Roman" w:hAnsi="Times New Roman" w:eastAsia="宋体" w:cs="Times New Roman"/>
                <w:color w:val="auto"/>
                <w:spacing w:val="-5"/>
                <w:sz w:val="24"/>
                <w:szCs w:val="24"/>
                <w:u w:val="none" w:color="auto"/>
              </w:rPr>
              <w:t>，</w:t>
            </w:r>
            <w:r>
              <w:rPr>
                <w:rFonts w:hint="default" w:ascii="Times New Roman" w:hAnsi="Times New Roman" w:eastAsia="宋体" w:cs="Times New Roman"/>
                <w:color w:val="auto"/>
                <w:sz w:val="24"/>
                <w:szCs w:val="24"/>
                <w:u w:val="none" w:color="auto"/>
              </w:rPr>
              <w:t>本项目属</w:t>
            </w:r>
            <w:r>
              <w:rPr>
                <w:rFonts w:hint="default" w:ascii="Times New Roman" w:hAnsi="Times New Roman" w:eastAsia="宋体" w:cs="Times New Roman"/>
                <w:color w:val="auto"/>
                <w:spacing w:val="-3"/>
                <w:sz w:val="24"/>
                <w:szCs w:val="24"/>
                <w:u w:val="none" w:color="auto"/>
              </w:rPr>
              <w:t>于</w:t>
            </w:r>
            <w:r>
              <w:rPr>
                <w:rFonts w:hint="default" w:ascii="Times New Roman" w:hAnsi="Times New Roman" w:eastAsia="宋体" w:cs="Times New Roman"/>
                <w:color w:val="auto"/>
                <w:sz w:val="24"/>
                <w:szCs w:val="24"/>
                <w:u w:val="none" w:color="auto"/>
              </w:rPr>
              <w:t>“</w:t>
            </w:r>
            <w:r>
              <w:rPr>
                <w:rFonts w:hint="default" w:ascii="Times New Roman" w:hAnsi="Times New Roman" w:eastAsia="Times New Roman" w:cs="Times New Roman"/>
                <w:color w:val="auto"/>
                <w:sz w:val="24"/>
                <w:szCs w:val="24"/>
                <w:u w:val="none" w:color="auto"/>
              </w:rPr>
              <w:t>V</w:t>
            </w:r>
            <w:r>
              <w:rPr>
                <w:rFonts w:hint="default" w:ascii="Times New Roman" w:hAnsi="Times New Roman" w:eastAsia="宋体" w:cs="Times New Roman"/>
                <w:color w:val="auto"/>
                <w:sz w:val="24"/>
                <w:szCs w:val="24"/>
                <w:u w:val="none" w:color="auto"/>
              </w:rPr>
              <w:t>社会事业与服务业</w:t>
            </w:r>
            <w:r>
              <w:rPr>
                <w:rFonts w:hint="default" w:ascii="Times New Roman" w:hAnsi="Times New Roman" w:eastAsia="宋体" w:cs="Times New Roman"/>
                <w:color w:val="auto"/>
                <w:spacing w:val="-3"/>
                <w:sz w:val="24"/>
                <w:szCs w:val="24"/>
                <w:u w:val="none" w:color="auto"/>
              </w:rPr>
              <w:t>，</w:t>
            </w:r>
            <w:r>
              <w:rPr>
                <w:rFonts w:hint="default" w:ascii="Times New Roman" w:hAnsi="Times New Roman" w:eastAsia="Times New Roman" w:cs="Times New Roman"/>
                <w:color w:val="auto"/>
                <w:sz w:val="24"/>
                <w:szCs w:val="24"/>
                <w:u w:val="none" w:color="auto"/>
              </w:rPr>
              <w:t>161</w:t>
            </w:r>
            <w:r>
              <w:rPr>
                <w:rFonts w:hint="default" w:ascii="Times New Roman" w:hAnsi="Times New Roman" w:eastAsia="宋体" w:cs="Times New Roman"/>
                <w:color w:val="auto"/>
                <w:spacing w:val="-3"/>
                <w:sz w:val="24"/>
                <w:szCs w:val="24"/>
                <w:u w:val="none" w:color="auto"/>
              </w:rPr>
              <w:t>、</w:t>
            </w:r>
            <w:r>
              <w:rPr>
                <w:rFonts w:hint="default" w:ascii="Times New Roman" w:hAnsi="Times New Roman" w:eastAsia="宋体" w:cs="Times New Roman"/>
                <w:color w:val="auto"/>
                <w:sz w:val="24"/>
                <w:szCs w:val="24"/>
                <w:u w:val="none" w:color="auto"/>
              </w:rPr>
              <w:t>卫生</w:t>
            </w:r>
            <w:r>
              <w:rPr>
                <w:rFonts w:hint="default" w:ascii="Times New Roman" w:hAnsi="Times New Roman" w:eastAsia="宋体" w:cs="Times New Roman"/>
                <w:color w:val="auto"/>
                <w:spacing w:val="-3"/>
                <w:sz w:val="24"/>
                <w:szCs w:val="24"/>
                <w:u w:val="none" w:color="auto"/>
              </w:rPr>
              <w:t>院</w:t>
            </w:r>
            <w:r>
              <w:rPr>
                <w:rFonts w:hint="default" w:ascii="Times New Roman" w:hAnsi="Times New Roman" w:eastAsia="宋体" w:cs="Times New Roman"/>
                <w:color w:val="auto"/>
                <w:sz w:val="24"/>
                <w:szCs w:val="24"/>
                <w:u w:val="none" w:color="auto"/>
              </w:rPr>
              <w:t>（所站）”，</w:t>
            </w:r>
            <w:r>
              <w:rPr>
                <w:rFonts w:hint="default" w:ascii="Times New Roman" w:hAnsi="Times New Roman" w:eastAsia="宋体" w:cs="Times New Roman"/>
                <w:color w:val="auto"/>
                <w:spacing w:val="2"/>
                <w:sz w:val="24"/>
                <w:szCs w:val="24"/>
                <w:u w:val="none" w:color="auto"/>
              </w:rPr>
              <w:t>地</w:t>
            </w:r>
            <w:r>
              <w:rPr>
                <w:rFonts w:hint="default" w:ascii="Times New Roman" w:hAnsi="Times New Roman" w:eastAsia="宋体" w:cs="Times New Roman"/>
                <w:color w:val="auto"/>
                <w:sz w:val="24"/>
                <w:szCs w:val="24"/>
                <w:u w:val="none" w:color="auto"/>
              </w:rPr>
              <w:t>下水</w:t>
            </w:r>
            <w:r>
              <w:rPr>
                <w:rFonts w:hint="default" w:ascii="Times New Roman" w:hAnsi="Times New Roman" w:eastAsia="宋体" w:cs="Times New Roman"/>
                <w:color w:val="auto"/>
                <w:spacing w:val="2"/>
                <w:sz w:val="24"/>
                <w:szCs w:val="24"/>
                <w:u w:val="none" w:color="auto"/>
              </w:rPr>
              <w:t>环</w:t>
            </w:r>
            <w:r>
              <w:rPr>
                <w:rFonts w:hint="default" w:ascii="Times New Roman" w:hAnsi="Times New Roman" w:eastAsia="宋体" w:cs="Times New Roman"/>
                <w:color w:val="auto"/>
                <w:sz w:val="24"/>
                <w:szCs w:val="24"/>
                <w:u w:val="none" w:color="auto"/>
              </w:rPr>
              <w:t>境影</w:t>
            </w:r>
            <w:r>
              <w:rPr>
                <w:rFonts w:hint="default" w:ascii="Times New Roman" w:hAnsi="Times New Roman" w:eastAsia="宋体" w:cs="Times New Roman"/>
                <w:color w:val="auto"/>
                <w:spacing w:val="2"/>
                <w:sz w:val="24"/>
                <w:szCs w:val="24"/>
                <w:u w:val="none" w:color="auto"/>
              </w:rPr>
              <w:t>响</w:t>
            </w:r>
            <w:r>
              <w:rPr>
                <w:rFonts w:hint="default" w:ascii="Times New Roman" w:hAnsi="Times New Roman" w:eastAsia="宋体" w:cs="Times New Roman"/>
                <w:color w:val="auto"/>
                <w:sz w:val="24"/>
                <w:szCs w:val="24"/>
                <w:u w:val="none" w:color="auto"/>
              </w:rPr>
              <w:t>评价</w:t>
            </w:r>
            <w:r>
              <w:rPr>
                <w:rFonts w:hint="default" w:ascii="Times New Roman" w:hAnsi="Times New Roman" w:eastAsia="宋体" w:cs="Times New Roman"/>
                <w:color w:val="auto"/>
                <w:spacing w:val="2"/>
                <w:sz w:val="24"/>
                <w:szCs w:val="24"/>
                <w:u w:val="none" w:color="auto"/>
              </w:rPr>
              <w:t>项</w:t>
            </w:r>
            <w:r>
              <w:rPr>
                <w:rFonts w:hint="default" w:ascii="Times New Roman" w:hAnsi="Times New Roman" w:eastAsia="宋体" w:cs="Times New Roman"/>
                <w:color w:val="auto"/>
                <w:sz w:val="24"/>
                <w:szCs w:val="24"/>
                <w:u w:val="none" w:color="auto"/>
              </w:rPr>
              <w:t>目类</w:t>
            </w:r>
            <w:r>
              <w:rPr>
                <w:rFonts w:hint="default" w:ascii="Times New Roman" w:hAnsi="Times New Roman" w:eastAsia="宋体" w:cs="Times New Roman"/>
                <w:color w:val="auto"/>
                <w:spacing w:val="2"/>
                <w:sz w:val="24"/>
                <w:szCs w:val="24"/>
                <w:u w:val="none" w:color="auto"/>
              </w:rPr>
              <w:t>别</w:t>
            </w:r>
            <w:r>
              <w:rPr>
                <w:rFonts w:hint="default" w:ascii="Times New Roman" w:hAnsi="Times New Roman" w:eastAsia="宋体" w:cs="Times New Roman"/>
                <w:color w:val="auto"/>
                <w:sz w:val="24"/>
                <w:szCs w:val="24"/>
                <w:u w:val="none" w:color="auto"/>
              </w:rPr>
              <w:t>为</w:t>
            </w:r>
            <w:r>
              <w:rPr>
                <w:rFonts w:hint="eastAsia" w:cs="Times New Roman"/>
                <w:color w:val="auto"/>
                <w:sz w:val="24"/>
                <w:szCs w:val="24"/>
                <w:u w:val="none" w:color="auto"/>
                <w:lang w:eastAsia="zh-CN"/>
              </w:rPr>
              <w:t>Ⅳ类</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宋体" w:cs="Times New Roman"/>
                <w:color w:val="auto"/>
                <w:sz w:val="24"/>
                <w:szCs w:val="24"/>
                <w:u w:val="none" w:color="auto"/>
              </w:rPr>
              <w:t>因此</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宋体" w:cs="Times New Roman"/>
                <w:color w:val="auto"/>
                <w:sz w:val="24"/>
                <w:szCs w:val="24"/>
                <w:u w:val="none" w:color="auto"/>
              </w:rPr>
              <w:t>本项</w:t>
            </w:r>
            <w:r>
              <w:rPr>
                <w:rFonts w:hint="default" w:ascii="Times New Roman" w:hAnsi="Times New Roman" w:eastAsia="宋体" w:cs="Times New Roman"/>
                <w:color w:val="auto"/>
                <w:spacing w:val="2"/>
                <w:sz w:val="24"/>
                <w:szCs w:val="24"/>
                <w:u w:val="none" w:color="auto"/>
              </w:rPr>
              <w:t>目</w:t>
            </w:r>
            <w:r>
              <w:rPr>
                <w:rFonts w:hint="default" w:ascii="Times New Roman" w:hAnsi="Times New Roman" w:eastAsia="宋体" w:cs="Times New Roman"/>
                <w:color w:val="auto"/>
                <w:sz w:val="24"/>
                <w:szCs w:val="24"/>
                <w:u w:val="none" w:color="auto"/>
              </w:rPr>
              <w:t>可不</w:t>
            </w:r>
            <w:r>
              <w:rPr>
                <w:rFonts w:hint="default" w:ascii="Times New Roman" w:hAnsi="Times New Roman" w:eastAsia="宋体" w:cs="Times New Roman"/>
                <w:color w:val="auto"/>
                <w:spacing w:val="2"/>
                <w:sz w:val="24"/>
                <w:szCs w:val="24"/>
                <w:u w:val="none" w:color="auto"/>
              </w:rPr>
              <w:t>开</w:t>
            </w:r>
            <w:r>
              <w:rPr>
                <w:rFonts w:hint="default" w:ascii="Times New Roman" w:hAnsi="Times New Roman" w:eastAsia="宋体" w:cs="Times New Roman"/>
                <w:color w:val="auto"/>
                <w:sz w:val="24"/>
                <w:szCs w:val="24"/>
                <w:u w:val="none" w:color="auto"/>
              </w:rPr>
              <w:t>展地</w:t>
            </w:r>
            <w:r>
              <w:rPr>
                <w:rFonts w:hint="default" w:ascii="Times New Roman" w:hAnsi="Times New Roman" w:eastAsia="宋体" w:cs="Times New Roman"/>
                <w:color w:val="auto"/>
                <w:spacing w:val="2"/>
                <w:sz w:val="24"/>
                <w:szCs w:val="24"/>
                <w:u w:val="none" w:color="auto"/>
              </w:rPr>
              <w:t>下</w:t>
            </w:r>
            <w:r>
              <w:rPr>
                <w:rFonts w:hint="default" w:ascii="Times New Roman" w:hAnsi="Times New Roman" w:eastAsia="宋体" w:cs="Times New Roman"/>
                <w:color w:val="auto"/>
                <w:sz w:val="24"/>
                <w:szCs w:val="24"/>
                <w:u w:val="none" w:color="auto"/>
              </w:rPr>
              <w:t>水环境影响评价工作，不对地下水进行现状调查。</w:t>
            </w:r>
          </w:p>
          <w:p>
            <w:pPr>
              <w:pStyle w:val="43"/>
              <w:keepNext w:val="0"/>
              <w:keepLines w:val="0"/>
              <w:pageBreakBefore w:val="0"/>
              <w:widowControl w:val="0"/>
              <w:kinsoku/>
              <w:wordWrap/>
              <w:overflowPunct/>
              <w:topLinePunct w:val="0"/>
              <w:bidi w:val="0"/>
              <w:spacing w:line="360" w:lineRule="auto"/>
              <w:ind w:left="104" w:right="57" w:firstLine="48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w:t>
            </w:r>
            <w:r>
              <w:rPr>
                <w:rFonts w:hint="default" w:ascii="Times New Roman" w:hAnsi="Times New Roman" w:eastAsia="宋体" w:cs="Times New Roman"/>
                <w:color w:val="auto"/>
                <w:spacing w:val="2"/>
                <w:sz w:val="24"/>
                <w:szCs w:val="24"/>
                <w:u w:val="none" w:color="auto"/>
              </w:rPr>
              <w:t>据</w:t>
            </w:r>
            <w:r>
              <w:rPr>
                <w:rFonts w:hint="default" w:ascii="Times New Roman" w:hAnsi="Times New Roman" w:eastAsia="宋体" w:cs="Times New Roman"/>
                <w:color w:val="auto"/>
                <w:sz w:val="24"/>
                <w:szCs w:val="24"/>
                <w:u w:val="none" w:color="auto"/>
              </w:rPr>
              <w:t>《环境</w:t>
            </w:r>
            <w:r>
              <w:rPr>
                <w:rFonts w:hint="default" w:ascii="Times New Roman" w:hAnsi="Times New Roman" w:eastAsia="宋体" w:cs="Times New Roman"/>
                <w:color w:val="auto"/>
                <w:spacing w:val="2"/>
                <w:sz w:val="24"/>
                <w:szCs w:val="24"/>
                <w:u w:val="none" w:color="auto"/>
              </w:rPr>
              <w:t>影</w:t>
            </w:r>
            <w:r>
              <w:rPr>
                <w:rFonts w:hint="default" w:ascii="Times New Roman" w:hAnsi="Times New Roman" w:eastAsia="宋体" w:cs="Times New Roman"/>
                <w:color w:val="auto"/>
                <w:sz w:val="24"/>
                <w:szCs w:val="24"/>
                <w:u w:val="none" w:color="auto"/>
              </w:rPr>
              <w:t>响评价</w:t>
            </w:r>
            <w:r>
              <w:rPr>
                <w:rFonts w:hint="default" w:ascii="Times New Roman" w:hAnsi="Times New Roman" w:eastAsia="宋体" w:cs="Times New Roman"/>
                <w:color w:val="auto"/>
                <w:spacing w:val="2"/>
                <w:sz w:val="24"/>
                <w:szCs w:val="24"/>
                <w:u w:val="none" w:color="auto"/>
              </w:rPr>
              <w:t>技</w:t>
            </w:r>
            <w:r>
              <w:rPr>
                <w:rFonts w:hint="default" w:ascii="Times New Roman" w:hAnsi="Times New Roman" w:eastAsia="宋体" w:cs="Times New Roman"/>
                <w:color w:val="auto"/>
                <w:sz w:val="24"/>
                <w:szCs w:val="24"/>
                <w:u w:val="none" w:color="auto"/>
              </w:rPr>
              <w:t>术导则</w:t>
            </w:r>
            <w:r>
              <w:rPr>
                <w:rFonts w:hint="eastAsia"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pacing w:val="2"/>
                <w:sz w:val="24"/>
                <w:szCs w:val="24"/>
                <w:u w:val="none" w:color="auto"/>
              </w:rPr>
              <w:t>土</w:t>
            </w:r>
            <w:r>
              <w:rPr>
                <w:rFonts w:hint="default" w:ascii="Times New Roman" w:hAnsi="Times New Roman" w:eastAsia="宋体" w:cs="Times New Roman"/>
                <w:color w:val="auto"/>
                <w:sz w:val="24"/>
                <w:szCs w:val="24"/>
                <w:u w:val="none" w:color="auto"/>
              </w:rPr>
              <w:t>壤环境</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宋体" w:cs="Times New Roman"/>
                <w:color w:val="auto"/>
                <w:sz w:val="24"/>
                <w:szCs w:val="24"/>
                <w:u w:val="none" w:color="auto"/>
              </w:rPr>
              <w:t>（试行</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宋体" w:cs="Times New Roman"/>
                <w:color w:val="auto"/>
                <w:spacing w:val="-3"/>
                <w:sz w:val="24"/>
                <w:szCs w:val="24"/>
                <w:u w:val="none" w:color="auto"/>
              </w:rPr>
              <w:t>（</w:t>
            </w:r>
            <w:r>
              <w:rPr>
                <w:rFonts w:hint="default" w:ascii="Times New Roman" w:hAnsi="Times New Roman" w:eastAsia="Times New Roman" w:cs="Times New Roman"/>
                <w:color w:val="auto"/>
                <w:spacing w:val="-1"/>
                <w:sz w:val="24"/>
                <w:szCs w:val="24"/>
                <w:u w:val="none" w:color="auto"/>
              </w:rPr>
              <w:t>H</w:t>
            </w:r>
            <w:r>
              <w:rPr>
                <w:rFonts w:hint="default" w:ascii="Times New Roman" w:hAnsi="Times New Roman" w:eastAsia="Times New Roman" w:cs="Times New Roman"/>
                <w:color w:val="auto"/>
                <w:spacing w:val="2"/>
                <w:sz w:val="24"/>
                <w:szCs w:val="24"/>
                <w:u w:val="none" w:color="auto"/>
              </w:rPr>
              <w:t>J</w:t>
            </w:r>
            <w:r>
              <w:rPr>
                <w:rFonts w:hint="default" w:ascii="Times New Roman" w:hAnsi="Times New Roman" w:eastAsia="Times New Roman" w:cs="Times New Roman"/>
                <w:color w:val="auto"/>
                <w:sz w:val="24"/>
                <w:szCs w:val="24"/>
                <w:u w:val="none" w:color="auto"/>
              </w:rPr>
              <w:t>96</w:t>
            </w:r>
            <w:r>
              <w:rPr>
                <w:rFonts w:hint="default" w:ascii="Times New Roman" w:hAnsi="Times New Roman" w:eastAsia="Times New Roman" w:cs="Times New Roman"/>
                <w:color w:val="auto"/>
                <w:spacing w:val="-3"/>
                <w:sz w:val="24"/>
                <w:szCs w:val="24"/>
                <w:u w:val="none" w:color="auto"/>
              </w:rPr>
              <w:t>4</w:t>
            </w:r>
            <w:r>
              <w:rPr>
                <w:rFonts w:hint="default" w:ascii="Times New Roman" w:hAnsi="Times New Roman" w:eastAsia="宋体" w:cs="Times New Roman"/>
                <w:color w:val="auto"/>
                <w:sz w:val="24"/>
                <w:szCs w:val="24"/>
                <w:u w:val="none" w:color="auto"/>
              </w:rPr>
              <w:t>-</w:t>
            </w:r>
            <w:r>
              <w:rPr>
                <w:rFonts w:hint="default" w:ascii="Times New Roman" w:hAnsi="Times New Roman" w:eastAsia="Times New Roman" w:cs="Times New Roman"/>
                <w:color w:val="auto"/>
                <w:sz w:val="24"/>
                <w:szCs w:val="24"/>
                <w:u w:val="none" w:color="auto"/>
              </w:rPr>
              <w:t>201</w:t>
            </w:r>
            <w:r>
              <w:rPr>
                <w:rFonts w:hint="default" w:ascii="Times New Roman" w:hAnsi="Times New Roman" w:eastAsia="Times New Roman" w:cs="Times New Roman"/>
                <w:color w:val="auto"/>
                <w:spacing w:val="2"/>
                <w:sz w:val="24"/>
                <w:szCs w:val="24"/>
                <w:u w:val="none" w:color="auto"/>
              </w:rPr>
              <w:t>8</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2"/>
                <w:sz w:val="24"/>
                <w:szCs w:val="24"/>
                <w:u w:val="none" w:color="auto"/>
              </w:rPr>
              <w:t>中</w:t>
            </w:r>
            <w:r>
              <w:rPr>
                <w:rFonts w:hint="default" w:ascii="Times New Roman" w:hAnsi="Times New Roman" w:eastAsia="宋体" w:cs="Times New Roman"/>
                <w:color w:val="auto"/>
                <w:sz w:val="24"/>
                <w:szCs w:val="24"/>
                <w:u w:val="none" w:color="auto"/>
              </w:rPr>
              <w:t>附录</w:t>
            </w:r>
            <w:r>
              <w:rPr>
                <w:rFonts w:hint="default" w:ascii="Times New Roman" w:hAnsi="Times New Roman" w:eastAsia="Times New Roman" w:cs="Times New Roman"/>
                <w:color w:val="auto"/>
                <w:spacing w:val="-1"/>
                <w:sz w:val="24"/>
                <w:szCs w:val="24"/>
                <w:u w:val="none" w:color="auto"/>
              </w:rPr>
              <w:t>A</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2"/>
                <w:sz w:val="24"/>
                <w:szCs w:val="24"/>
                <w:u w:val="none" w:color="auto"/>
              </w:rPr>
              <w:t>本项目行业</w:t>
            </w:r>
            <w:r>
              <w:rPr>
                <w:rFonts w:hint="default" w:ascii="Times New Roman" w:hAnsi="Times New Roman" w:eastAsia="宋体" w:cs="Times New Roman"/>
                <w:color w:val="auto"/>
                <w:spacing w:val="4"/>
                <w:sz w:val="24"/>
                <w:szCs w:val="24"/>
                <w:u w:val="none" w:color="auto"/>
              </w:rPr>
              <w:t>类</w:t>
            </w:r>
            <w:r>
              <w:rPr>
                <w:rFonts w:hint="default" w:ascii="Times New Roman" w:hAnsi="Times New Roman" w:eastAsia="宋体" w:cs="Times New Roman"/>
                <w:color w:val="auto"/>
                <w:spacing w:val="2"/>
                <w:sz w:val="24"/>
                <w:szCs w:val="24"/>
                <w:u w:val="none" w:color="auto"/>
              </w:rPr>
              <w:t>别属</w:t>
            </w:r>
            <w:r>
              <w:rPr>
                <w:rFonts w:hint="default" w:ascii="Times New Roman" w:hAnsi="Times New Roman" w:eastAsia="宋体" w:cs="Times New Roman"/>
                <w:color w:val="auto"/>
                <w:sz w:val="24"/>
                <w:szCs w:val="24"/>
                <w:u w:val="none" w:color="auto"/>
              </w:rPr>
              <w:t>于</w:t>
            </w:r>
            <w:r>
              <w:rPr>
                <w:rFonts w:hint="default" w:ascii="Times New Roman" w:hAnsi="Times New Roman" w:eastAsia="宋体" w:cs="Times New Roman"/>
                <w:color w:val="auto"/>
                <w:spacing w:val="2"/>
                <w:sz w:val="24"/>
                <w:szCs w:val="24"/>
                <w:u w:val="none" w:color="auto"/>
              </w:rPr>
              <w:t>“社会事业与</w:t>
            </w:r>
            <w:r>
              <w:rPr>
                <w:rFonts w:hint="default" w:ascii="Times New Roman" w:hAnsi="Times New Roman" w:eastAsia="宋体" w:cs="Times New Roman"/>
                <w:color w:val="auto"/>
                <w:spacing w:val="4"/>
                <w:sz w:val="24"/>
                <w:szCs w:val="24"/>
                <w:u w:val="none" w:color="auto"/>
              </w:rPr>
              <w:t>服</w:t>
            </w:r>
            <w:r>
              <w:rPr>
                <w:rFonts w:hint="default" w:ascii="Times New Roman" w:hAnsi="Times New Roman" w:eastAsia="宋体" w:cs="Times New Roman"/>
                <w:color w:val="auto"/>
                <w:spacing w:val="2"/>
                <w:sz w:val="24"/>
                <w:szCs w:val="24"/>
                <w:u w:val="none" w:color="auto"/>
              </w:rPr>
              <w:t>务业，其他”项目类别属</w:t>
            </w:r>
            <w:r>
              <w:rPr>
                <w:rFonts w:hint="default" w:ascii="Times New Roman" w:hAnsi="Times New Roman" w:eastAsia="宋体" w:cs="Times New Roman"/>
                <w:color w:val="auto"/>
                <w:sz w:val="24"/>
                <w:szCs w:val="24"/>
                <w:u w:val="none" w:color="auto"/>
              </w:rPr>
              <w:t>于</w:t>
            </w:r>
            <w:r>
              <w:rPr>
                <w:rFonts w:hint="eastAsia" w:cs="Times New Roman"/>
                <w:color w:val="auto"/>
                <w:sz w:val="24"/>
                <w:szCs w:val="24"/>
                <w:u w:val="none" w:color="auto"/>
                <w:lang w:eastAsia="zh-CN"/>
              </w:rPr>
              <w:t>Ⅳ类</w:t>
            </w:r>
            <w:r>
              <w:rPr>
                <w:rFonts w:hint="default" w:ascii="Times New Roman" w:hAnsi="Times New Roman" w:eastAsia="宋体" w:cs="Times New Roman"/>
                <w:color w:val="auto"/>
                <w:spacing w:val="2"/>
                <w:sz w:val="24"/>
                <w:szCs w:val="24"/>
                <w:u w:val="none" w:color="auto"/>
              </w:rPr>
              <w:t>，根据污</w:t>
            </w:r>
            <w:r>
              <w:rPr>
                <w:rFonts w:hint="default" w:ascii="Times New Roman" w:hAnsi="Times New Roman" w:eastAsia="宋体" w:cs="Times New Roman"/>
                <w:color w:val="auto"/>
                <w:sz w:val="24"/>
                <w:szCs w:val="24"/>
                <w:u w:val="none" w:color="auto"/>
              </w:rPr>
              <w:t>染影响型评价工作等级划分表</w:t>
            </w:r>
            <w:r>
              <w:rPr>
                <w:rFonts w:hint="default" w:ascii="Times New Roman" w:hAnsi="Times New Roman" w:eastAsia="宋体" w:cs="Times New Roman"/>
                <w:color w:val="auto"/>
                <w:spacing w:val="-113"/>
                <w:sz w:val="24"/>
                <w:szCs w:val="24"/>
                <w:u w:val="none" w:color="auto"/>
              </w:rPr>
              <w:t>，</w:t>
            </w:r>
            <w:r>
              <w:rPr>
                <w:rFonts w:hint="default" w:ascii="Times New Roman" w:hAnsi="Times New Roman" w:eastAsia="宋体" w:cs="Times New Roman"/>
                <w:color w:val="auto"/>
                <w:sz w:val="24"/>
                <w:szCs w:val="24"/>
                <w:u w:val="none" w:color="auto"/>
              </w:rPr>
              <w:t>敏感程度属于敏感</w:t>
            </w:r>
            <w:r>
              <w:rPr>
                <w:rFonts w:hint="default" w:ascii="Times New Roman" w:hAnsi="Times New Roman" w:eastAsia="宋体" w:cs="Times New Roman"/>
                <w:color w:val="auto"/>
                <w:spacing w:val="-111"/>
                <w:sz w:val="24"/>
                <w:szCs w:val="24"/>
                <w:u w:val="none" w:color="auto"/>
              </w:rPr>
              <w:t>，</w:t>
            </w:r>
            <w:r>
              <w:rPr>
                <w:rFonts w:hint="default" w:ascii="Times New Roman" w:hAnsi="Times New Roman" w:eastAsia="宋体" w:cs="Times New Roman"/>
                <w:color w:val="auto"/>
                <w:sz w:val="24"/>
                <w:szCs w:val="24"/>
                <w:u w:val="none" w:color="auto"/>
              </w:rPr>
              <w:t>建设项目占地规模为小型</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Times New Roman" w:cs="Times New Roman"/>
                <w:color w:val="auto"/>
                <w:sz w:val="24"/>
                <w:szCs w:val="24"/>
                <w:u w:val="none" w:color="auto"/>
              </w:rPr>
              <w:t>5h</w:t>
            </w:r>
            <w:r>
              <w:rPr>
                <w:rFonts w:hint="default" w:ascii="Times New Roman" w:hAnsi="Times New Roman" w:eastAsia="Times New Roman" w:cs="Times New Roman"/>
                <w:color w:val="auto"/>
                <w:w w:val="99"/>
                <w:sz w:val="24"/>
                <w:szCs w:val="24"/>
                <w:u w:val="none" w:color="auto"/>
              </w:rPr>
              <w:t>m²</w:t>
            </w:r>
            <w:r>
              <w:rPr>
                <w:rFonts w:hint="eastAsia" w:ascii="Times New Roman" w:hAnsi="Times New Roman" w:eastAsia="宋体" w:cs="Times New Roman"/>
                <w:color w:val="auto"/>
                <w:w w:val="99"/>
                <w:sz w:val="24"/>
                <w:szCs w:val="24"/>
                <w:u w:val="none" w:color="auto"/>
                <w:lang w:eastAsia="zh-CN"/>
              </w:rPr>
              <w:t>，</w:t>
            </w:r>
            <w:r>
              <w:rPr>
                <w:rFonts w:hint="default" w:ascii="Times New Roman" w:hAnsi="Times New Roman" w:eastAsia="宋体" w:cs="Times New Roman"/>
                <w:color w:val="auto"/>
                <w:sz w:val="24"/>
                <w:szCs w:val="24"/>
                <w:u w:val="none" w:color="auto"/>
              </w:rPr>
              <w:t>因此可不开展土壤环境影响评价工作，不需要对土壤环境进行现状调查。</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3.5生态环境现状</w:t>
            </w:r>
          </w:p>
          <w:p>
            <w:pPr>
              <w:pStyle w:val="43"/>
              <w:keepNext w:val="0"/>
              <w:keepLines w:val="0"/>
              <w:pageBreakBefore w:val="0"/>
              <w:widowControl w:val="0"/>
              <w:kinsoku/>
              <w:wordWrap/>
              <w:overflowPunct/>
              <w:topLinePunct w:val="0"/>
              <w:bidi w:val="0"/>
              <w:spacing w:line="360" w:lineRule="auto"/>
              <w:ind w:left="104" w:right="55" w:firstLine="48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w:t>
            </w:r>
            <w:r>
              <w:rPr>
                <w:rFonts w:hint="default" w:ascii="Times New Roman" w:hAnsi="Times New Roman" w:eastAsia="宋体" w:cs="Times New Roman"/>
                <w:color w:val="auto"/>
                <w:spacing w:val="2"/>
                <w:sz w:val="24"/>
                <w:szCs w:val="24"/>
                <w:u w:val="none" w:color="auto"/>
              </w:rPr>
              <w:t>据</w:t>
            </w:r>
            <w:r>
              <w:rPr>
                <w:rFonts w:hint="default" w:ascii="Times New Roman" w:hAnsi="Times New Roman" w:eastAsia="宋体" w:cs="Times New Roman"/>
                <w:color w:val="auto"/>
                <w:sz w:val="24"/>
                <w:szCs w:val="24"/>
                <w:u w:val="none" w:color="auto"/>
              </w:rPr>
              <w:t>现</w:t>
            </w:r>
            <w:r>
              <w:rPr>
                <w:rFonts w:hint="default" w:ascii="Times New Roman" w:hAnsi="Times New Roman" w:eastAsia="宋体" w:cs="Times New Roman"/>
                <w:color w:val="auto"/>
                <w:spacing w:val="2"/>
                <w:sz w:val="24"/>
                <w:szCs w:val="24"/>
                <w:u w:val="none" w:color="auto"/>
              </w:rPr>
              <w:t>场</w:t>
            </w:r>
            <w:r>
              <w:rPr>
                <w:rFonts w:hint="default" w:ascii="Times New Roman" w:hAnsi="Times New Roman" w:eastAsia="宋体" w:cs="Times New Roman"/>
                <w:color w:val="auto"/>
                <w:sz w:val="24"/>
                <w:szCs w:val="24"/>
                <w:u w:val="none" w:color="auto"/>
              </w:rPr>
              <w:t>调</w:t>
            </w:r>
            <w:r>
              <w:rPr>
                <w:rFonts w:hint="default" w:ascii="Times New Roman" w:hAnsi="Times New Roman" w:eastAsia="宋体" w:cs="Times New Roman"/>
                <w:color w:val="auto"/>
                <w:spacing w:val="2"/>
                <w:sz w:val="24"/>
                <w:szCs w:val="24"/>
                <w:u w:val="none" w:color="auto"/>
              </w:rPr>
              <w:t>查</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2"/>
                <w:sz w:val="24"/>
                <w:szCs w:val="24"/>
                <w:u w:val="none" w:color="auto"/>
              </w:rPr>
              <w:t>本</w:t>
            </w:r>
            <w:r>
              <w:rPr>
                <w:rFonts w:hint="default" w:ascii="Times New Roman" w:hAnsi="Times New Roman" w:eastAsia="宋体" w:cs="Times New Roman"/>
                <w:color w:val="auto"/>
                <w:sz w:val="24"/>
                <w:szCs w:val="24"/>
                <w:u w:val="none" w:color="auto"/>
              </w:rPr>
              <w:t>项</w:t>
            </w:r>
            <w:r>
              <w:rPr>
                <w:rFonts w:hint="default" w:ascii="Times New Roman" w:hAnsi="Times New Roman" w:eastAsia="宋体" w:cs="Times New Roman"/>
                <w:color w:val="auto"/>
                <w:spacing w:val="2"/>
                <w:sz w:val="24"/>
                <w:szCs w:val="24"/>
                <w:u w:val="none" w:color="auto"/>
              </w:rPr>
              <w:t>目</w:t>
            </w:r>
            <w:r>
              <w:rPr>
                <w:rFonts w:hint="default" w:ascii="Times New Roman" w:hAnsi="Times New Roman" w:eastAsia="宋体" w:cs="Times New Roman"/>
                <w:color w:val="auto"/>
                <w:sz w:val="24"/>
                <w:szCs w:val="24"/>
                <w:u w:val="none" w:color="auto"/>
              </w:rPr>
              <w:t>在</w:t>
            </w:r>
            <w:r>
              <w:rPr>
                <w:rFonts w:hint="eastAsia" w:ascii="Times New Roman" w:hAnsi="Times New Roman" w:eastAsia="宋体" w:cs="Times New Roman"/>
                <w:color w:val="auto"/>
                <w:spacing w:val="2"/>
                <w:sz w:val="24"/>
                <w:szCs w:val="24"/>
                <w:u w:val="none" w:color="auto"/>
                <w:lang w:val="en-US" w:eastAsia="zh-CN"/>
              </w:rPr>
              <w:t>原有建设用地范围</w:t>
            </w:r>
            <w:r>
              <w:rPr>
                <w:rFonts w:hint="default" w:ascii="Times New Roman" w:hAnsi="Times New Roman" w:eastAsia="宋体" w:cs="Times New Roman"/>
                <w:color w:val="auto"/>
                <w:sz w:val="24"/>
                <w:szCs w:val="24"/>
                <w:u w:val="none" w:color="auto"/>
              </w:rPr>
              <w:t>建</w:t>
            </w:r>
            <w:r>
              <w:rPr>
                <w:rFonts w:hint="default" w:ascii="Times New Roman" w:hAnsi="Times New Roman" w:eastAsia="宋体" w:cs="Times New Roman"/>
                <w:color w:val="auto"/>
                <w:spacing w:val="2"/>
                <w:sz w:val="24"/>
                <w:szCs w:val="24"/>
                <w:u w:val="none" w:color="auto"/>
              </w:rPr>
              <w:t>设</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pacing w:val="2"/>
                <w:sz w:val="24"/>
                <w:szCs w:val="24"/>
                <w:u w:val="none" w:color="auto"/>
                <w:lang w:val="en-US" w:eastAsia="zh-CN"/>
              </w:rPr>
              <w:t>用地</w:t>
            </w:r>
            <w:r>
              <w:rPr>
                <w:rFonts w:hint="default" w:ascii="Times New Roman" w:hAnsi="Times New Roman" w:eastAsia="宋体" w:cs="Times New Roman"/>
                <w:color w:val="auto"/>
                <w:spacing w:val="2"/>
                <w:sz w:val="24"/>
                <w:szCs w:val="24"/>
                <w:u w:val="none" w:color="auto"/>
              </w:rPr>
              <w:t>范</w:t>
            </w:r>
            <w:r>
              <w:rPr>
                <w:rFonts w:hint="default" w:ascii="Times New Roman" w:hAnsi="Times New Roman" w:eastAsia="宋体" w:cs="Times New Roman"/>
                <w:color w:val="auto"/>
                <w:sz w:val="24"/>
                <w:szCs w:val="24"/>
                <w:u w:val="none" w:color="auto"/>
              </w:rPr>
              <w:t>围内</w:t>
            </w:r>
            <w:r>
              <w:rPr>
                <w:rFonts w:hint="default" w:ascii="Times New Roman" w:hAnsi="Times New Roman" w:eastAsia="宋体" w:cs="Times New Roman"/>
                <w:color w:val="auto"/>
                <w:spacing w:val="2"/>
                <w:sz w:val="24"/>
                <w:szCs w:val="24"/>
                <w:u w:val="none" w:color="auto"/>
              </w:rPr>
              <w:t>未</w:t>
            </w:r>
            <w:r>
              <w:rPr>
                <w:rFonts w:hint="default" w:ascii="Times New Roman" w:hAnsi="Times New Roman" w:eastAsia="宋体" w:cs="Times New Roman"/>
                <w:color w:val="auto"/>
                <w:sz w:val="24"/>
                <w:szCs w:val="24"/>
                <w:u w:val="none" w:color="auto"/>
              </w:rPr>
              <w:t>发</w:t>
            </w:r>
            <w:r>
              <w:rPr>
                <w:rFonts w:hint="default" w:ascii="Times New Roman" w:hAnsi="Times New Roman" w:eastAsia="宋体" w:cs="Times New Roman"/>
                <w:color w:val="auto"/>
                <w:spacing w:val="2"/>
                <w:sz w:val="24"/>
                <w:szCs w:val="24"/>
                <w:u w:val="none" w:color="auto"/>
              </w:rPr>
              <w:t>现</w:t>
            </w:r>
            <w:r>
              <w:rPr>
                <w:rFonts w:hint="default" w:ascii="Times New Roman" w:hAnsi="Times New Roman" w:eastAsia="宋体" w:cs="Times New Roman"/>
                <w:color w:val="auto"/>
                <w:sz w:val="24"/>
                <w:szCs w:val="24"/>
                <w:u w:val="none" w:color="auto"/>
              </w:rPr>
              <w:t>野</w:t>
            </w:r>
            <w:r>
              <w:rPr>
                <w:rFonts w:hint="default" w:ascii="Times New Roman" w:hAnsi="Times New Roman" w:eastAsia="宋体" w:cs="Times New Roman"/>
                <w:color w:val="auto"/>
                <w:spacing w:val="2"/>
                <w:sz w:val="24"/>
                <w:szCs w:val="24"/>
                <w:u w:val="none" w:color="auto"/>
              </w:rPr>
              <w:t>生</w:t>
            </w:r>
            <w:r>
              <w:rPr>
                <w:rFonts w:hint="default" w:ascii="Times New Roman" w:hAnsi="Times New Roman" w:eastAsia="宋体" w:cs="Times New Roman"/>
                <w:color w:val="auto"/>
                <w:sz w:val="24"/>
                <w:szCs w:val="24"/>
                <w:u w:val="none" w:color="auto"/>
              </w:rPr>
              <w:t>珍</w:t>
            </w:r>
            <w:r>
              <w:rPr>
                <w:rFonts w:hint="default" w:ascii="Times New Roman" w:hAnsi="Times New Roman" w:eastAsia="宋体" w:cs="Times New Roman"/>
                <w:color w:val="auto"/>
                <w:spacing w:val="2"/>
                <w:sz w:val="24"/>
                <w:szCs w:val="24"/>
                <w:u w:val="none" w:color="auto"/>
              </w:rPr>
              <w:t>稀</w:t>
            </w:r>
            <w:r>
              <w:rPr>
                <w:rFonts w:hint="default" w:ascii="Times New Roman" w:hAnsi="Times New Roman" w:eastAsia="宋体" w:cs="Times New Roman"/>
                <w:color w:val="auto"/>
                <w:sz w:val="24"/>
                <w:szCs w:val="24"/>
                <w:u w:val="none" w:color="auto"/>
              </w:rPr>
              <w:t>濒危动物种类，无珍稀濒危植物种类以及古树名木。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环境</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保护目标</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w:t>
            </w:r>
            <w:r>
              <w:rPr>
                <w:rFonts w:hint="eastAsia" w:ascii="Times New Roman" w:hAnsi="Times New Roman" w:eastAsia="宋体" w:cs="Times New Roman"/>
                <w:b/>
                <w:bCs/>
                <w:color w:val="auto"/>
                <w:kern w:val="0"/>
                <w:sz w:val="24"/>
                <w:szCs w:val="24"/>
                <w:u w:val="none" w:color="auto"/>
                <w:lang w:val="en-US" w:eastAsia="zh-CN"/>
              </w:rPr>
              <w:t>6</w:t>
            </w:r>
            <w:r>
              <w:rPr>
                <w:rFonts w:hint="default" w:ascii="Times New Roman" w:hAnsi="Times New Roman" w:eastAsia="宋体" w:cs="Times New Roman"/>
                <w:b/>
                <w:bCs/>
                <w:color w:val="auto"/>
                <w:kern w:val="0"/>
                <w:sz w:val="24"/>
                <w:szCs w:val="24"/>
                <w:u w:val="none" w:color="auto"/>
              </w:rPr>
              <w:t>环境保护目标</w:t>
            </w:r>
          </w:p>
          <w:p>
            <w:pPr>
              <w:pStyle w:val="43"/>
              <w:keepNext w:val="0"/>
              <w:keepLines w:val="0"/>
              <w:pageBreakBefore w:val="0"/>
              <w:widowControl w:val="0"/>
              <w:kinsoku/>
              <w:wordWrap/>
              <w:overflowPunct/>
              <w:topLinePunct w:val="0"/>
              <w:bidi w:val="0"/>
              <w:spacing w:line="360" w:lineRule="auto"/>
              <w:ind w:left="104" w:right="55" w:firstLine="48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w:t>
            </w:r>
            <w:r>
              <w:rPr>
                <w:rFonts w:hint="default" w:ascii="Times New Roman" w:hAnsi="Times New Roman" w:eastAsia="宋体" w:cs="Times New Roman"/>
                <w:color w:val="auto"/>
                <w:spacing w:val="2"/>
                <w:sz w:val="24"/>
                <w:szCs w:val="24"/>
                <w:u w:val="none" w:color="auto"/>
              </w:rPr>
              <w:t>目</w:t>
            </w:r>
            <w:r>
              <w:rPr>
                <w:rFonts w:hint="default" w:ascii="Times New Roman" w:hAnsi="Times New Roman" w:eastAsia="宋体" w:cs="Times New Roman"/>
                <w:color w:val="auto"/>
                <w:sz w:val="24"/>
                <w:szCs w:val="24"/>
                <w:u w:val="none" w:color="auto"/>
              </w:rPr>
              <w:t>位</w:t>
            </w:r>
            <w:r>
              <w:rPr>
                <w:rFonts w:hint="default" w:ascii="Times New Roman" w:hAnsi="Times New Roman" w:eastAsia="宋体" w:cs="Times New Roman"/>
                <w:color w:val="auto"/>
                <w:spacing w:val="2"/>
                <w:sz w:val="24"/>
                <w:szCs w:val="24"/>
                <w:u w:val="none" w:color="auto"/>
              </w:rPr>
              <w:t>于</w:t>
            </w:r>
            <w:r>
              <w:rPr>
                <w:rFonts w:hint="default" w:ascii="Times New Roman" w:hAnsi="Times New Roman" w:eastAsia="宋体" w:cs="Times New Roman"/>
                <w:color w:val="auto"/>
                <w:sz w:val="24"/>
                <w:szCs w:val="24"/>
                <w:u w:val="none" w:color="auto"/>
              </w:rPr>
              <w:t>湖</w:t>
            </w:r>
            <w:r>
              <w:rPr>
                <w:rFonts w:hint="default" w:ascii="Times New Roman" w:hAnsi="Times New Roman" w:eastAsia="宋体" w:cs="Times New Roman"/>
                <w:color w:val="auto"/>
                <w:spacing w:val="2"/>
                <w:sz w:val="24"/>
                <w:szCs w:val="24"/>
                <w:u w:val="none" w:color="auto"/>
              </w:rPr>
              <w:t>南</w:t>
            </w:r>
            <w:r>
              <w:rPr>
                <w:rFonts w:hint="default" w:ascii="Times New Roman" w:hAnsi="Times New Roman" w:eastAsia="宋体" w:cs="Times New Roman"/>
                <w:color w:val="auto"/>
                <w:sz w:val="24"/>
                <w:szCs w:val="24"/>
                <w:u w:val="none" w:color="auto"/>
              </w:rPr>
              <w:t>省</w:t>
            </w:r>
            <w:r>
              <w:rPr>
                <w:rFonts w:hint="default" w:ascii="Times New Roman" w:hAnsi="Times New Roman" w:eastAsia="宋体" w:cs="Times New Roman"/>
                <w:color w:val="auto"/>
                <w:spacing w:val="2"/>
                <w:sz w:val="24"/>
                <w:szCs w:val="24"/>
                <w:u w:val="none" w:color="auto"/>
              </w:rPr>
              <w:t>岳</w:t>
            </w:r>
            <w:r>
              <w:rPr>
                <w:rFonts w:hint="default" w:ascii="Times New Roman" w:hAnsi="Times New Roman" w:eastAsia="宋体" w:cs="Times New Roman"/>
                <w:color w:val="auto"/>
                <w:sz w:val="24"/>
                <w:szCs w:val="24"/>
                <w:u w:val="none" w:color="auto"/>
              </w:rPr>
              <w:t>阳市湘</w:t>
            </w:r>
            <w:r>
              <w:rPr>
                <w:rFonts w:hint="default" w:ascii="Times New Roman" w:hAnsi="Times New Roman" w:eastAsia="宋体" w:cs="Times New Roman"/>
                <w:color w:val="auto"/>
                <w:spacing w:val="2"/>
                <w:sz w:val="24"/>
                <w:szCs w:val="24"/>
                <w:u w:val="none" w:color="auto"/>
              </w:rPr>
              <w:t>阴县</w:t>
            </w:r>
            <w:r>
              <w:rPr>
                <w:rFonts w:hint="eastAsia" w:ascii="Times New Roman" w:hAnsi="Times New Roman" w:eastAsia="宋体" w:cs="Times New Roman"/>
                <w:color w:val="auto"/>
                <w:sz w:val="24"/>
                <w:szCs w:val="24"/>
                <w:u w:val="none" w:color="auto"/>
                <w:lang w:eastAsia="zh-CN"/>
              </w:rPr>
              <w:t>东塘</w:t>
            </w:r>
            <w:r>
              <w:rPr>
                <w:rFonts w:hint="eastAsia" w:ascii="Times New Roman" w:hAnsi="Times New Roman" w:eastAsia="宋体" w:cs="Times New Roman"/>
                <w:color w:val="auto"/>
                <w:sz w:val="24"/>
                <w:szCs w:val="24"/>
                <w:u w:val="none" w:color="auto"/>
                <w:lang w:val="en-US" w:eastAsia="zh-CN"/>
              </w:rPr>
              <w:t>镇东塘村</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2"/>
                <w:sz w:val="24"/>
                <w:szCs w:val="24"/>
                <w:u w:val="none" w:color="auto"/>
              </w:rPr>
              <w:t>厂</w:t>
            </w:r>
            <w:r>
              <w:rPr>
                <w:rFonts w:hint="default" w:ascii="Times New Roman" w:hAnsi="Times New Roman" w:eastAsia="宋体" w:cs="Times New Roman"/>
                <w:color w:val="auto"/>
                <w:sz w:val="24"/>
                <w:szCs w:val="24"/>
                <w:u w:val="none" w:color="auto"/>
              </w:rPr>
              <w:t>界外</w:t>
            </w:r>
            <w:r>
              <w:rPr>
                <w:rFonts w:hint="default" w:ascii="Times New Roman" w:hAnsi="Times New Roman" w:eastAsia="Times New Roman" w:cs="Times New Roman"/>
                <w:color w:val="auto"/>
                <w:sz w:val="24"/>
                <w:szCs w:val="24"/>
                <w:u w:val="none" w:color="auto"/>
              </w:rPr>
              <w:t>500</w:t>
            </w:r>
            <w:r>
              <w:rPr>
                <w:rFonts w:hint="default" w:ascii="Times New Roman" w:hAnsi="Times New Roman" w:eastAsia="宋体" w:cs="Times New Roman"/>
                <w:color w:val="auto"/>
                <w:sz w:val="24"/>
                <w:szCs w:val="24"/>
                <w:u w:val="none" w:color="auto"/>
              </w:rPr>
              <w:t>米</w:t>
            </w:r>
            <w:r>
              <w:rPr>
                <w:rFonts w:hint="default" w:ascii="Times New Roman" w:hAnsi="Times New Roman" w:eastAsia="宋体" w:cs="Times New Roman"/>
                <w:color w:val="auto"/>
                <w:spacing w:val="2"/>
                <w:sz w:val="24"/>
                <w:szCs w:val="24"/>
                <w:u w:val="none" w:color="auto"/>
              </w:rPr>
              <w:t>范</w:t>
            </w:r>
            <w:r>
              <w:rPr>
                <w:rFonts w:hint="default" w:ascii="Times New Roman" w:hAnsi="Times New Roman" w:eastAsia="宋体" w:cs="Times New Roman"/>
                <w:color w:val="auto"/>
                <w:sz w:val="24"/>
                <w:szCs w:val="24"/>
                <w:u w:val="none" w:color="auto"/>
              </w:rPr>
              <w:t>围</w:t>
            </w:r>
            <w:r>
              <w:rPr>
                <w:rFonts w:hint="default" w:ascii="Times New Roman" w:hAnsi="Times New Roman" w:eastAsia="宋体" w:cs="Times New Roman"/>
                <w:color w:val="auto"/>
                <w:spacing w:val="2"/>
                <w:sz w:val="24"/>
                <w:szCs w:val="24"/>
                <w:u w:val="none" w:color="auto"/>
              </w:rPr>
              <w:t>内</w:t>
            </w:r>
            <w:r>
              <w:rPr>
                <w:rFonts w:hint="default" w:ascii="Times New Roman" w:hAnsi="Times New Roman" w:eastAsia="宋体" w:cs="Times New Roman"/>
                <w:color w:val="auto"/>
                <w:sz w:val="24"/>
                <w:szCs w:val="24"/>
                <w:u w:val="none" w:color="auto"/>
              </w:rPr>
              <w:t>无</w:t>
            </w:r>
            <w:r>
              <w:rPr>
                <w:rFonts w:hint="default" w:ascii="Times New Roman" w:hAnsi="Times New Roman" w:eastAsia="宋体" w:cs="Times New Roman"/>
                <w:color w:val="auto"/>
                <w:spacing w:val="2"/>
                <w:sz w:val="24"/>
                <w:szCs w:val="24"/>
                <w:u w:val="none" w:color="auto"/>
              </w:rPr>
              <w:t>地</w:t>
            </w:r>
            <w:r>
              <w:rPr>
                <w:rFonts w:hint="default" w:ascii="Times New Roman" w:hAnsi="Times New Roman" w:eastAsia="宋体" w:cs="Times New Roman"/>
                <w:color w:val="auto"/>
                <w:sz w:val="24"/>
                <w:szCs w:val="24"/>
                <w:u w:val="none" w:color="auto"/>
              </w:rPr>
              <w:t>下</w:t>
            </w:r>
            <w:r>
              <w:rPr>
                <w:rFonts w:hint="default" w:ascii="Times New Roman" w:hAnsi="Times New Roman" w:eastAsia="宋体" w:cs="Times New Roman"/>
                <w:color w:val="auto"/>
                <w:spacing w:val="2"/>
                <w:sz w:val="24"/>
                <w:szCs w:val="24"/>
                <w:u w:val="none" w:color="auto"/>
              </w:rPr>
              <w:t>水</w:t>
            </w:r>
            <w:r>
              <w:rPr>
                <w:rFonts w:hint="default" w:ascii="Times New Roman" w:hAnsi="Times New Roman" w:eastAsia="宋体" w:cs="Times New Roman"/>
                <w:color w:val="auto"/>
                <w:sz w:val="24"/>
                <w:szCs w:val="24"/>
                <w:u w:val="none" w:color="auto"/>
              </w:rPr>
              <w:t>集中</w:t>
            </w:r>
            <w:r>
              <w:rPr>
                <w:rFonts w:hint="default" w:ascii="Times New Roman" w:hAnsi="Times New Roman" w:eastAsia="宋体" w:cs="Times New Roman"/>
                <w:color w:val="auto"/>
                <w:spacing w:val="2"/>
                <w:sz w:val="24"/>
                <w:szCs w:val="24"/>
                <w:u w:val="none" w:color="auto"/>
              </w:rPr>
              <w:t>式</w:t>
            </w:r>
            <w:r>
              <w:rPr>
                <w:rFonts w:hint="default" w:ascii="Times New Roman" w:hAnsi="Times New Roman" w:eastAsia="宋体" w:cs="Times New Roman"/>
                <w:color w:val="auto"/>
                <w:sz w:val="24"/>
                <w:szCs w:val="24"/>
                <w:u w:val="none" w:color="auto"/>
              </w:rPr>
              <w:t>饮</w:t>
            </w:r>
            <w:r>
              <w:rPr>
                <w:rFonts w:hint="default" w:ascii="Times New Roman" w:hAnsi="Times New Roman" w:eastAsia="宋体" w:cs="Times New Roman"/>
                <w:color w:val="auto"/>
                <w:spacing w:val="2"/>
                <w:sz w:val="24"/>
                <w:szCs w:val="24"/>
                <w:u w:val="none" w:color="auto"/>
              </w:rPr>
              <w:t>用</w:t>
            </w:r>
            <w:r>
              <w:rPr>
                <w:rFonts w:hint="default" w:ascii="Times New Roman" w:hAnsi="Times New Roman" w:eastAsia="宋体" w:cs="Times New Roman"/>
                <w:color w:val="auto"/>
                <w:sz w:val="24"/>
                <w:szCs w:val="24"/>
                <w:u w:val="none" w:color="auto"/>
              </w:rPr>
              <w:t>水</w:t>
            </w:r>
            <w:r>
              <w:rPr>
                <w:rFonts w:hint="default" w:ascii="Times New Roman" w:hAnsi="Times New Roman" w:eastAsia="宋体" w:cs="Times New Roman"/>
                <w:color w:val="auto"/>
                <w:spacing w:val="2"/>
                <w:sz w:val="24"/>
                <w:szCs w:val="24"/>
                <w:u w:val="none" w:color="auto"/>
              </w:rPr>
              <w:t>源</w:t>
            </w:r>
            <w:r>
              <w:rPr>
                <w:rFonts w:hint="default" w:ascii="Times New Roman" w:hAnsi="Times New Roman" w:eastAsia="宋体" w:cs="Times New Roman"/>
                <w:color w:val="auto"/>
                <w:sz w:val="24"/>
                <w:szCs w:val="24"/>
                <w:u w:val="none" w:color="auto"/>
              </w:rPr>
              <w:t>和</w:t>
            </w:r>
            <w:r>
              <w:rPr>
                <w:rFonts w:hint="default" w:ascii="Times New Roman" w:hAnsi="Times New Roman" w:eastAsia="宋体" w:cs="Times New Roman"/>
                <w:color w:val="auto"/>
                <w:spacing w:val="2"/>
                <w:sz w:val="24"/>
                <w:szCs w:val="24"/>
                <w:u w:val="none" w:color="auto"/>
              </w:rPr>
              <w:t>热</w:t>
            </w:r>
            <w:r>
              <w:rPr>
                <w:rFonts w:hint="default" w:ascii="Times New Roman" w:hAnsi="Times New Roman" w:eastAsia="宋体" w:cs="Times New Roman"/>
                <w:color w:val="auto"/>
                <w:sz w:val="24"/>
                <w:szCs w:val="24"/>
                <w:u w:val="none" w:color="auto"/>
              </w:rPr>
              <w:t>水</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宋体" w:cs="Times New Roman"/>
                <w:color w:val="auto"/>
                <w:sz w:val="24"/>
                <w:szCs w:val="24"/>
                <w:u w:val="none" w:color="auto"/>
              </w:rPr>
              <w:t>矿泉</w:t>
            </w:r>
            <w:r>
              <w:rPr>
                <w:rFonts w:hint="default" w:ascii="Times New Roman" w:hAnsi="Times New Roman" w:eastAsia="宋体" w:cs="Times New Roman"/>
                <w:color w:val="auto"/>
                <w:spacing w:val="2"/>
                <w:sz w:val="24"/>
                <w:szCs w:val="24"/>
                <w:u w:val="none" w:color="auto"/>
              </w:rPr>
              <w:t>水</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2"/>
                <w:sz w:val="24"/>
                <w:szCs w:val="24"/>
                <w:u w:val="none" w:color="auto"/>
              </w:rPr>
              <w:t>温</w:t>
            </w:r>
            <w:r>
              <w:rPr>
                <w:rFonts w:hint="default" w:ascii="Times New Roman" w:hAnsi="Times New Roman" w:eastAsia="宋体" w:cs="Times New Roman"/>
                <w:color w:val="auto"/>
                <w:sz w:val="24"/>
                <w:szCs w:val="24"/>
                <w:u w:val="none" w:color="auto"/>
              </w:rPr>
              <w:t>泉</w:t>
            </w:r>
            <w:r>
              <w:rPr>
                <w:rFonts w:hint="default" w:ascii="Times New Roman" w:hAnsi="Times New Roman" w:eastAsia="宋体" w:cs="Times New Roman"/>
                <w:color w:val="auto"/>
                <w:spacing w:val="2"/>
                <w:sz w:val="24"/>
                <w:szCs w:val="24"/>
                <w:u w:val="none" w:color="auto"/>
              </w:rPr>
              <w:t>等</w:t>
            </w:r>
            <w:r>
              <w:rPr>
                <w:rFonts w:hint="default" w:ascii="Times New Roman" w:hAnsi="Times New Roman" w:eastAsia="宋体" w:cs="Times New Roman"/>
                <w:color w:val="auto"/>
                <w:sz w:val="24"/>
                <w:szCs w:val="24"/>
                <w:u w:val="none" w:color="auto"/>
              </w:rPr>
              <w:t>特</w:t>
            </w:r>
            <w:r>
              <w:rPr>
                <w:rFonts w:hint="default" w:ascii="Times New Roman" w:hAnsi="Times New Roman" w:eastAsia="宋体" w:cs="Times New Roman"/>
                <w:color w:val="auto"/>
                <w:spacing w:val="2"/>
                <w:sz w:val="24"/>
                <w:szCs w:val="24"/>
                <w:u w:val="none" w:color="auto"/>
              </w:rPr>
              <w:t>殊</w:t>
            </w:r>
            <w:r>
              <w:rPr>
                <w:rFonts w:hint="default" w:ascii="Times New Roman" w:hAnsi="Times New Roman" w:eastAsia="宋体" w:cs="Times New Roman"/>
                <w:color w:val="auto"/>
                <w:sz w:val="24"/>
                <w:szCs w:val="24"/>
                <w:u w:val="none" w:color="auto"/>
              </w:rPr>
              <w:t>地下</w:t>
            </w:r>
            <w:r>
              <w:rPr>
                <w:rFonts w:hint="default" w:ascii="Times New Roman" w:hAnsi="Times New Roman" w:eastAsia="宋体" w:cs="Times New Roman"/>
                <w:color w:val="auto"/>
                <w:spacing w:val="2"/>
                <w:sz w:val="24"/>
                <w:szCs w:val="24"/>
                <w:u w:val="none" w:color="auto"/>
              </w:rPr>
              <w:t>水</w:t>
            </w:r>
            <w:r>
              <w:rPr>
                <w:rFonts w:hint="default" w:ascii="Times New Roman" w:hAnsi="Times New Roman" w:eastAsia="宋体" w:cs="Times New Roman"/>
                <w:color w:val="auto"/>
                <w:sz w:val="24"/>
                <w:szCs w:val="24"/>
                <w:u w:val="none" w:color="auto"/>
              </w:rPr>
              <w:t>资</w:t>
            </w:r>
            <w:r>
              <w:rPr>
                <w:rFonts w:hint="default" w:ascii="Times New Roman" w:hAnsi="Times New Roman" w:eastAsia="宋体" w:cs="Times New Roman"/>
                <w:color w:val="auto"/>
                <w:spacing w:val="2"/>
                <w:sz w:val="24"/>
                <w:szCs w:val="24"/>
                <w:u w:val="none" w:color="auto"/>
              </w:rPr>
              <w:t>源</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2"/>
                <w:sz w:val="24"/>
                <w:szCs w:val="24"/>
                <w:u w:val="none" w:color="auto"/>
              </w:rPr>
              <w:t>不</w:t>
            </w:r>
            <w:r>
              <w:rPr>
                <w:rFonts w:hint="default" w:ascii="Times New Roman" w:hAnsi="Times New Roman" w:eastAsia="宋体" w:cs="Times New Roman"/>
                <w:color w:val="auto"/>
                <w:sz w:val="24"/>
                <w:szCs w:val="24"/>
                <w:u w:val="none" w:color="auto"/>
              </w:rPr>
              <w:t>涉</w:t>
            </w:r>
            <w:r>
              <w:rPr>
                <w:rFonts w:hint="default" w:ascii="Times New Roman" w:hAnsi="Times New Roman" w:eastAsia="宋体" w:cs="Times New Roman"/>
                <w:color w:val="auto"/>
                <w:spacing w:val="2"/>
                <w:sz w:val="24"/>
                <w:szCs w:val="24"/>
                <w:u w:val="none" w:color="auto"/>
              </w:rPr>
              <w:t>及</w:t>
            </w:r>
            <w:r>
              <w:rPr>
                <w:rFonts w:hint="default" w:ascii="Times New Roman" w:hAnsi="Times New Roman" w:eastAsia="宋体" w:cs="Times New Roman"/>
                <w:color w:val="auto"/>
                <w:sz w:val="24"/>
                <w:szCs w:val="24"/>
                <w:u w:val="none" w:color="auto"/>
              </w:rPr>
              <w:t>地</w:t>
            </w:r>
            <w:r>
              <w:rPr>
                <w:rFonts w:hint="default" w:ascii="Times New Roman" w:hAnsi="Times New Roman" w:eastAsia="宋体" w:cs="Times New Roman"/>
                <w:color w:val="auto"/>
                <w:spacing w:val="2"/>
                <w:sz w:val="24"/>
                <w:szCs w:val="24"/>
                <w:u w:val="none" w:color="auto"/>
              </w:rPr>
              <w:t>下</w:t>
            </w:r>
            <w:r>
              <w:rPr>
                <w:rFonts w:hint="default" w:ascii="Times New Roman" w:hAnsi="Times New Roman" w:eastAsia="宋体" w:cs="Times New Roman"/>
                <w:color w:val="auto"/>
                <w:sz w:val="24"/>
                <w:szCs w:val="24"/>
                <w:u w:val="none" w:color="auto"/>
              </w:rPr>
              <w:t>水环</w:t>
            </w:r>
            <w:r>
              <w:rPr>
                <w:rFonts w:hint="default" w:ascii="Times New Roman" w:hAnsi="Times New Roman" w:eastAsia="宋体" w:cs="Times New Roman"/>
                <w:color w:val="auto"/>
                <w:spacing w:val="2"/>
                <w:sz w:val="24"/>
                <w:szCs w:val="24"/>
                <w:u w:val="none" w:color="auto"/>
              </w:rPr>
              <w:t>境</w:t>
            </w:r>
            <w:r>
              <w:rPr>
                <w:rFonts w:hint="default" w:ascii="Times New Roman" w:hAnsi="Times New Roman" w:eastAsia="宋体" w:cs="Times New Roman"/>
                <w:color w:val="auto"/>
                <w:sz w:val="24"/>
                <w:szCs w:val="24"/>
                <w:u w:val="none" w:color="auto"/>
              </w:rPr>
              <w:t>保</w:t>
            </w:r>
            <w:r>
              <w:rPr>
                <w:rFonts w:hint="default" w:ascii="Times New Roman" w:hAnsi="Times New Roman" w:eastAsia="宋体" w:cs="Times New Roman"/>
                <w:color w:val="auto"/>
                <w:spacing w:val="2"/>
                <w:sz w:val="24"/>
                <w:szCs w:val="24"/>
                <w:u w:val="none" w:color="auto"/>
              </w:rPr>
              <w:t>护</w:t>
            </w:r>
            <w:r>
              <w:rPr>
                <w:rFonts w:hint="default" w:ascii="Times New Roman" w:hAnsi="Times New Roman" w:eastAsia="宋体" w:cs="Times New Roman"/>
                <w:color w:val="auto"/>
                <w:sz w:val="24"/>
                <w:szCs w:val="24"/>
                <w:u w:val="none" w:color="auto"/>
              </w:rPr>
              <w:t>目标</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宋体" w:cs="Times New Roman"/>
                <w:color w:val="auto"/>
                <w:sz w:val="24"/>
                <w:szCs w:val="24"/>
                <w:u w:val="none" w:color="auto"/>
              </w:rPr>
              <w:t>水</w:t>
            </w:r>
            <w:r>
              <w:rPr>
                <w:rFonts w:hint="default" w:ascii="Times New Roman" w:hAnsi="Times New Roman" w:eastAsia="宋体" w:cs="Times New Roman"/>
                <w:color w:val="auto"/>
                <w:spacing w:val="2"/>
                <w:sz w:val="24"/>
                <w:szCs w:val="24"/>
                <w:u w:val="none" w:color="auto"/>
              </w:rPr>
              <w:t>生</w:t>
            </w:r>
            <w:r>
              <w:rPr>
                <w:rFonts w:hint="default" w:ascii="Times New Roman" w:hAnsi="Times New Roman" w:eastAsia="宋体" w:cs="Times New Roman"/>
                <w:color w:val="auto"/>
                <w:sz w:val="24"/>
                <w:szCs w:val="24"/>
                <w:u w:val="none" w:color="auto"/>
              </w:rPr>
              <w:t>动</w:t>
            </w:r>
            <w:r>
              <w:rPr>
                <w:rFonts w:hint="default" w:ascii="Times New Roman" w:hAnsi="Times New Roman" w:eastAsia="宋体" w:cs="Times New Roman"/>
                <w:color w:val="auto"/>
                <w:spacing w:val="2"/>
                <w:sz w:val="24"/>
                <w:szCs w:val="24"/>
                <w:u w:val="none" w:color="auto"/>
              </w:rPr>
              <w:t>物</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2"/>
                <w:sz w:val="24"/>
                <w:szCs w:val="24"/>
                <w:u w:val="none" w:color="auto"/>
              </w:rPr>
              <w:t>不</w:t>
            </w:r>
            <w:r>
              <w:rPr>
                <w:rFonts w:hint="default" w:ascii="Times New Roman" w:hAnsi="Times New Roman" w:eastAsia="宋体" w:cs="Times New Roman"/>
                <w:color w:val="auto"/>
                <w:sz w:val="24"/>
                <w:szCs w:val="24"/>
                <w:u w:val="none" w:color="auto"/>
              </w:rPr>
              <w:t>涉</w:t>
            </w:r>
            <w:r>
              <w:rPr>
                <w:rFonts w:hint="default" w:ascii="Times New Roman" w:hAnsi="Times New Roman" w:eastAsia="宋体" w:cs="Times New Roman"/>
                <w:color w:val="auto"/>
                <w:spacing w:val="2"/>
                <w:sz w:val="24"/>
                <w:szCs w:val="24"/>
                <w:u w:val="none" w:color="auto"/>
              </w:rPr>
              <w:t>及</w:t>
            </w:r>
            <w:r>
              <w:rPr>
                <w:rFonts w:hint="default" w:ascii="Times New Roman" w:hAnsi="Times New Roman" w:eastAsia="宋体" w:cs="Times New Roman"/>
                <w:color w:val="auto"/>
                <w:sz w:val="24"/>
                <w:szCs w:val="24"/>
                <w:u w:val="none" w:color="auto"/>
              </w:rPr>
              <w:t>生态</w:t>
            </w:r>
            <w:r>
              <w:rPr>
                <w:rFonts w:hint="default" w:ascii="Times New Roman" w:hAnsi="Times New Roman" w:eastAsia="宋体" w:cs="Times New Roman"/>
                <w:color w:val="auto"/>
                <w:spacing w:val="2"/>
                <w:sz w:val="24"/>
                <w:szCs w:val="24"/>
                <w:u w:val="none" w:color="auto"/>
              </w:rPr>
              <w:t>环</w:t>
            </w:r>
            <w:r>
              <w:rPr>
                <w:rFonts w:hint="default" w:ascii="Times New Roman" w:hAnsi="Times New Roman" w:eastAsia="宋体" w:cs="Times New Roman"/>
                <w:color w:val="auto"/>
                <w:sz w:val="24"/>
                <w:szCs w:val="24"/>
                <w:u w:val="none" w:color="auto"/>
              </w:rPr>
              <w:t>境</w:t>
            </w:r>
            <w:r>
              <w:rPr>
                <w:rFonts w:hint="default" w:ascii="Times New Roman" w:hAnsi="Times New Roman" w:eastAsia="宋体" w:cs="Times New Roman"/>
                <w:color w:val="auto"/>
                <w:spacing w:val="2"/>
                <w:sz w:val="24"/>
                <w:szCs w:val="24"/>
                <w:u w:val="none" w:color="auto"/>
              </w:rPr>
              <w:t>保</w:t>
            </w:r>
            <w:r>
              <w:rPr>
                <w:rFonts w:hint="default" w:ascii="Times New Roman" w:hAnsi="Times New Roman" w:eastAsia="宋体" w:cs="Times New Roman"/>
                <w:color w:val="auto"/>
                <w:sz w:val="24"/>
                <w:szCs w:val="24"/>
                <w:u w:val="none" w:color="auto"/>
              </w:rPr>
              <w:t>护</w:t>
            </w:r>
            <w:r>
              <w:rPr>
                <w:rFonts w:hint="default" w:ascii="Times New Roman" w:hAnsi="Times New Roman" w:eastAsia="宋体" w:cs="Times New Roman"/>
                <w:color w:val="auto"/>
                <w:spacing w:val="2"/>
                <w:sz w:val="24"/>
                <w:szCs w:val="24"/>
                <w:u w:val="none" w:color="auto"/>
              </w:rPr>
              <w:t>目</w:t>
            </w:r>
            <w:r>
              <w:rPr>
                <w:rFonts w:hint="default" w:ascii="Times New Roman" w:hAnsi="Times New Roman" w:eastAsia="宋体" w:cs="Times New Roman"/>
                <w:color w:val="auto"/>
                <w:sz w:val="24"/>
                <w:szCs w:val="24"/>
                <w:u w:val="none" w:color="auto"/>
              </w:rPr>
              <w:t>标</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宋体" w:cs="Times New Roman"/>
                <w:color w:val="auto"/>
                <w:sz w:val="24"/>
                <w:szCs w:val="24"/>
                <w:u w:val="none" w:color="auto"/>
              </w:rPr>
              <w:t>根据《建</w:t>
            </w:r>
            <w:r>
              <w:rPr>
                <w:rFonts w:hint="default" w:ascii="Times New Roman" w:hAnsi="Times New Roman" w:eastAsia="宋体" w:cs="Times New Roman"/>
                <w:color w:val="auto"/>
                <w:spacing w:val="2"/>
                <w:sz w:val="24"/>
                <w:szCs w:val="24"/>
                <w:u w:val="none" w:color="auto"/>
              </w:rPr>
              <w:t>设</w:t>
            </w:r>
            <w:r>
              <w:rPr>
                <w:rFonts w:hint="default" w:ascii="Times New Roman" w:hAnsi="Times New Roman" w:eastAsia="宋体" w:cs="Times New Roman"/>
                <w:color w:val="auto"/>
                <w:sz w:val="24"/>
                <w:szCs w:val="24"/>
                <w:u w:val="none" w:color="auto"/>
              </w:rPr>
              <w:t>项</w:t>
            </w:r>
            <w:r>
              <w:rPr>
                <w:rFonts w:hint="default" w:ascii="Times New Roman" w:hAnsi="Times New Roman" w:eastAsia="宋体" w:cs="Times New Roman"/>
                <w:color w:val="auto"/>
                <w:spacing w:val="2"/>
                <w:sz w:val="24"/>
                <w:szCs w:val="24"/>
                <w:u w:val="none" w:color="auto"/>
              </w:rPr>
              <w:t>目</w:t>
            </w:r>
            <w:r>
              <w:rPr>
                <w:rFonts w:hint="default" w:ascii="Times New Roman" w:hAnsi="Times New Roman" w:eastAsia="宋体" w:cs="Times New Roman"/>
                <w:color w:val="auto"/>
                <w:sz w:val="24"/>
                <w:szCs w:val="24"/>
                <w:u w:val="none" w:color="auto"/>
              </w:rPr>
              <w:t>环</w:t>
            </w:r>
            <w:r>
              <w:rPr>
                <w:rFonts w:hint="default" w:ascii="Times New Roman" w:hAnsi="Times New Roman" w:eastAsia="宋体" w:cs="Times New Roman"/>
                <w:color w:val="auto"/>
                <w:spacing w:val="2"/>
                <w:sz w:val="24"/>
                <w:szCs w:val="24"/>
                <w:u w:val="none" w:color="auto"/>
              </w:rPr>
              <w:t>境</w:t>
            </w:r>
            <w:r>
              <w:rPr>
                <w:rFonts w:hint="default" w:ascii="Times New Roman" w:hAnsi="Times New Roman" w:eastAsia="宋体" w:cs="Times New Roman"/>
                <w:color w:val="auto"/>
                <w:sz w:val="24"/>
                <w:szCs w:val="24"/>
                <w:u w:val="none" w:color="auto"/>
              </w:rPr>
              <w:t>影</w:t>
            </w:r>
            <w:r>
              <w:rPr>
                <w:rFonts w:hint="default" w:ascii="Times New Roman" w:hAnsi="Times New Roman" w:eastAsia="宋体" w:cs="Times New Roman"/>
                <w:color w:val="auto"/>
                <w:spacing w:val="2"/>
                <w:sz w:val="24"/>
                <w:szCs w:val="24"/>
                <w:u w:val="none" w:color="auto"/>
              </w:rPr>
              <w:t>响</w:t>
            </w:r>
            <w:r>
              <w:rPr>
                <w:rFonts w:hint="default" w:ascii="Times New Roman" w:hAnsi="Times New Roman" w:eastAsia="宋体" w:cs="Times New Roman"/>
                <w:color w:val="auto"/>
                <w:sz w:val="24"/>
                <w:szCs w:val="24"/>
                <w:u w:val="none" w:color="auto"/>
              </w:rPr>
              <w:t>报</w:t>
            </w:r>
            <w:r>
              <w:rPr>
                <w:rFonts w:hint="default" w:ascii="Times New Roman" w:hAnsi="Times New Roman" w:eastAsia="宋体" w:cs="Times New Roman"/>
                <w:color w:val="auto"/>
                <w:spacing w:val="2"/>
                <w:sz w:val="24"/>
                <w:szCs w:val="24"/>
                <w:u w:val="none" w:color="auto"/>
              </w:rPr>
              <w:t>告</w:t>
            </w:r>
            <w:r>
              <w:rPr>
                <w:rFonts w:hint="default" w:ascii="Times New Roman" w:hAnsi="Times New Roman" w:eastAsia="宋体" w:cs="Times New Roman"/>
                <w:color w:val="auto"/>
                <w:sz w:val="24"/>
                <w:szCs w:val="24"/>
                <w:u w:val="none" w:color="auto"/>
              </w:rPr>
              <w:t>表编</w:t>
            </w:r>
            <w:r>
              <w:rPr>
                <w:rFonts w:hint="default" w:ascii="Times New Roman" w:hAnsi="Times New Roman" w:eastAsia="宋体" w:cs="Times New Roman"/>
                <w:color w:val="auto"/>
                <w:spacing w:val="2"/>
                <w:sz w:val="24"/>
                <w:szCs w:val="24"/>
                <w:u w:val="none" w:color="auto"/>
              </w:rPr>
              <w:t>制</w:t>
            </w:r>
            <w:r>
              <w:rPr>
                <w:rFonts w:hint="default" w:ascii="Times New Roman" w:hAnsi="Times New Roman" w:eastAsia="宋体" w:cs="Times New Roman"/>
                <w:color w:val="auto"/>
                <w:sz w:val="24"/>
                <w:szCs w:val="24"/>
                <w:u w:val="none" w:color="auto"/>
              </w:rPr>
              <w:t>技</w:t>
            </w:r>
            <w:r>
              <w:rPr>
                <w:rFonts w:hint="default" w:ascii="Times New Roman" w:hAnsi="Times New Roman" w:eastAsia="宋体" w:cs="Times New Roman"/>
                <w:color w:val="auto"/>
                <w:spacing w:val="2"/>
                <w:sz w:val="24"/>
                <w:szCs w:val="24"/>
                <w:u w:val="none" w:color="auto"/>
              </w:rPr>
              <w:t>术指南</w:t>
            </w:r>
            <w:r>
              <w:rPr>
                <w:rFonts w:hint="default" w:ascii="Times New Roman" w:hAnsi="Times New Roman" w:eastAsia="宋体" w:cs="Times New Roman"/>
                <w:color w:val="auto"/>
                <w:spacing w:val="4"/>
                <w:sz w:val="24"/>
                <w:szCs w:val="24"/>
                <w:u w:val="none" w:color="auto"/>
              </w:rPr>
              <w:t>（</w:t>
            </w:r>
            <w:r>
              <w:rPr>
                <w:rFonts w:hint="default" w:ascii="Times New Roman" w:hAnsi="Times New Roman" w:eastAsia="宋体" w:cs="Times New Roman"/>
                <w:color w:val="auto"/>
                <w:spacing w:val="2"/>
                <w:sz w:val="24"/>
                <w:szCs w:val="24"/>
                <w:u w:val="none" w:color="auto"/>
              </w:rPr>
              <w:t>污染影响类）</w:t>
            </w:r>
            <w:r>
              <w:rPr>
                <w:rFonts w:hint="default" w:ascii="Times New Roman" w:hAnsi="Times New Roman" w:eastAsia="宋体" w:cs="Times New Roman"/>
                <w:color w:val="auto"/>
                <w:spacing w:val="4"/>
                <w:sz w:val="24"/>
                <w:szCs w:val="24"/>
                <w:u w:val="none" w:color="auto"/>
              </w:rPr>
              <w:t>（</w:t>
            </w:r>
            <w:r>
              <w:rPr>
                <w:rFonts w:hint="default" w:ascii="Times New Roman" w:hAnsi="Times New Roman" w:eastAsia="宋体" w:cs="Times New Roman"/>
                <w:color w:val="auto"/>
                <w:spacing w:val="2"/>
                <w:sz w:val="24"/>
                <w:szCs w:val="24"/>
                <w:u w:val="none" w:color="auto"/>
              </w:rPr>
              <w:t>试行</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2"/>
                <w:sz w:val="24"/>
                <w:szCs w:val="24"/>
                <w:u w:val="none" w:color="auto"/>
              </w:rPr>
              <w:t>》，本</w:t>
            </w:r>
            <w:r>
              <w:rPr>
                <w:rFonts w:hint="default" w:ascii="Times New Roman" w:hAnsi="Times New Roman" w:eastAsia="宋体" w:cs="Times New Roman"/>
                <w:color w:val="auto"/>
                <w:spacing w:val="4"/>
                <w:sz w:val="24"/>
                <w:szCs w:val="24"/>
                <w:u w:val="none" w:color="auto"/>
              </w:rPr>
              <w:t>次</w:t>
            </w:r>
            <w:r>
              <w:rPr>
                <w:rFonts w:hint="default" w:ascii="Times New Roman" w:hAnsi="Times New Roman" w:eastAsia="宋体" w:cs="Times New Roman"/>
                <w:color w:val="auto"/>
                <w:spacing w:val="2"/>
                <w:sz w:val="24"/>
                <w:szCs w:val="24"/>
                <w:u w:val="none" w:color="auto"/>
              </w:rPr>
              <w:t>仅考</w:t>
            </w:r>
            <w:r>
              <w:rPr>
                <w:rFonts w:hint="default" w:ascii="Times New Roman" w:hAnsi="Times New Roman" w:eastAsia="宋体" w:cs="Times New Roman"/>
                <w:color w:val="auto"/>
                <w:sz w:val="24"/>
                <w:szCs w:val="24"/>
                <w:u w:val="none" w:color="auto"/>
              </w:rPr>
              <w:t>虑</w:t>
            </w:r>
            <w:r>
              <w:rPr>
                <w:rFonts w:hint="default" w:ascii="Times New Roman" w:hAnsi="Times New Roman" w:eastAsia="Times New Roman" w:cs="Times New Roman"/>
                <w:color w:val="auto"/>
                <w:sz w:val="24"/>
                <w:szCs w:val="24"/>
                <w:u w:val="none" w:color="auto"/>
              </w:rPr>
              <w:t>500</w:t>
            </w:r>
            <w:r>
              <w:rPr>
                <w:rFonts w:hint="default" w:ascii="Times New Roman" w:hAnsi="Times New Roman" w:eastAsia="Times New Roman" w:cs="Times New Roman"/>
                <w:color w:val="auto"/>
                <w:w w:val="99"/>
                <w:sz w:val="24"/>
                <w:szCs w:val="24"/>
                <w:u w:val="none" w:color="auto"/>
              </w:rPr>
              <w:t>m</w:t>
            </w:r>
            <w:r>
              <w:rPr>
                <w:rFonts w:hint="default" w:ascii="Times New Roman" w:hAnsi="Times New Roman" w:eastAsia="宋体" w:cs="Times New Roman"/>
                <w:color w:val="auto"/>
                <w:spacing w:val="2"/>
                <w:sz w:val="24"/>
                <w:szCs w:val="24"/>
                <w:u w:val="none" w:color="auto"/>
              </w:rPr>
              <w:t>范围内</w:t>
            </w:r>
            <w:r>
              <w:rPr>
                <w:rFonts w:hint="default" w:ascii="Times New Roman" w:hAnsi="Times New Roman" w:eastAsia="宋体" w:cs="Times New Roman"/>
                <w:color w:val="auto"/>
                <w:spacing w:val="4"/>
                <w:sz w:val="24"/>
                <w:szCs w:val="24"/>
                <w:u w:val="none" w:color="auto"/>
              </w:rPr>
              <w:t>大</w:t>
            </w:r>
            <w:r>
              <w:rPr>
                <w:rFonts w:hint="default" w:ascii="Times New Roman" w:hAnsi="Times New Roman" w:eastAsia="宋体" w:cs="Times New Roman"/>
                <w:color w:val="auto"/>
                <w:spacing w:val="2"/>
                <w:sz w:val="24"/>
                <w:szCs w:val="24"/>
                <w:u w:val="none" w:color="auto"/>
              </w:rPr>
              <w:t>气环境保护目</w:t>
            </w:r>
            <w:r>
              <w:rPr>
                <w:rFonts w:hint="default" w:ascii="Times New Roman" w:hAnsi="Times New Roman" w:eastAsia="宋体" w:cs="Times New Roman"/>
                <w:color w:val="auto"/>
                <w:spacing w:val="4"/>
                <w:sz w:val="24"/>
                <w:szCs w:val="24"/>
                <w:u w:val="none" w:color="auto"/>
              </w:rPr>
              <w:t>标</w:t>
            </w:r>
            <w:r>
              <w:rPr>
                <w:rFonts w:hint="default" w:ascii="Times New Roman" w:hAnsi="Times New Roman" w:eastAsia="宋体" w:cs="Times New Roman"/>
                <w:color w:val="auto"/>
                <w:sz w:val="24"/>
                <w:szCs w:val="24"/>
                <w:u w:val="none" w:color="auto"/>
              </w:rPr>
              <w:t>和</w:t>
            </w:r>
            <w:r>
              <w:rPr>
                <w:rFonts w:hint="default" w:ascii="Times New Roman" w:hAnsi="Times New Roman" w:eastAsia="Times New Roman" w:cs="Times New Roman"/>
                <w:color w:val="auto"/>
                <w:sz w:val="24"/>
                <w:szCs w:val="24"/>
                <w:u w:val="none" w:color="auto"/>
              </w:rPr>
              <w:t>50</w:t>
            </w:r>
            <w:r>
              <w:rPr>
                <w:rFonts w:hint="default" w:ascii="Times New Roman" w:hAnsi="Times New Roman" w:eastAsia="Times New Roman" w:cs="Times New Roman"/>
                <w:color w:val="auto"/>
                <w:w w:val="99"/>
                <w:sz w:val="24"/>
                <w:szCs w:val="24"/>
                <w:u w:val="none" w:color="auto"/>
              </w:rPr>
              <w:t>m</w:t>
            </w:r>
            <w:r>
              <w:rPr>
                <w:rFonts w:hint="default" w:ascii="Times New Roman" w:hAnsi="Times New Roman" w:eastAsia="宋体" w:cs="Times New Roman"/>
                <w:color w:val="auto"/>
                <w:sz w:val="24"/>
                <w:szCs w:val="24"/>
                <w:u w:val="none" w:color="auto"/>
              </w:rPr>
              <w:t>范围内声环境保护目标。</w:t>
            </w:r>
          </w:p>
          <w:p>
            <w:pPr>
              <w:pStyle w:val="43"/>
              <w:keepNext w:val="0"/>
              <w:keepLines w:val="0"/>
              <w:pageBreakBefore w:val="0"/>
              <w:widowControl w:val="0"/>
              <w:kinsoku/>
              <w:wordWrap/>
              <w:overflowPunct/>
              <w:topLinePunct w:val="0"/>
              <w:bidi w:val="0"/>
              <w:spacing w:line="360" w:lineRule="auto"/>
              <w:ind w:left="584" w:right="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本项目主要环境保护目标详见下表。</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表3-</w:t>
            </w:r>
            <w:r>
              <w:rPr>
                <w:rFonts w:hint="eastAsia" w:ascii="Times New Roman" w:hAnsi="Times New Roman" w:eastAsia="宋体" w:cs="Times New Roman"/>
                <w:color w:val="auto"/>
                <w:sz w:val="24"/>
                <w:szCs w:val="24"/>
                <w:u w:val="none" w:color="auto"/>
                <w:lang w:val="en-US" w:eastAsia="zh-CN"/>
              </w:rPr>
              <w:t xml:space="preserve">4  </w:t>
            </w:r>
            <w:r>
              <w:rPr>
                <w:rFonts w:hint="default" w:ascii="Times New Roman" w:hAnsi="Times New Roman" w:eastAsia="宋体" w:cs="Times New Roman"/>
                <w:color w:val="auto"/>
                <w:sz w:val="24"/>
                <w:szCs w:val="24"/>
                <w:u w:val="none" w:color="auto"/>
              </w:rPr>
              <w:t>主要环境保护目标一览表</w:t>
            </w:r>
          </w:p>
          <w:tbl>
            <w:tblPr>
              <w:tblStyle w:val="21"/>
              <w:tblW w:w="7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6"/>
              <w:gridCol w:w="2082"/>
              <w:gridCol w:w="1343"/>
              <w:gridCol w:w="1632"/>
              <w:gridCol w:w="102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项目</w:t>
                  </w: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环保目标名称</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规模</w:t>
                  </w:r>
                </w:p>
              </w:tc>
              <w:tc>
                <w:tcPr>
                  <w:tcW w:w="163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环境功能区</w:t>
                  </w: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相对方位</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声环境</w:t>
                  </w: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东塘镇民房</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1户</w:t>
                  </w:r>
                </w:p>
              </w:tc>
              <w:tc>
                <w:tcPr>
                  <w:tcW w:w="1632"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声环境质量标准</w:t>
                  </w: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GB3096-2008</w:t>
                  </w: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2类标准</w:t>
                  </w: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东侧</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约40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cs="Times New Roman"/>
                      <w:color w:val="auto"/>
                      <w:sz w:val="21"/>
                      <w:szCs w:val="21"/>
                      <w:highlight w:val="none"/>
                      <w:u w:val="none" w:color="auto"/>
                      <w:vertAlign w:val="baseline"/>
                      <w:lang w:val="en-US" w:eastAsia="zh-CN"/>
                    </w:rPr>
                    <w:t>东塘镇居民</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cs="Times New Roman"/>
                      <w:color w:val="auto"/>
                      <w:sz w:val="21"/>
                      <w:szCs w:val="21"/>
                      <w:highlight w:val="none"/>
                      <w:u w:val="none" w:color="auto"/>
                      <w:vertAlign w:val="baseline"/>
                      <w:lang w:val="en-US" w:eastAsia="zh-CN"/>
                    </w:rPr>
                    <w:t>1户</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东侧</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约10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cs="Times New Roman"/>
                      <w:color w:val="auto"/>
                      <w:sz w:val="21"/>
                      <w:szCs w:val="21"/>
                      <w:highlight w:val="none"/>
                      <w:u w:val="none" w:color="auto"/>
                      <w:vertAlign w:val="baseline"/>
                      <w:lang w:val="en-US" w:eastAsia="zh-CN"/>
                    </w:rPr>
                    <w:t>东塘镇居民</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hAnsi="Times New Roman" w:eastAsia="宋体" w:cs="Times New Roman"/>
                      <w:color w:val="auto"/>
                      <w:sz w:val="21"/>
                      <w:szCs w:val="21"/>
                      <w:highlight w:val="none"/>
                      <w:u w:val="none" w:color="auto"/>
                      <w:vertAlign w:val="baseline"/>
                      <w:lang w:val="en-US" w:eastAsia="zh-CN"/>
                    </w:rPr>
                    <w:t>约4户</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东南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约20-50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湘阴农村商业银行</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3层建筑</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约25-50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东塘镇居民</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6户</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西南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紧邻-50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6"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大气环境</w:t>
                  </w: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东塘镇居民区</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约22户</w:t>
                  </w:r>
                </w:p>
              </w:tc>
              <w:tc>
                <w:tcPr>
                  <w:tcW w:w="1632"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环境空气质量标准</w:t>
                  </w: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GB3095-2012</w:t>
                  </w: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二类区</w:t>
                  </w: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东</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约10-500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60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东塘镇居民区</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约110户</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东北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约150-500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东塘镇政府</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党政机关</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东北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约330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东塘镇居民区</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约65户</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东南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约20-500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湘阴农村商业银行</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3层建筑</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约25-50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东塘镇居民区</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约400户</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约25-500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东塘镇居民区</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约22户</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西</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约250-500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东塘镇污水处理厂</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无常驻人口</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西北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约300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082"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东塘镇居民区</w:t>
                  </w:r>
                </w:p>
              </w:tc>
              <w:tc>
                <w:tcPr>
                  <w:tcW w:w="134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约23户</w:t>
                  </w:r>
                </w:p>
              </w:tc>
              <w:tc>
                <w:tcPr>
                  <w:tcW w:w="1632"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1025"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北</w:t>
                  </w:r>
                </w:p>
              </w:tc>
              <w:tc>
                <w:tcPr>
                  <w:tcW w:w="1306"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color w:val="auto"/>
                      <w:sz w:val="21"/>
                      <w:szCs w:val="21"/>
                      <w:highlight w:val="none"/>
                      <w:u w:val="single" w:color="auto"/>
                      <w:vertAlign w:val="baseline"/>
                      <w:lang w:val="en-US" w:eastAsia="zh-CN"/>
                    </w:rPr>
                    <w:t>约340-500</w:t>
                  </w:r>
                </w:p>
              </w:tc>
            </w:tr>
          </w:tbl>
          <w:p>
            <w:pPr>
              <w:keepNext w:val="0"/>
              <w:keepLines w:val="0"/>
              <w:pageBreakBefore w:val="0"/>
              <w:widowControl w:val="0"/>
              <w:kinsoku/>
              <w:wordWrap/>
              <w:overflowPunct/>
              <w:topLinePunct w:val="0"/>
              <w:bidi w:val="0"/>
              <w:adjustRightInd w:val="0"/>
              <w:snapToGrid w:val="0"/>
              <w:spacing w:line="360" w:lineRule="auto"/>
              <w:jc w:val="both"/>
              <w:textAlignment w:val="auto"/>
              <w:rPr>
                <w:rFonts w:hint="default" w:ascii="Times New Roman" w:hAnsi="Times New Roman" w:eastAsia="宋体" w:cs="Times New Roman"/>
                <w:color w:val="auto"/>
                <w:sz w:val="24"/>
                <w:szCs w:val="24"/>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tcMar>
              <w:left w:w="28" w:type="dxa"/>
              <w:right w:w="28"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污染物排放控制标准</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w:t>
            </w:r>
            <w:r>
              <w:rPr>
                <w:rFonts w:hint="eastAsia" w:ascii="Times New Roman" w:hAnsi="Times New Roman" w:eastAsia="宋体" w:cs="Times New Roman"/>
                <w:b/>
                <w:bCs/>
                <w:color w:val="auto"/>
                <w:kern w:val="0"/>
                <w:sz w:val="24"/>
                <w:szCs w:val="24"/>
                <w:u w:val="none" w:color="auto"/>
                <w:lang w:val="en-US" w:eastAsia="zh-CN"/>
              </w:rPr>
              <w:t>7</w:t>
            </w:r>
            <w:r>
              <w:rPr>
                <w:rFonts w:hint="default" w:ascii="Times New Roman" w:hAnsi="Times New Roman" w:eastAsia="宋体" w:cs="Times New Roman"/>
                <w:b/>
                <w:bCs/>
                <w:color w:val="auto"/>
                <w:kern w:val="0"/>
                <w:sz w:val="24"/>
                <w:szCs w:val="24"/>
                <w:u w:val="none" w:color="auto"/>
              </w:rPr>
              <w:t>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cs="Times New Roman"/>
                <w:color w:val="auto"/>
                <w:kern w:val="0"/>
                <w:sz w:val="24"/>
                <w:szCs w:val="24"/>
                <w:u w:val="none" w:color="auto"/>
              </w:rPr>
              <w:t>项目运营期废水经</w:t>
            </w:r>
            <w:r>
              <w:rPr>
                <w:rFonts w:hint="eastAsia" w:ascii="Times New Roman" w:hAnsi="Times New Roman" w:cs="Times New Roman"/>
                <w:color w:val="auto"/>
                <w:kern w:val="0"/>
                <w:sz w:val="24"/>
                <w:szCs w:val="24"/>
                <w:u w:val="none" w:color="auto"/>
                <w:lang w:eastAsia="zh-CN"/>
              </w:rPr>
              <w:t>地埋式污水处理系统</w:t>
            </w:r>
            <w:r>
              <w:rPr>
                <w:rFonts w:hint="default" w:ascii="Times New Roman" w:hAnsi="Times New Roman" w:cs="Times New Roman"/>
                <w:color w:val="auto"/>
                <w:kern w:val="0"/>
                <w:sz w:val="24"/>
                <w:szCs w:val="24"/>
                <w:u w:val="none" w:color="auto"/>
              </w:rPr>
              <w:t>进行处理，达到《医疗机构水污染物排放标准》（GB18466-2005）表2预处理标准要求，经污水管网排入</w:t>
            </w:r>
            <w:r>
              <w:rPr>
                <w:rFonts w:hint="default" w:ascii="Times New Roman" w:hAnsi="Times New Roman" w:cs="Times New Roman"/>
                <w:color w:val="auto"/>
                <w:kern w:val="0"/>
                <w:sz w:val="24"/>
                <w:szCs w:val="24"/>
                <w:u w:val="none" w:color="auto"/>
                <w:lang w:eastAsia="zh-CN"/>
              </w:rPr>
              <w:t>湘阴县</w:t>
            </w:r>
            <w:r>
              <w:rPr>
                <w:rFonts w:hint="eastAsia" w:ascii="Times New Roman" w:hAnsi="Times New Roman" w:cs="Times New Roman"/>
                <w:color w:val="auto"/>
                <w:kern w:val="0"/>
                <w:sz w:val="24"/>
                <w:szCs w:val="24"/>
                <w:u w:val="none" w:color="auto"/>
                <w:lang w:eastAsia="zh-CN"/>
              </w:rPr>
              <w:t>东塘</w:t>
            </w:r>
            <w:r>
              <w:rPr>
                <w:rFonts w:hint="default" w:ascii="Times New Roman" w:hAnsi="Times New Roman" w:cs="Times New Roman"/>
                <w:color w:val="auto"/>
                <w:kern w:val="0"/>
                <w:sz w:val="24"/>
                <w:szCs w:val="24"/>
                <w:u w:val="none" w:color="auto"/>
                <w:lang w:eastAsia="zh-CN"/>
              </w:rPr>
              <w:t>镇污水处理厂</w:t>
            </w:r>
            <w:r>
              <w:rPr>
                <w:rFonts w:hint="default" w:ascii="Times New Roman" w:hAnsi="Times New Roman" w:cs="Times New Roman"/>
                <w:color w:val="auto"/>
                <w:kern w:val="0"/>
                <w:sz w:val="24"/>
                <w:szCs w:val="24"/>
                <w:u w:val="none" w:color="auto"/>
              </w:rPr>
              <w:t>。</w:t>
            </w:r>
            <w:r>
              <w:rPr>
                <w:rFonts w:hint="eastAsia" w:ascii="Times New Roman" w:hAnsi="Times New Roman" w:cs="Times New Roman"/>
                <w:color w:val="auto"/>
                <w:kern w:val="0"/>
                <w:sz w:val="24"/>
                <w:szCs w:val="24"/>
                <w:u w:val="none" w:color="auto"/>
                <w:lang w:val="en-US" w:eastAsia="zh-CN"/>
              </w:rPr>
              <w:t>废水排放执行标准详见表3-5。</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w:t>
            </w:r>
            <w:r>
              <w:rPr>
                <w:rFonts w:hint="default" w:ascii="Times New Roman" w:hAnsi="Times New Roman" w:eastAsia="Times New Roman" w:cs="Times New Roman"/>
                <w:color w:val="auto"/>
                <w:sz w:val="24"/>
                <w:szCs w:val="24"/>
                <w:u w:val="none" w:color="auto"/>
              </w:rPr>
              <w:t>3-</w:t>
            </w:r>
            <w:r>
              <w:rPr>
                <w:rFonts w:hint="eastAsia" w:ascii="Times New Roman" w:hAnsi="Times New Roman" w:eastAsia="宋体" w:cs="Times New Roman"/>
                <w:color w:val="auto"/>
                <w:sz w:val="24"/>
                <w:szCs w:val="24"/>
                <w:u w:val="none" w:color="auto"/>
                <w:lang w:val="en-US" w:eastAsia="zh-CN"/>
              </w:rPr>
              <w:t xml:space="preserve">5  </w:t>
            </w:r>
            <w:r>
              <w:rPr>
                <w:rFonts w:hint="default" w:ascii="Times New Roman" w:hAnsi="Times New Roman" w:eastAsia="宋体" w:cs="Times New Roman"/>
                <w:color w:val="auto"/>
                <w:sz w:val="24"/>
                <w:szCs w:val="24"/>
                <w:u w:val="none" w:color="auto"/>
              </w:rPr>
              <w:t>本项目水污染物排放限值</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7"/>
              <w:gridCol w:w="1774"/>
              <w:gridCol w:w="4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3" w:type="pct"/>
                  <w:noWrap w:val="0"/>
                  <w:vAlign w:val="center"/>
                </w:tcPr>
                <w:p>
                  <w:pPr>
                    <w:pStyle w:val="55"/>
                    <w:bidi w:val="0"/>
                    <w:rPr>
                      <w:rFonts w:hint="default"/>
                      <w:color w:val="auto"/>
                    </w:rPr>
                  </w:pPr>
                  <w:r>
                    <w:rPr>
                      <w:rFonts w:hint="default"/>
                      <w:color w:val="auto"/>
                    </w:rPr>
                    <w:t>废水类型</w:t>
                  </w:r>
                </w:p>
              </w:tc>
              <w:tc>
                <w:tcPr>
                  <w:tcW w:w="1109" w:type="pct"/>
                  <w:noWrap w:val="0"/>
                  <w:vAlign w:val="center"/>
                </w:tcPr>
                <w:p>
                  <w:pPr>
                    <w:pStyle w:val="55"/>
                    <w:bidi w:val="0"/>
                    <w:rPr>
                      <w:rFonts w:hint="default"/>
                      <w:color w:val="auto"/>
                    </w:rPr>
                  </w:pPr>
                  <w:r>
                    <w:rPr>
                      <w:rFonts w:hint="default"/>
                      <w:color w:val="auto"/>
                    </w:rPr>
                    <w:t>污染因子</w:t>
                  </w:r>
                </w:p>
              </w:tc>
              <w:tc>
                <w:tcPr>
                  <w:tcW w:w="3097" w:type="pct"/>
                  <w:noWrap w:val="0"/>
                  <w:vAlign w:val="center"/>
                </w:tcPr>
                <w:p>
                  <w:pPr>
                    <w:pStyle w:val="55"/>
                    <w:bidi w:val="0"/>
                    <w:rPr>
                      <w:rFonts w:hint="default"/>
                      <w:color w:val="auto"/>
                    </w:rPr>
                  </w:pPr>
                  <w:r>
                    <w:rPr>
                      <w:rFonts w:hint="default"/>
                      <w:color w:val="auto"/>
                    </w:rPr>
                    <w:t>《医疗机构水污染物排放标准》（GB18466-2005）表2预处理标准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3" w:type="pct"/>
                  <w:vMerge w:val="restart"/>
                  <w:noWrap w:val="0"/>
                  <w:vAlign w:val="center"/>
                </w:tcPr>
                <w:p>
                  <w:pPr>
                    <w:pStyle w:val="55"/>
                    <w:bidi w:val="0"/>
                    <w:rPr>
                      <w:rFonts w:hint="default"/>
                      <w:color w:val="auto"/>
                    </w:rPr>
                  </w:pPr>
                  <w:r>
                    <w:rPr>
                      <w:rFonts w:hint="default"/>
                      <w:color w:val="auto"/>
                    </w:rPr>
                    <w:t>医疗废水</w:t>
                  </w:r>
                </w:p>
              </w:tc>
              <w:tc>
                <w:tcPr>
                  <w:tcW w:w="1109" w:type="pct"/>
                  <w:noWrap w:val="0"/>
                  <w:vAlign w:val="center"/>
                </w:tcPr>
                <w:p>
                  <w:pPr>
                    <w:pStyle w:val="55"/>
                    <w:bidi w:val="0"/>
                    <w:rPr>
                      <w:rFonts w:hint="default"/>
                      <w:color w:val="auto"/>
                    </w:rPr>
                  </w:pPr>
                  <w:r>
                    <w:rPr>
                      <w:rFonts w:hint="default"/>
                      <w:color w:val="auto"/>
                    </w:rPr>
                    <w:t>pH</w:t>
                  </w:r>
                </w:p>
              </w:tc>
              <w:tc>
                <w:tcPr>
                  <w:tcW w:w="3097" w:type="pct"/>
                  <w:noWrap w:val="0"/>
                  <w:vAlign w:val="center"/>
                </w:tcPr>
                <w:p>
                  <w:pPr>
                    <w:pStyle w:val="55"/>
                    <w:bidi w:val="0"/>
                    <w:rPr>
                      <w:rFonts w:hint="eastAsia"/>
                      <w:color w:val="auto"/>
                      <w:lang w:eastAsia="zh-CN"/>
                    </w:rPr>
                  </w:pPr>
                  <w:r>
                    <w:rPr>
                      <w:rFonts w:hint="default"/>
                      <w:color w:val="auto"/>
                    </w:rPr>
                    <w:t>6~9</w:t>
                  </w:r>
                  <w:r>
                    <w:rPr>
                      <w:rFonts w:hint="eastAsia"/>
                      <w:color w:val="auto"/>
                      <w:lang w:eastAsia="zh-CN"/>
                    </w:rPr>
                    <w:t>（</w:t>
                  </w:r>
                  <w:r>
                    <w:rPr>
                      <w:rFonts w:hint="default"/>
                      <w:color w:val="auto"/>
                    </w:rPr>
                    <w:t>无量纲</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3" w:type="pct"/>
                  <w:vMerge w:val="continue"/>
                  <w:noWrap w:val="0"/>
                  <w:vAlign w:val="center"/>
                </w:tcPr>
                <w:p>
                  <w:pPr>
                    <w:pStyle w:val="55"/>
                    <w:bidi w:val="0"/>
                    <w:rPr>
                      <w:rFonts w:hint="default"/>
                      <w:color w:val="auto"/>
                    </w:rPr>
                  </w:pPr>
                </w:p>
              </w:tc>
              <w:tc>
                <w:tcPr>
                  <w:tcW w:w="1109" w:type="pct"/>
                  <w:noWrap w:val="0"/>
                  <w:vAlign w:val="center"/>
                </w:tcPr>
                <w:p>
                  <w:pPr>
                    <w:pStyle w:val="55"/>
                    <w:bidi w:val="0"/>
                    <w:rPr>
                      <w:rFonts w:hint="default"/>
                      <w:color w:val="auto"/>
                    </w:rPr>
                  </w:pPr>
                  <w:r>
                    <w:rPr>
                      <w:rFonts w:hint="default"/>
                      <w:color w:val="auto"/>
                    </w:rPr>
                    <w:t>CODCr</w:t>
                  </w:r>
                </w:p>
              </w:tc>
              <w:tc>
                <w:tcPr>
                  <w:tcW w:w="3097" w:type="pct"/>
                  <w:noWrap w:val="0"/>
                  <w:vAlign w:val="center"/>
                </w:tcPr>
                <w:p>
                  <w:pPr>
                    <w:pStyle w:val="55"/>
                    <w:bidi w:val="0"/>
                    <w:rPr>
                      <w:rFonts w:hint="default"/>
                      <w:color w:val="auto"/>
                      <w:lang w:val="en-US" w:eastAsia="zh-CN"/>
                    </w:rPr>
                  </w:pPr>
                  <w:r>
                    <w:rPr>
                      <w:rFonts w:hint="default"/>
                      <w:color w:val="auto"/>
                      <w:lang w:val="en-US" w:eastAsia="zh-CN"/>
                    </w:rPr>
                    <w:t>250</w:t>
                  </w:r>
                  <w:r>
                    <w:rPr>
                      <w:rFonts w:hint="default"/>
                      <w:color w:val="auto"/>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3" w:type="pct"/>
                  <w:vMerge w:val="continue"/>
                  <w:noWrap w:val="0"/>
                  <w:vAlign w:val="center"/>
                </w:tcPr>
                <w:p>
                  <w:pPr>
                    <w:pStyle w:val="55"/>
                    <w:bidi w:val="0"/>
                    <w:rPr>
                      <w:rFonts w:hint="default"/>
                      <w:color w:val="auto"/>
                    </w:rPr>
                  </w:pPr>
                </w:p>
              </w:tc>
              <w:tc>
                <w:tcPr>
                  <w:tcW w:w="1109" w:type="pct"/>
                  <w:noWrap w:val="0"/>
                  <w:vAlign w:val="center"/>
                </w:tcPr>
                <w:p>
                  <w:pPr>
                    <w:pStyle w:val="55"/>
                    <w:bidi w:val="0"/>
                    <w:rPr>
                      <w:rFonts w:hint="default"/>
                      <w:color w:val="auto"/>
                    </w:rPr>
                  </w:pPr>
                  <w:r>
                    <w:rPr>
                      <w:rFonts w:hint="default"/>
                      <w:color w:val="auto"/>
                    </w:rPr>
                    <w:t>BOD5</w:t>
                  </w:r>
                </w:p>
              </w:tc>
              <w:tc>
                <w:tcPr>
                  <w:tcW w:w="3097" w:type="pct"/>
                  <w:noWrap w:val="0"/>
                  <w:vAlign w:val="center"/>
                </w:tcPr>
                <w:p>
                  <w:pPr>
                    <w:pStyle w:val="55"/>
                    <w:bidi w:val="0"/>
                    <w:rPr>
                      <w:rFonts w:hint="default"/>
                      <w:color w:val="auto"/>
                    </w:rPr>
                  </w:pPr>
                  <w:r>
                    <w:rPr>
                      <w:rFonts w:hint="default"/>
                      <w:color w:val="auto"/>
                    </w:rPr>
                    <w:t>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3" w:type="pct"/>
                  <w:vMerge w:val="continue"/>
                  <w:noWrap w:val="0"/>
                  <w:vAlign w:val="center"/>
                </w:tcPr>
                <w:p>
                  <w:pPr>
                    <w:pStyle w:val="55"/>
                    <w:bidi w:val="0"/>
                    <w:rPr>
                      <w:rFonts w:hint="default"/>
                      <w:color w:val="auto"/>
                    </w:rPr>
                  </w:pPr>
                </w:p>
              </w:tc>
              <w:tc>
                <w:tcPr>
                  <w:tcW w:w="1109" w:type="pct"/>
                  <w:noWrap w:val="0"/>
                  <w:vAlign w:val="center"/>
                </w:tcPr>
                <w:p>
                  <w:pPr>
                    <w:pStyle w:val="55"/>
                    <w:bidi w:val="0"/>
                    <w:rPr>
                      <w:rFonts w:hint="default"/>
                      <w:color w:val="auto"/>
                    </w:rPr>
                  </w:pPr>
                  <w:r>
                    <w:rPr>
                      <w:rFonts w:hint="default"/>
                      <w:color w:val="auto"/>
                    </w:rPr>
                    <w:t>SS</w:t>
                  </w:r>
                </w:p>
              </w:tc>
              <w:tc>
                <w:tcPr>
                  <w:tcW w:w="3097" w:type="pct"/>
                  <w:noWrap w:val="0"/>
                  <w:vAlign w:val="center"/>
                </w:tcPr>
                <w:p>
                  <w:pPr>
                    <w:pStyle w:val="55"/>
                    <w:bidi w:val="0"/>
                    <w:rPr>
                      <w:rFonts w:hint="default"/>
                      <w:color w:val="auto"/>
                    </w:rPr>
                  </w:pPr>
                  <w:r>
                    <w:rPr>
                      <w:rFonts w:hint="default"/>
                      <w:color w:val="auto"/>
                    </w:rPr>
                    <w:t>60mg/L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3" w:type="pct"/>
                  <w:vMerge w:val="continue"/>
                  <w:noWrap w:val="0"/>
                  <w:vAlign w:val="center"/>
                </w:tcPr>
                <w:p>
                  <w:pPr>
                    <w:pStyle w:val="55"/>
                    <w:bidi w:val="0"/>
                    <w:rPr>
                      <w:rFonts w:hint="default"/>
                      <w:color w:val="auto"/>
                    </w:rPr>
                  </w:pPr>
                </w:p>
              </w:tc>
              <w:tc>
                <w:tcPr>
                  <w:tcW w:w="1109" w:type="pct"/>
                  <w:noWrap w:val="0"/>
                  <w:vAlign w:val="center"/>
                </w:tcPr>
                <w:p>
                  <w:pPr>
                    <w:pStyle w:val="55"/>
                    <w:bidi w:val="0"/>
                    <w:rPr>
                      <w:rFonts w:hint="default"/>
                      <w:color w:val="auto"/>
                    </w:rPr>
                  </w:pPr>
                  <w:r>
                    <w:rPr>
                      <w:rFonts w:hint="default"/>
                      <w:color w:val="auto"/>
                    </w:rPr>
                    <w:t>氨氮</w:t>
                  </w:r>
                </w:p>
              </w:tc>
              <w:tc>
                <w:tcPr>
                  <w:tcW w:w="3097" w:type="pct"/>
                  <w:noWrap w:val="0"/>
                  <w:vAlign w:val="center"/>
                </w:tcPr>
                <w:p>
                  <w:pPr>
                    <w:pStyle w:val="55"/>
                    <w:bidi w:val="0"/>
                    <w:rPr>
                      <w:rFonts w:hint="default"/>
                      <w:color w:val="auto"/>
                      <w:lang w:val="en-US" w:eastAsia="zh-CN"/>
                    </w:rPr>
                  </w:pPr>
                  <w:r>
                    <w:rPr>
                      <w:rFonts w:hint="default"/>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3" w:type="pct"/>
                  <w:vMerge w:val="continue"/>
                  <w:noWrap w:val="0"/>
                  <w:vAlign w:val="center"/>
                </w:tcPr>
                <w:p>
                  <w:pPr>
                    <w:pStyle w:val="55"/>
                    <w:bidi w:val="0"/>
                    <w:rPr>
                      <w:rFonts w:hint="default"/>
                      <w:color w:val="auto"/>
                    </w:rPr>
                  </w:pPr>
                </w:p>
              </w:tc>
              <w:tc>
                <w:tcPr>
                  <w:tcW w:w="1109" w:type="pct"/>
                  <w:noWrap w:val="0"/>
                  <w:vAlign w:val="center"/>
                </w:tcPr>
                <w:p>
                  <w:pPr>
                    <w:pStyle w:val="55"/>
                    <w:bidi w:val="0"/>
                    <w:rPr>
                      <w:rFonts w:hint="default"/>
                      <w:color w:val="auto"/>
                      <w:lang w:eastAsia="zh-CN"/>
                    </w:rPr>
                  </w:pPr>
                  <w:r>
                    <w:rPr>
                      <w:rFonts w:hint="default"/>
                      <w:color w:val="auto"/>
                      <w:lang w:val="en-US" w:eastAsia="zh-CN"/>
                    </w:rPr>
                    <w:t>总磷</w:t>
                  </w:r>
                </w:p>
              </w:tc>
              <w:tc>
                <w:tcPr>
                  <w:tcW w:w="3097" w:type="pct"/>
                  <w:noWrap w:val="0"/>
                  <w:vAlign w:val="center"/>
                </w:tcPr>
                <w:p>
                  <w:pPr>
                    <w:pStyle w:val="55"/>
                    <w:bidi w:val="0"/>
                    <w:rPr>
                      <w:rFonts w:hint="default"/>
                      <w:color w:val="auto"/>
                      <w:lang w:eastAsia="zh-CN"/>
                    </w:rPr>
                  </w:pPr>
                  <w:r>
                    <w:rPr>
                      <w:rFonts w:hint="default"/>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3" w:type="pct"/>
                  <w:vMerge w:val="continue"/>
                  <w:noWrap w:val="0"/>
                  <w:vAlign w:val="center"/>
                </w:tcPr>
                <w:p>
                  <w:pPr>
                    <w:pStyle w:val="55"/>
                    <w:bidi w:val="0"/>
                    <w:rPr>
                      <w:rFonts w:hint="default"/>
                      <w:color w:val="auto"/>
                    </w:rPr>
                  </w:pPr>
                </w:p>
              </w:tc>
              <w:tc>
                <w:tcPr>
                  <w:tcW w:w="1109" w:type="pct"/>
                  <w:noWrap w:val="0"/>
                  <w:vAlign w:val="center"/>
                </w:tcPr>
                <w:p>
                  <w:pPr>
                    <w:pStyle w:val="55"/>
                    <w:bidi w:val="0"/>
                    <w:rPr>
                      <w:rFonts w:hint="default"/>
                      <w:color w:val="auto"/>
                      <w:lang w:val="en-US" w:eastAsia="zh-CN"/>
                    </w:rPr>
                  </w:pPr>
                  <w:r>
                    <w:rPr>
                      <w:rFonts w:hint="default"/>
                      <w:color w:val="auto"/>
                    </w:rPr>
                    <w:t>粪大肠菌群</w:t>
                  </w:r>
                </w:p>
              </w:tc>
              <w:tc>
                <w:tcPr>
                  <w:tcW w:w="3097" w:type="pct"/>
                  <w:noWrap w:val="0"/>
                  <w:vAlign w:val="center"/>
                </w:tcPr>
                <w:p>
                  <w:pPr>
                    <w:pStyle w:val="55"/>
                    <w:bidi w:val="0"/>
                    <w:rPr>
                      <w:rFonts w:hint="default"/>
                      <w:color w:val="auto"/>
                      <w:lang w:val="en-US" w:eastAsia="zh-CN"/>
                    </w:rPr>
                  </w:pPr>
                  <w:r>
                    <w:rPr>
                      <w:rFonts w:hint="default"/>
                      <w:color w:val="auto"/>
                    </w:rPr>
                    <w:t>5000MNP/L</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w:t>
            </w:r>
            <w:r>
              <w:rPr>
                <w:rFonts w:hint="eastAsia" w:ascii="Times New Roman" w:hAnsi="Times New Roman" w:eastAsia="宋体" w:cs="Times New Roman"/>
                <w:b/>
                <w:bCs/>
                <w:color w:val="auto"/>
                <w:kern w:val="0"/>
                <w:sz w:val="24"/>
                <w:szCs w:val="24"/>
                <w:u w:val="none" w:color="auto"/>
                <w:lang w:val="en-US" w:eastAsia="zh-CN"/>
              </w:rPr>
              <w:t>8</w:t>
            </w:r>
            <w:r>
              <w:rPr>
                <w:rFonts w:hint="default" w:ascii="Times New Roman" w:hAnsi="Times New Roman" w:eastAsia="宋体" w:cs="Times New Roman"/>
                <w:b/>
                <w:bCs/>
                <w:color w:val="auto"/>
                <w:kern w:val="0"/>
                <w:sz w:val="24"/>
                <w:szCs w:val="24"/>
                <w:u w:val="none" w:color="auto"/>
              </w:rPr>
              <w:t>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运营期污水</w:t>
            </w:r>
            <w:r>
              <w:rPr>
                <w:rFonts w:hint="default" w:ascii="Times New Roman" w:hAnsi="Times New Roman" w:eastAsia="宋体" w:cs="Times New Roman"/>
                <w:color w:val="auto"/>
                <w:kern w:val="0"/>
                <w:sz w:val="24"/>
                <w:szCs w:val="24"/>
                <w:u w:val="none" w:color="auto"/>
              </w:rPr>
              <w:t>处理站</w:t>
            </w:r>
            <w:r>
              <w:rPr>
                <w:rFonts w:hint="default" w:ascii="Times New Roman" w:hAnsi="Times New Roman" w:eastAsia="宋体" w:cs="Times New Roman"/>
                <w:color w:val="auto"/>
                <w:sz w:val="24"/>
                <w:szCs w:val="24"/>
                <w:u w:val="none" w:color="auto"/>
              </w:rPr>
              <w:t>排放废气中氨、硫化氢、臭气浓度执行《医疗机构水污染物排放标准》（GB18466－2005）中表3污水处理站周边大气污染物最高允许浓度；食堂油烟执行《饮食业油烟排放标准（试行）》（GB18483-2001）表2中小型规模标准要求；备用发电机废气执行</w:t>
            </w:r>
            <w:r>
              <w:rPr>
                <w:color w:val="auto"/>
                <w:sz w:val="24"/>
                <w:u w:val="none" w:color="auto"/>
              </w:rPr>
              <w:t>《非道路移动机械用柴油机排气污染物排放限值及测量方法</w:t>
            </w:r>
            <w:r>
              <w:rPr>
                <w:rFonts w:hint="eastAsia"/>
                <w:color w:val="auto"/>
                <w:sz w:val="24"/>
                <w:u w:val="none" w:color="auto"/>
                <w:lang w:eastAsia="zh-CN"/>
              </w:rPr>
              <w:t>（</w:t>
            </w:r>
            <w:r>
              <w:rPr>
                <w:rFonts w:hint="eastAsia"/>
                <w:color w:val="auto"/>
                <w:sz w:val="24"/>
                <w:u w:val="none" w:color="auto"/>
                <w:lang w:val="en-US" w:eastAsia="zh-CN"/>
              </w:rPr>
              <w:t>中国第三、四阶段</w:t>
            </w:r>
            <w:r>
              <w:rPr>
                <w:rFonts w:hint="eastAsia"/>
                <w:color w:val="auto"/>
                <w:sz w:val="24"/>
                <w:u w:val="none" w:color="auto"/>
                <w:lang w:eastAsia="zh-CN"/>
              </w:rPr>
              <w:t>）</w:t>
            </w:r>
            <w:r>
              <w:rPr>
                <w:color w:val="auto"/>
                <w:sz w:val="24"/>
                <w:u w:val="none" w:color="auto"/>
              </w:rPr>
              <w:t>》(GB 20891—2014</w:t>
            </w:r>
            <w:r>
              <w:rPr>
                <w:rFonts w:hint="eastAsia"/>
                <w:color w:val="auto"/>
                <w:sz w:val="24"/>
                <w:u w:val="none" w:color="auto"/>
                <w:lang w:eastAsia="zh-CN"/>
              </w:rPr>
              <w:t>）</w:t>
            </w:r>
            <w:r>
              <w:rPr>
                <w:color w:val="auto"/>
                <w:sz w:val="24"/>
                <w:u w:val="none" w:color="auto"/>
              </w:rPr>
              <w:t>中第三阶段标准要求</w:t>
            </w:r>
            <w:r>
              <w:rPr>
                <w:rFonts w:hint="default" w:ascii="Times New Roman" w:hAnsi="Times New Roman" w:eastAsia="宋体" w:cs="Times New Roman"/>
                <w:color w:val="auto"/>
                <w:sz w:val="24"/>
                <w:szCs w:val="24"/>
                <w:u w:val="none" w:color="auto"/>
              </w:rPr>
              <w:t>。</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表3-</w:t>
            </w:r>
            <w:r>
              <w:rPr>
                <w:rFonts w:hint="eastAsia" w:ascii="Times New Roman" w:hAnsi="Times New Roman" w:eastAsia="宋体" w:cs="Times New Roman"/>
                <w:color w:val="auto"/>
                <w:sz w:val="24"/>
                <w:szCs w:val="24"/>
                <w:u w:val="none" w:color="auto"/>
                <w:lang w:val="en-US" w:eastAsia="zh-CN"/>
              </w:rPr>
              <w:t xml:space="preserve">6  </w:t>
            </w:r>
            <w:r>
              <w:rPr>
                <w:rFonts w:hint="default" w:ascii="Times New Roman" w:hAnsi="Times New Roman" w:eastAsia="宋体" w:cs="Times New Roman"/>
                <w:color w:val="auto"/>
                <w:sz w:val="24"/>
                <w:szCs w:val="24"/>
                <w:u w:val="none" w:color="auto"/>
              </w:rPr>
              <w:t>废气污染物排放限值一览表</w:t>
            </w:r>
          </w:p>
          <w:tbl>
            <w:tblPr>
              <w:tblStyle w:val="21"/>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071"/>
              <w:gridCol w:w="1425"/>
              <w:gridCol w:w="1430"/>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noWrap w:val="0"/>
                  <w:vAlign w:val="center"/>
                </w:tcPr>
                <w:p>
                  <w:pPr>
                    <w:pStyle w:val="55"/>
                    <w:bidi w:val="0"/>
                    <w:rPr>
                      <w:rFonts w:hint="default"/>
                      <w:color w:val="auto"/>
                    </w:rPr>
                  </w:pPr>
                  <w:r>
                    <w:rPr>
                      <w:rFonts w:hint="default"/>
                      <w:color w:val="auto"/>
                    </w:rPr>
                    <w:t>污染源</w:t>
                  </w:r>
                </w:p>
              </w:tc>
              <w:tc>
                <w:tcPr>
                  <w:tcW w:w="1074" w:type="dxa"/>
                  <w:noWrap w:val="0"/>
                  <w:vAlign w:val="center"/>
                </w:tcPr>
                <w:p>
                  <w:pPr>
                    <w:pStyle w:val="55"/>
                    <w:bidi w:val="0"/>
                    <w:rPr>
                      <w:rFonts w:hint="default"/>
                      <w:color w:val="auto"/>
                    </w:rPr>
                  </w:pPr>
                  <w:r>
                    <w:rPr>
                      <w:rFonts w:hint="default"/>
                      <w:color w:val="auto"/>
                    </w:rPr>
                    <w:t>污染因子</w:t>
                  </w:r>
                </w:p>
              </w:tc>
              <w:tc>
                <w:tcPr>
                  <w:tcW w:w="2917" w:type="dxa"/>
                  <w:gridSpan w:val="2"/>
                  <w:noWrap w:val="0"/>
                  <w:vAlign w:val="center"/>
                </w:tcPr>
                <w:p>
                  <w:pPr>
                    <w:pStyle w:val="55"/>
                    <w:bidi w:val="0"/>
                    <w:rPr>
                      <w:rFonts w:hint="default"/>
                      <w:color w:val="auto"/>
                    </w:rPr>
                  </w:pPr>
                  <w:r>
                    <w:rPr>
                      <w:rFonts w:hint="default"/>
                      <w:color w:val="auto"/>
                    </w:rPr>
                    <w:t>排放限值</w:t>
                  </w:r>
                </w:p>
              </w:tc>
              <w:tc>
                <w:tcPr>
                  <w:tcW w:w="2666" w:type="dxa"/>
                  <w:noWrap w:val="0"/>
                  <w:vAlign w:val="center"/>
                </w:tcPr>
                <w:p>
                  <w:pPr>
                    <w:pStyle w:val="55"/>
                    <w:bidi w:val="0"/>
                    <w:rPr>
                      <w:rFonts w:hint="default"/>
                      <w:color w:val="auto"/>
                    </w:rPr>
                  </w:pPr>
                  <w:r>
                    <w:rPr>
                      <w:rFonts w:hint="default"/>
                      <w:color w:val="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317" w:type="dxa"/>
                  <w:vMerge w:val="restart"/>
                  <w:noWrap w:val="0"/>
                  <w:vAlign w:val="center"/>
                </w:tcPr>
                <w:p>
                  <w:pPr>
                    <w:pStyle w:val="55"/>
                    <w:bidi w:val="0"/>
                    <w:rPr>
                      <w:rFonts w:hint="default"/>
                      <w:color w:val="auto"/>
                    </w:rPr>
                  </w:pPr>
                  <w:r>
                    <w:rPr>
                      <w:rFonts w:hint="default"/>
                      <w:color w:val="auto"/>
                    </w:rPr>
                    <w:t>污水处理站</w:t>
                  </w:r>
                </w:p>
              </w:tc>
              <w:tc>
                <w:tcPr>
                  <w:tcW w:w="1074" w:type="dxa"/>
                  <w:noWrap w:val="0"/>
                  <w:vAlign w:val="center"/>
                </w:tcPr>
                <w:p>
                  <w:pPr>
                    <w:pStyle w:val="55"/>
                    <w:bidi w:val="0"/>
                    <w:rPr>
                      <w:rFonts w:hint="default"/>
                      <w:color w:val="auto"/>
                    </w:rPr>
                  </w:pPr>
                  <w:r>
                    <w:rPr>
                      <w:rFonts w:hint="default"/>
                      <w:color w:val="auto"/>
                    </w:rPr>
                    <w:t>氨</w:t>
                  </w:r>
                </w:p>
              </w:tc>
              <w:tc>
                <w:tcPr>
                  <w:tcW w:w="2917" w:type="dxa"/>
                  <w:gridSpan w:val="2"/>
                  <w:noWrap w:val="0"/>
                  <w:vAlign w:val="center"/>
                </w:tcPr>
                <w:p>
                  <w:pPr>
                    <w:pStyle w:val="55"/>
                    <w:bidi w:val="0"/>
                    <w:rPr>
                      <w:rFonts w:hint="default"/>
                      <w:color w:val="auto"/>
                    </w:rPr>
                  </w:pPr>
                  <w:r>
                    <w:rPr>
                      <w:rFonts w:hint="default"/>
                      <w:color w:val="auto"/>
                    </w:rPr>
                    <w:t>1.0mg/m</w:t>
                  </w:r>
                  <w:r>
                    <w:rPr>
                      <w:rFonts w:hint="default"/>
                      <w:color w:val="auto"/>
                      <w:vertAlign w:val="superscript"/>
                    </w:rPr>
                    <w:t>3</w:t>
                  </w:r>
                </w:p>
              </w:tc>
              <w:tc>
                <w:tcPr>
                  <w:tcW w:w="2666" w:type="dxa"/>
                  <w:vMerge w:val="restart"/>
                  <w:noWrap w:val="0"/>
                  <w:vAlign w:val="center"/>
                </w:tcPr>
                <w:p>
                  <w:pPr>
                    <w:pStyle w:val="55"/>
                    <w:bidi w:val="0"/>
                    <w:rPr>
                      <w:rFonts w:hint="default"/>
                      <w:color w:val="auto"/>
                    </w:rPr>
                  </w:pPr>
                  <w:r>
                    <w:rPr>
                      <w:rFonts w:hint="default"/>
                      <w:color w:val="auto"/>
                    </w:rPr>
                    <w:t>《医疗机构水污染物排放</w:t>
                  </w:r>
                </w:p>
                <w:p>
                  <w:pPr>
                    <w:pStyle w:val="55"/>
                    <w:bidi w:val="0"/>
                    <w:rPr>
                      <w:rFonts w:hint="default"/>
                      <w:color w:val="auto"/>
                    </w:rPr>
                  </w:pPr>
                  <w:r>
                    <w:rPr>
                      <w:rFonts w:hint="default"/>
                      <w:color w:val="auto"/>
                    </w:rPr>
                    <w:t>标准》（GB18466-2005）中表3污水处理站周边大气污染物最高允许浓度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noWrap w:val="0"/>
                  <w:vAlign w:val="center"/>
                </w:tcPr>
                <w:p>
                  <w:pPr>
                    <w:pStyle w:val="55"/>
                    <w:bidi w:val="0"/>
                    <w:rPr>
                      <w:rFonts w:hint="default"/>
                      <w:color w:val="auto"/>
                    </w:rPr>
                  </w:pPr>
                </w:p>
              </w:tc>
              <w:tc>
                <w:tcPr>
                  <w:tcW w:w="1074" w:type="dxa"/>
                  <w:noWrap w:val="0"/>
                  <w:vAlign w:val="center"/>
                </w:tcPr>
                <w:p>
                  <w:pPr>
                    <w:pStyle w:val="55"/>
                    <w:bidi w:val="0"/>
                    <w:rPr>
                      <w:rFonts w:hint="default"/>
                      <w:color w:val="auto"/>
                    </w:rPr>
                  </w:pPr>
                  <w:r>
                    <w:rPr>
                      <w:rFonts w:hint="default"/>
                      <w:color w:val="auto"/>
                    </w:rPr>
                    <w:t>硫化氢</w:t>
                  </w:r>
                </w:p>
              </w:tc>
              <w:tc>
                <w:tcPr>
                  <w:tcW w:w="2917" w:type="dxa"/>
                  <w:gridSpan w:val="2"/>
                  <w:noWrap w:val="0"/>
                  <w:vAlign w:val="center"/>
                </w:tcPr>
                <w:p>
                  <w:pPr>
                    <w:pStyle w:val="55"/>
                    <w:bidi w:val="0"/>
                    <w:rPr>
                      <w:rFonts w:hint="default"/>
                      <w:color w:val="auto"/>
                    </w:rPr>
                  </w:pPr>
                  <w:r>
                    <w:rPr>
                      <w:rFonts w:hint="default"/>
                      <w:color w:val="auto"/>
                    </w:rPr>
                    <w:t>0.03mg/m</w:t>
                  </w:r>
                  <w:r>
                    <w:rPr>
                      <w:rFonts w:hint="default"/>
                      <w:color w:val="auto"/>
                      <w:vertAlign w:val="superscript"/>
                    </w:rPr>
                    <w:t>3</w:t>
                  </w:r>
                </w:p>
              </w:tc>
              <w:tc>
                <w:tcPr>
                  <w:tcW w:w="2666" w:type="dxa"/>
                  <w:vMerge w:val="continue"/>
                  <w:noWrap w:val="0"/>
                  <w:vAlign w:val="center"/>
                </w:tcPr>
                <w:p>
                  <w:pPr>
                    <w:pStyle w:val="55"/>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noWrap w:val="0"/>
                  <w:vAlign w:val="center"/>
                </w:tcPr>
                <w:p>
                  <w:pPr>
                    <w:pStyle w:val="55"/>
                    <w:bidi w:val="0"/>
                    <w:rPr>
                      <w:rFonts w:hint="default"/>
                      <w:color w:val="auto"/>
                    </w:rPr>
                  </w:pPr>
                </w:p>
              </w:tc>
              <w:tc>
                <w:tcPr>
                  <w:tcW w:w="1074" w:type="dxa"/>
                  <w:noWrap w:val="0"/>
                  <w:vAlign w:val="center"/>
                </w:tcPr>
                <w:p>
                  <w:pPr>
                    <w:pStyle w:val="55"/>
                    <w:bidi w:val="0"/>
                    <w:rPr>
                      <w:rFonts w:hint="default"/>
                      <w:color w:val="auto"/>
                    </w:rPr>
                  </w:pPr>
                  <w:r>
                    <w:rPr>
                      <w:rFonts w:hint="default"/>
                      <w:color w:val="auto"/>
                    </w:rPr>
                    <w:t>臭气浓度</w:t>
                  </w:r>
                </w:p>
              </w:tc>
              <w:tc>
                <w:tcPr>
                  <w:tcW w:w="2917" w:type="dxa"/>
                  <w:gridSpan w:val="2"/>
                  <w:noWrap w:val="0"/>
                  <w:vAlign w:val="center"/>
                </w:tcPr>
                <w:p>
                  <w:pPr>
                    <w:pStyle w:val="55"/>
                    <w:bidi w:val="0"/>
                    <w:rPr>
                      <w:rFonts w:hint="default"/>
                      <w:color w:val="auto"/>
                    </w:rPr>
                  </w:pPr>
                  <w:r>
                    <w:rPr>
                      <w:rFonts w:hint="default"/>
                      <w:color w:val="auto"/>
                    </w:rPr>
                    <w:t>10（无量纲）</w:t>
                  </w:r>
                </w:p>
              </w:tc>
              <w:tc>
                <w:tcPr>
                  <w:tcW w:w="2666" w:type="dxa"/>
                  <w:vMerge w:val="continue"/>
                  <w:noWrap w:val="0"/>
                  <w:vAlign w:val="center"/>
                </w:tcPr>
                <w:p>
                  <w:pPr>
                    <w:pStyle w:val="55"/>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restart"/>
                  <w:noWrap w:val="0"/>
                  <w:vAlign w:val="center"/>
                </w:tcPr>
                <w:p>
                  <w:pPr>
                    <w:pStyle w:val="55"/>
                    <w:bidi w:val="0"/>
                    <w:rPr>
                      <w:rFonts w:hint="default"/>
                      <w:color w:val="auto"/>
                    </w:rPr>
                  </w:pPr>
                  <w:r>
                    <w:rPr>
                      <w:rFonts w:hint="default"/>
                      <w:color w:val="auto"/>
                    </w:rPr>
                    <w:t>食堂</w:t>
                  </w:r>
                </w:p>
              </w:tc>
              <w:tc>
                <w:tcPr>
                  <w:tcW w:w="1074" w:type="dxa"/>
                  <w:vMerge w:val="restart"/>
                  <w:noWrap w:val="0"/>
                  <w:vAlign w:val="center"/>
                </w:tcPr>
                <w:p>
                  <w:pPr>
                    <w:pStyle w:val="55"/>
                    <w:bidi w:val="0"/>
                    <w:rPr>
                      <w:rFonts w:hint="default"/>
                      <w:color w:val="auto"/>
                    </w:rPr>
                  </w:pPr>
                  <w:r>
                    <w:rPr>
                      <w:rFonts w:hint="default"/>
                      <w:color w:val="auto"/>
                    </w:rPr>
                    <w:t>油烟</w:t>
                  </w:r>
                </w:p>
              </w:tc>
              <w:tc>
                <w:tcPr>
                  <w:tcW w:w="1442" w:type="dxa"/>
                  <w:noWrap w:val="0"/>
                  <w:vAlign w:val="center"/>
                </w:tcPr>
                <w:p>
                  <w:pPr>
                    <w:pStyle w:val="55"/>
                    <w:bidi w:val="0"/>
                    <w:rPr>
                      <w:rFonts w:hint="default"/>
                      <w:color w:val="auto"/>
                    </w:rPr>
                  </w:pPr>
                  <w:r>
                    <w:rPr>
                      <w:rFonts w:hint="default"/>
                      <w:color w:val="auto"/>
                    </w:rPr>
                    <w:t>最高允许排放浓度限值（mg/m</w:t>
                  </w:r>
                  <w:r>
                    <w:rPr>
                      <w:rFonts w:hint="default"/>
                      <w:color w:val="auto"/>
                      <w:vertAlign w:val="superscript"/>
                    </w:rPr>
                    <w:t>3</w:t>
                  </w:r>
                  <w:r>
                    <w:rPr>
                      <w:rFonts w:hint="default"/>
                      <w:color w:val="auto"/>
                    </w:rPr>
                    <w:t>）</w:t>
                  </w:r>
                </w:p>
              </w:tc>
              <w:tc>
                <w:tcPr>
                  <w:tcW w:w="1475" w:type="dxa"/>
                  <w:noWrap w:val="0"/>
                  <w:vAlign w:val="center"/>
                </w:tcPr>
                <w:p>
                  <w:pPr>
                    <w:pStyle w:val="55"/>
                    <w:bidi w:val="0"/>
                    <w:rPr>
                      <w:rFonts w:hint="default"/>
                      <w:color w:val="auto"/>
                    </w:rPr>
                  </w:pPr>
                  <w:r>
                    <w:rPr>
                      <w:rFonts w:hint="default"/>
                      <w:color w:val="auto"/>
                    </w:rPr>
                    <w:t>净化设施最低去除效率（%）</w:t>
                  </w:r>
                </w:p>
              </w:tc>
              <w:tc>
                <w:tcPr>
                  <w:tcW w:w="2666" w:type="dxa"/>
                  <w:vMerge w:val="restart"/>
                  <w:noWrap w:val="0"/>
                  <w:vAlign w:val="center"/>
                </w:tcPr>
                <w:p>
                  <w:pPr>
                    <w:pStyle w:val="55"/>
                    <w:bidi w:val="0"/>
                    <w:rPr>
                      <w:rFonts w:hint="default"/>
                      <w:color w:val="auto"/>
                    </w:rPr>
                  </w:pPr>
                  <w:r>
                    <w:rPr>
                      <w:rFonts w:hint="default"/>
                      <w:color w:val="auto"/>
                    </w:rPr>
                    <w:t>《饮食业油烟排放标准（试行）》（GB18483-2001）</w:t>
                  </w:r>
                </w:p>
                <w:p>
                  <w:pPr>
                    <w:pStyle w:val="55"/>
                    <w:bidi w:val="0"/>
                    <w:rPr>
                      <w:rFonts w:hint="default"/>
                      <w:color w:val="auto"/>
                    </w:rPr>
                  </w:pPr>
                  <w:r>
                    <w:rPr>
                      <w:rFonts w:hint="default"/>
                      <w:color w:val="auto"/>
                    </w:rPr>
                    <w:t>表2中小型规模标准限值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noWrap w:val="0"/>
                  <w:vAlign w:val="center"/>
                </w:tcPr>
                <w:p>
                  <w:pPr>
                    <w:pStyle w:val="55"/>
                    <w:bidi w:val="0"/>
                    <w:rPr>
                      <w:rFonts w:hint="default"/>
                      <w:color w:val="auto"/>
                    </w:rPr>
                  </w:pPr>
                </w:p>
              </w:tc>
              <w:tc>
                <w:tcPr>
                  <w:tcW w:w="1074" w:type="dxa"/>
                  <w:vMerge w:val="continue"/>
                  <w:noWrap w:val="0"/>
                  <w:vAlign w:val="center"/>
                </w:tcPr>
                <w:p>
                  <w:pPr>
                    <w:pStyle w:val="55"/>
                    <w:bidi w:val="0"/>
                    <w:rPr>
                      <w:rFonts w:hint="default"/>
                      <w:color w:val="auto"/>
                    </w:rPr>
                  </w:pPr>
                </w:p>
              </w:tc>
              <w:tc>
                <w:tcPr>
                  <w:tcW w:w="1442" w:type="dxa"/>
                  <w:noWrap w:val="0"/>
                  <w:vAlign w:val="center"/>
                </w:tcPr>
                <w:p>
                  <w:pPr>
                    <w:pStyle w:val="55"/>
                    <w:bidi w:val="0"/>
                    <w:rPr>
                      <w:rFonts w:hint="default"/>
                      <w:color w:val="auto"/>
                    </w:rPr>
                  </w:pPr>
                  <w:r>
                    <w:rPr>
                      <w:rFonts w:hint="default"/>
                      <w:color w:val="auto"/>
                    </w:rPr>
                    <w:t>2.0</w:t>
                  </w:r>
                </w:p>
              </w:tc>
              <w:tc>
                <w:tcPr>
                  <w:tcW w:w="1475" w:type="dxa"/>
                  <w:noWrap w:val="0"/>
                  <w:vAlign w:val="center"/>
                </w:tcPr>
                <w:p>
                  <w:pPr>
                    <w:pStyle w:val="55"/>
                    <w:bidi w:val="0"/>
                    <w:rPr>
                      <w:rFonts w:hint="default"/>
                      <w:color w:val="auto"/>
                    </w:rPr>
                  </w:pPr>
                  <w:r>
                    <w:rPr>
                      <w:rFonts w:hint="default"/>
                      <w:color w:val="auto"/>
                    </w:rPr>
                    <w:t>60</w:t>
                  </w:r>
                </w:p>
              </w:tc>
              <w:tc>
                <w:tcPr>
                  <w:tcW w:w="2666" w:type="dxa"/>
                  <w:vMerge w:val="continue"/>
                  <w:noWrap w:val="0"/>
                  <w:vAlign w:val="center"/>
                </w:tcPr>
                <w:p>
                  <w:pPr>
                    <w:pStyle w:val="55"/>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restart"/>
                  <w:noWrap w:val="0"/>
                  <w:vAlign w:val="center"/>
                </w:tcPr>
                <w:p>
                  <w:pPr>
                    <w:pStyle w:val="55"/>
                    <w:bidi w:val="0"/>
                    <w:rPr>
                      <w:rFonts w:hint="default"/>
                      <w:color w:val="auto"/>
                    </w:rPr>
                  </w:pPr>
                  <w:r>
                    <w:rPr>
                      <w:rFonts w:hint="eastAsia"/>
                      <w:color w:val="auto"/>
                      <w:lang w:val="en-US" w:eastAsia="zh-CN"/>
                    </w:rPr>
                    <w:t>75≤</w:t>
                  </w:r>
                  <w:r>
                    <w:rPr>
                      <w:color w:val="auto"/>
                    </w:rPr>
                    <w:t>Pm</w:t>
                  </w:r>
                  <w:r>
                    <w:rPr>
                      <w:rFonts w:hint="eastAsia"/>
                      <w:color w:val="auto"/>
                      <w:lang w:val="en-US" w:eastAsia="zh-CN"/>
                    </w:rPr>
                    <w:t>a</w:t>
                  </w:r>
                  <w:r>
                    <w:rPr>
                      <w:color w:val="auto"/>
                    </w:rPr>
                    <w:t>x&lt;</w:t>
                  </w:r>
                  <w:r>
                    <w:rPr>
                      <w:rFonts w:hint="eastAsia"/>
                      <w:color w:val="auto"/>
                      <w:lang w:val="en-US" w:eastAsia="zh-CN"/>
                    </w:rPr>
                    <w:t>130</w:t>
                  </w:r>
                  <w:r>
                    <w:rPr>
                      <w:color w:val="auto"/>
                    </w:rPr>
                    <w:t>kW</w:t>
                  </w:r>
                  <w:r>
                    <w:rPr>
                      <w:rFonts w:hint="default"/>
                      <w:color w:val="auto"/>
                    </w:rPr>
                    <w:t>柴油发电机</w:t>
                  </w:r>
                </w:p>
              </w:tc>
              <w:tc>
                <w:tcPr>
                  <w:tcW w:w="1074" w:type="dxa"/>
                  <w:noWrap w:val="0"/>
                  <w:vAlign w:val="center"/>
                </w:tcPr>
                <w:p>
                  <w:pPr>
                    <w:pStyle w:val="55"/>
                    <w:bidi w:val="0"/>
                    <w:rPr>
                      <w:rFonts w:hint="default"/>
                      <w:color w:val="auto"/>
                      <w:lang w:val="en-US" w:eastAsia="zh-CN"/>
                    </w:rPr>
                  </w:pPr>
                  <w:r>
                    <w:rPr>
                      <w:rFonts w:hint="eastAsia"/>
                      <w:color w:val="auto"/>
                      <w:lang w:val="en-US" w:eastAsia="zh-CN"/>
                    </w:rPr>
                    <w:t>CO</w:t>
                  </w:r>
                </w:p>
              </w:tc>
              <w:tc>
                <w:tcPr>
                  <w:tcW w:w="2917" w:type="dxa"/>
                  <w:gridSpan w:val="2"/>
                  <w:noWrap w:val="0"/>
                  <w:vAlign w:val="center"/>
                </w:tcPr>
                <w:p>
                  <w:pPr>
                    <w:pStyle w:val="55"/>
                    <w:bidi w:val="0"/>
                    <w:rPr>
                      <w:rFonts w:hint="default"/>
                      <w:color w:val="auto"/>
                    </w:rPr>
                  </w:pPr>
                  <w:r>
                    <w:rPr>
                      <w:rFonts w:hint="eastAsia"/>
                      <w:color w:val="auto"/>
                      <w:lang w:val="en-US" w:eastAsia="zh-CN"/>
                    </w:rPr>
                    <w:t>5.0</w:t>
                  </w:r>
                  <w:r>
                    <w:rPr>
                      <w:rFonts w:hint="default"/>
                      <w:color w:val="auto"/>
                    </w:rPr>
                    <w:t>g/</w:t>
                  </w:r>
                  <w:r>
                    <w:rPr>
                      <w:rFonts w:hint="eastAsia"/>
                      <w:color w:val="auto"/>
                      <w:lang w:val="en-US" w:eastAsia="zh-CN"/>
                    </w:rPr>
                    <w:t>kW·h</w:t>
                  </w:r>
                </w:p>
              </w:tc>
              <w:tc>
                <w:tcPr>
                  <w:tcW w:w="2666" w:type="dxa"/>
                  <w:vMerge w:val="restart"/>
                  <w:noWrap w:val="0"/>
                  <w:vAlign w:val="center"/>
                </w:tcPr>
                <w:p>
                  <w:pPr>
                    <w:pStyle w:val="55"/>
                    <w:bidi w:val="0"/>
                    <w:rPr>
                      <w:rFonts w:hint="default"/>
                      <w:color w:val="auto"/>
                    </w:rPr>
                  </w:pPr>
                  <w:r>
                    <w:rPr>
                      <w:rFonts w:hint="default"/>
                      <w:color w:val="auto"/>
                    </w:rPr>
                    <w:t>《非道路移动机械用柴油</w:t>
                  </w:r>
                  <w:r>
                    <w:rPr>
                      <w:rFonts w:hint="eastAsia"/>
                      <w:color w:val="auto"/>
                      <w:lang w:val="en-US" w:eastAsia="zh-CN"/>
                    </w:rPr>
                    <w:t>机</w:t>
                  </w:r>
                  <w:r>
                    <w:rPr>
                      <w:rFonts w:hint="default"/>
                      <w:color w:val="auto"/>
                    </w:rPr>
                    <w:t>排气污染物排放限值及测量方法</w:t>
                  </w:r>
                  <w:r>
                    <w:rPr>
                      <w:rFonts w:hint="default"/>
                      <w:color w:val="auto"/>
                      <w:lang w:eastAsia="zh-CN"/>
                    </w:rPr>
                    <w:t>（</w:t>
                  </w:r>
                  <w:r>
                    <w:rPr>
                      <w:rFonts w:hint="default"/>
                      <w:color w:val="auto"/>
                      <w:lang w:val="en-US" w:eastAsia="zh-CN"/>
                    </w:rPr>
                    <w:t>中国第三、</w:t>
                  </w:r>
                  <w:r>
                    <w:rPr>
                      <w:rFonts w:hint="eastAsia"/>
                      <w:color w:val="auto"/>
                      <w:lang w:val="en-US" w:eastAsia="zh-CN"/>
                    </w:rPr>
                    <w:t>四</w:t>
                  </w:r>
                  <w:r>
                    <w:rPr>
                      <w:rFonts w:hint="default"/>
                      <w:color w:val="auto"/>
                      <w:lang w:val="en-US" w:eastAsia="zh-CN"/>
                    </w:rPr>
                    <w:t>阶段</w:t>
                  </w:r>
                  <w:r>
                    <w:rPr>
                      <w:rFonts w:hint="default"/>
                      <w:color w:val="auto"/>
                      <w:lang w:eastAsia="zh-CN"/>
                    </w:rPr>
                    <w:t>）</w:t>
                  </w:r>
                  <w:r>
                    <w:rPr>
                      <w:rFonts w:hint="default"/>
                      <w:color w:val="auto"/>
                    </w:rPr>
                    <w:t>》(GB0891—2014)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noWrap w:val="0"/>
                  <w:vAlign w:val="center"/>
                </w:tcPr>
                <w:p>
                  <w:pPr>
                    <w:pStyle w:val="55"/>
                    <w:bidi w:val="0"/>
                    <w:rPr>
                      <w:rFonts w:hint="default"/>
                      <w:color w:val="auto"/>
                    </w:rPr>
                  </w:pPr>
                </w:p>
              </w:tc>
              <w:tc>
                <w:tcPr>
                  <w:tcW w:w="1074" w:type="dxa"/>
                  <w:noWrap w:val="0"/>
                  <w:vAlign w:val="center"/>
                </w:tcPr>
                <w:p>
                  <w:pPr>
                    <w:pStyle w:val="55"/>
                    <w:bidi w:val="0"/>
                    <w:rPr>
                      <w:rFonts w:hint="default"/>
                      <w:color w:val="auto"/>
                    </w:rPr>
                  </w:pPr>
                  <w:r>
                    <w:rPr>
                      <w:color w:val="auto"/>
                    </w:rPr>
                    <w:t>HC+NO</w:t>
                  </w:r>
                  <w:r>
                    <w:rPr>
                      <w:color w:val="auto"/>
                      <w:vertAlign w:val="subscript"/>
                    </w:rPr>
                    <w:t>X</w:t>
                  </w:r>
                </w:p>
              </w:tc>
              <w:tc>
                <w:tcPr>
                  <w:tcW w:w="2917" w:type="dxa"/>
                  <w:gridSpan w:val="2"/>
                  <w:noWrap w:val="0"/>
                  <w:vAlign w:val="center"/>
                </w:tcPr>
                <w:p>
                  <w:pPr>
                    <w:pStyle w:val="55"/>
                    <w:bidi w:val="0"/>
                    <w:rPr>
                      <w:rFonts w:hint="default"/>
                      <w:color w:val="auto"/>
                    </w:rPr>
                  </w:pPr>
                  <w:r>
                    <w:rPr>
                      <w:rFonts w:hint="eastAsia"/>
                      <w:color w:val="auto"/>
                      <w:lang w:val="en-US" w:eastAsia="zh-CN"/>
                    </w:rPr>
                    <w:t>4.0</w:t>
                  </w:r>
                  <w:r>
                    <w:rPr>
                      <w:rFonts w:hint="default"/>
                      <w:color w:val="auto"/>
                    </w:rPr>
                    <w:t>g/</w:t>
                  </w:r>
                  <w:r>
                    <w:rPr>
                      <w:rFonts w:hint="eastAsia"/>
                      <w:color w:val="auto"/>
                      <w:lang w:val="en-US" w:eastAsia="zh-CN"/>
                    </w:rPr>
                    <w:t>kW·h</w:t>
                  </w:r>
                </w:p>
              </w:tc>
              <w:tc>
                <w:tcPr>
                  <w:tcW w:w="2666" w:type="dxa"/>
                  <w:vMerge w:val="continue"/>
                  <w:noWrap w:val="0"/>
                  <w:vAlign w:val="center"/>
                </w:tcPr>
                <w:p>
                  <w:pPr>
                    <w:pStyle w:val="55"/>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noWrap w:val="0"/>
                  <w:vAlign w:val="center"/>
                </w:tcPr>
                <w:p>
                  <w:pPr>
                    <w:pStyle w:val="55"/>
                    <w:bidi w:val="0"/>
                    <w:rPr>
                      <w:rFonts w:hint="default"/>
                      <w:color w:val="auto"/>
                    </w:rPr>
                  </w:pPr>
                </w:p>
              </w:tc>
              <w:tc>
                <w:tcPr>
                  <w:tcW w:w="1074" w:type="dxa"/>
                  <w:noWrap w:val="0"/>
                  <w:vAlign w:val="center"/>
                </w:tcPr>
                <w:p>
                  <w:pPr>
                    <w:pStyle w:val="55"/>
                    <w:bidi w:val="0"/>
                    <w:rPr>
                      <w:rFonts w:hint="default"/>
                      <w:color w:val="auto"/>
                    </w:rPr>
                  </w:pPr>
                  <w:r>
                    <w:rPr>
                      <w:color w:val="auto"/>
                    </w:rPr>
                    <w:t>PM</w:t>
                  </w:r>
                </w:p>
              </w:tc>
              <w:tc>
                <w:tcPr>
                  <w:tcW w:w="2917" w:type="dxa"/>
                  <w:gridSpan w:val="2"/>
                  <w:noWrap w:val="0"/>
                  <w:vAlign w:val="center"/>
                </w:tcPr>
                <w:p>
                  <w:pPr>
                    <w:pStyle w:val="55"/>
                    <w:bidi w:val="0"/>
                    <w:rPr>
                      <w:rFonts w:hint="default"/>
                      <w:color w:val="auto"/>
                    </w:rPr>
                  </w:pPr>
                  <w:r>
                    <w:rPr>
                      <w:rFonts w:hint="eastAsia"/>
                      <w:color w:val="auto"/>
                      <w:lang w:val="en-US" w:eastAsia="zh-CN"/>
                    </w:rPr>
                    <w:t>0.30</w:t>
                  </w:r>
                  <w:r>
                    <w:rPr>
                      <w:rFonts w:hint="default"/>
                      <w:color w:val="auto"/>
                    </w:rPr>
                    <w:t>g/</w:t>
                  </w:r>
                  <w:r>
                    <w:rPr>
                      <w:rFonts w:hint="eastAsia"/>
                      <w:color w:val="auto"/>
                      <w:lang w:val="en-US" w:eastAsia="zh-CN"/>
                    </w:rPr>
                    <w:t>kW·h</w:t>
                  </w:r>
                </w:p>
              </w:tc>
              <w:tc>
                <w:tcPr>
                  <w:tcW w:w="2666" w:type="dxa"/>
                  <w:vMerge w:val="continue"/>
                  <w:noWrap w:val="0"/>
                  <w:vAlign w:val="center"/>
                </w:tcPr>
                <w:p>
                  <w:pPr>
                    <w:pStyle w:val="55"/>
                    <w:bidi w:val="0"/>
                    <w:rPr>
                      <w:rFonts w:hint="default"/>
                      <w:color w:val="auto"/>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w:t>
            </w:r>
            <w:r>
              <w:rPr>
                <w:rFonts w:hint="eastAsia" w:ascii="Times New Roman" w:hAnsi="Times New Roman" w:eastAsia="宋体" w:cs="Times New Roman"/>
                <w:b/>
                <w:bCs/>
                <w:color w:val="auto"/>
                <w:kern w:val="0"/>
                <w:sz w:val="24"/>
                <w:szCs w:val="24"/>
                <w:u w:val="none" w:color="auto"/>
                <w:lang w:val="en-US" w:eastAsia="zh-CN"/>
              </w:rPr>
              <w:t>9</w:t>
            </w:r>
            <w:r>
              <w:rPr>
                <w:rFonts w:hint="default" w:ascii="Times New Roman" w:hAnsi="Times New Roman" w:eastAsia="宋体" w:cs="Times New Roman"/>
                <w:b/>
                <w:bCs/>
                <w:color w:val="auto"/>
                <w:kern w:val="0"/>
                <w:sz w:val="24"/>
                <w:szCs w:val="24"/>
                <w:u w:val="none" w:color="auto"/>
              </w:rPr>
              <w:t>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本项目位于</w:t>
            </w:r>
            <w:r>
              <w:rPr>
                <w:rFonts w:hint="default" w:ascii="Times New Roman" w:hAnsi="Times New Roman" w:eastAsia="宋体" w:cs="Times New Roman"/>
                <w:color w:val="auto"/>
                <w:kern w:val="0"/>
                <w:sz w:val="24"/>
                <w:szCs w:val="24"/>
                <w:u w:val="none" w:color="auto"/>
              </w:rPr>
              <w:t>湘阴县</w:t>
            </w:r>
            <w:r>
              <w:rPr>
                <w:rFonts w:hint="eastAsia" w:ascii="Times New Roman" w:hAnsi="Times New Roman" w:eastAsia="宋体" w:cs="Times New Roman"/>
                <w:color w:val="auto"/>
                <w:sz w:val="24"/>
                <w:szCs w:val="24"/>
                <w:u w:val="none" w:color="auto"/>
                <w:lang w:eastAsia="zh-CN"/>
              </w:rPr>
              <w:t>东塘</w:t>
            </w:r>
            <w:r>
              <w:rPr>
                <w:rFonts w:hint="eastAsia" w:ascii="Times New Roman" w:hAnsi="Times New Roman" w:eastAsia="宋体" w:cs="Times New Roman"/>
                <w:color w:val="auto"/>
                <w:sz w:val="24"/>
                <w:szCs w:val="24"/>
                <w:u w:val="none" w:color="auto"/>
                <w:lang w:val="en-US" w:eastAsia="zh-CN"/>
              </w:rPr>
              <w:t>镇</w:t>
            </w:r>
            <w:r>
              <w:rPr>
                <w:rFonts w:hint="default" w:ascii="Times New Roman" w:hAnsi="Times New Roman" w:eastAsia="宋体" w:cs="Times New Roman"/>
                <w:color w:val="auto"/>
                <w:sz w:val="24"/>
                <w:szCs w:val="24"/>
                <w:u w:val="none" w:color="auto"/>
              </w:rPr>
              <w:t>，项目噪声排放执行标准详见下表。</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表</w:t>
            </w:r>
            <w:r>
              <w:rPr>
                <w:rFonts w:hint="default" w:ascii="Times New Roman" w:hAnsi="Times New Roman" w:eastAsia="Times New Roman" w:cs="Times New Roman"/>
                <w:color w:val="auto"/>
                <w:sz w:val="24"/>
                <w:szCs w:val="24"/>
                <w:u w:val="none" w:color="auto"/>
              </w:rPr>
              <w:t>3-</w:t>
            </w:r>
            <w:r>
              <w:rPr>
                <w:rFonts w:hint="eastAsia" w:ascii="Times New Roman" w:hAnsi="Times New Roman" w:eastAsia="宋体" w:cs="Times New Roman"/>
                <w:color w:val="auto"/>
                <w:sz w:val="24"/>
                <w:szCs w:val="24"/>
                <w:u w:val="none" w:color="auto"/>
                <w:lang w:val="en-US" w:eastAsia="zh-CN"/>
              </w:rPr>
              <w:t xml:space="preserve">7  </w:t>
            </w:r>
            <w:r>
              <w:rPr>
                <w:rFonts w:hint="default" w:ascii="Times New Roman" w:hAnsi="Times New Roman" w:eastAsia="宋体" w:cs="Times New Roman"/>
                <w:color w:val="auto"/>
                <w:sz w:val="24"/>
                <w:szCs w:val="24"/>
                <w:u w:val="none" w:color="auto"/>
              </w:rPr>
              <w:t>工业企业厂界环境噪声排放标准</w:t>
            </w:r>
          </w:p>
          <w:tbl>
            <w:tblPr>
              <w:tblStyle w:val="21"/>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3"/>
              <w:gridCol w:w="1404"/>
              <w:gridCol w:w="125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执行标准</w:t>
                  </w:r>
                </w:p>
              </w:tc>
              <w:tc>
                <w:tcPr>
                  <w:tcW w:w="1404"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昼间</w:t>
                  </w:r>
                </w:p>
              </w:tc>
              <w:tc>
                <w:tcPr>
                  <w:tcW w:w="125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夜间</w:t>
                  </w:r>
                </w:p>
              </w:tc>
              <w:tc>
                <w:tcPr>
                  <w:tcW w:w="1264"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《工业企业厂界环境噪声排放标准》（GB12348-2008）中2类标准</w:t>
                  </w:r>
                </w:p>
              </w:tc>
              <w:tc>
                <w:tcPr>
                  <w:tcW w:w="1404"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1253"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1264" w:type="dxa"/>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dB（A）</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3.1</w:t>
            </w:r>
            <w:r>
              <w:rPr>
                <w:rFonts w:hint="eastAsia" w:ascii="Times New Roman" w:hAnsi="Times New Roman" w:eastAsia="宋体" w:cs="Times New Roman"/>
                <w:b/>
                <w:bCs/>
                <w:color w:val="auto"/>
                <w:kern w:val="0"/>
                <w:sz w:val="24"/>
                <w:szCs w:val="24"/>
                <w:u w:val="none" w:color="auto"/>
                <w:lang w:val="en-US" w:eastAsia="zh-CN"/>
              </w:rPr>
              <w:t>0</w:t>
            </w:r>
            <w:r>
              <w:rPr>
                <w:rFonts w:hint="default" w:ascii="Times New Roman" w:hAnsi="Times New Roman" w:eastAsia="宋体" w:cs="Times New Roman"/>
                <w:b/>
                <w:bCs/>
                <w:color w:val="auto"/>
                <w:kern w:val="0"/>
                <w:sz w:val="24"/>
                <w:szCs w:val="24"/>
                <w:u w:val="none" w:color="auto"/>
              </w:rPr>
              <w:t>固体废弃物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一般工业固体废物执行《一般工业固体废物贮存和填埋污染控制标准》（GB18599-2020）；</w:t>
            </w:r>
            <w:r>
              <w:rPr>
                <w:rFonts w:hint="default" w:ascii="Times New Roman" w:hAnsi="Times New Roman" w:eastAsia="宋体" w:cs="Times New Roman"/>
                <w:color w:val="auto"/>
                <w:sz w:val="24"/>
                <w:szCs w:val="24"/>
                <w:u w:val="none" w:color="auto"/>
                <w:lang w:val="en-US" w:eastAsia="zh-CN"/>
              </w:rPr>
              <w:t>危险废物执行《危险废物贮存污染控制标准》（GB18597-2023），医疗废物包装、容器、警示标志执行《医疗废物专用包装袋、容器和警示标志标准》。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总量控制指标</w:t>
            </w:r>
          </w:p>
        </w:tc>
        <w:tc>
          <w:tcPr>
            <w:tcW w:w="81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根据国家对实施污染物排放总量控制的要求及本项目污染物排放特点，项目</w:t>
            </w:r>
            <w:r>
              <w:rPr>
                <w:rFonts w:hint="eastAsia" w:cs="Times New Roman"/>
                <w:color w:val="auto"/>
                <w:kern w:val="0"/>
                <w:sz w:val="24"/>
                <w:szCs w:val="24"/>
                <w:u w:val="none" w:color="auto"/>
                <w:lang w:val="en-US" w:eastAsia="zh-CN"/>
              </w:rPr>
              <w:t>涉及的</w:t>
            </w:r>
            <w:r>
              <w:rPr>
                <w:rFonts w:hint="eastAsia" w:ascii="Times New Roman" w:hAnsi="Times New Roman" w:cs="Times New Roman"/>
                <w:color w:val="auto"/>
                <w:kern w:val="0"/>
                <w:sz w:val="24"/>
                <w:szCs w:val="24"/>
                <w:u w:val="none" w:color="auto"/>
                <w:lang w:val="en-US" w:eastAsia="zh-CN"/>
              </w:rPr>
              <w:t>总量控制因子为</w:t>
            </w:r>
            <w:r>
              <w:rPr>
                <w:rFonts w:hint="default" w:ascii="Times New Roman" w:hAnsi="Times New Roman" w:cs="Times New Roman"/>
                <w:color w:val="auto"/>
                <w:kern w:val="0"/>
                <w:sz w:val="24"/>
                <w:szCs w:val="24"/>
                <w:u w:val="none" w:color="auto"/>
              </w:rPr>
              <w:t>COD</w:t>
            </w:r>
            <w:r>
              <w:rPr>
                <w:rFonts w:hint="eastAsia" w:ascii="Times New Roman" w:hAnsi="Times New Roman" w:cs="Times New Roman"/>
                <w:color w:val="auto"/>
                <w:kern w:val="0"/>
                <w:sz w:val="24"/>
                <w:szCs w:val="24"/>
                <w:u w:val="none" w:color="auto"/>
                <w:lang w:val="en-US" w:eastAsia="zh-CN"/>
              </w:rPr>
              <w:t>和</w:t>
            </w:r>
            <w:r>
              <w:rPr>
                <w:rFonts w:hint="default" w:ascii="Times New Roman" w:hAnsi="Times New Roman" w:cs="Times New Roman"/>
                <w:color w:val="auto"/>
                <w:kern w:val="0"/>
                <w:sz w:val="24"/>
                <w:szCs w:val="24"/>
                <w:u w:val="none" w:color="auto"/>
              </w:rPr>
              <w:t>氨氮。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本次评价根据项目废水排放标准计算总量，</w:t>
            </w:r>
            <w:r>
              <w:rPr>
                <w:rFonts w:hint="default" w:ascii="Times New Roman" w:hAnsi="Times New Roman" w:cs="Times New Roman"/>
                <w:color w:val="auto"/>
                <w:kern w:val="0"/>
                <w:sz w:val="24"/>
                <w:szCs w:val="24"/>
                <w:u w:val="none" w:color="auto"/>
                <w:lang w:val="en-US" w:eastAsia="zh-CN"/>
              </w:rPr>
              <w:t>经计算，项目污染物排放总量为：</w:t>
            </w:r>
            <w:r>
              <w:rPr>
                <w:rFonts w:hint="default" w:ascii="Times New Roman" w:hAnsi="Times New Roman" w:cs="Times New Roman"/>
                <w:color w:val="auto"/>
                <w:kern w:val="0"/>
                <w:sz w:val="24"/>
                <w:szCs w:val="24"/>
                <w:highlight w:val="none"/>
                <w:u w:val="none" w:color="auto"/>
                <w:lang w:val="en-US" w:eastAsia="zh-CN"/>
              </w:rPr>
              <w:t>COD</w:t>
            </w:r>
            <w:r>
              <w:rPr>
                <w:rFonts w:hint="eastAsia" w:cs="Times New Roman"/>
                <w:color w:val="auto"/>
                <w:kern w:val="0"/>
                <w:sz w:val="24"/>
                <w:szCs w:val="24"/>
                <w:highlight w:val="none"/>
                <w:u w:val="none" w:color="auto"/>
                <w:lang w:val="en-US" w:eastAsia="zh-CN"/>
              </w:rPr>
              <w:t xml:space="preserve"> 0.323</w:t>
            </w:r>
            <w:r>
              <w:rPr>
                <w:rFonts w:hint="default" w:ascii="Times New Roman" w:hAnsi="Times New Roman" w:cs="Times New Roman"/>
                <w:color w:val="auto"/>
                <w:kern w:val="0"/>
                <w:sz w:val="24"/>
                <w:szCs w:val="24"/>
                <w:highlight w:val="none"/>
                <w:u w:val="none" w:color="auto"/>
                <w:lang w:val="en-US" w:eastAsia="zh-CN"/>
              </w:rPr>
              <w:t>t/a、氨氮 0.</w:t>
            </w:r>
            <w:r>
              <w:rPr>
                <w:rFonts w:hint="eastAsia" w:cs="Times New Roman"/>
                <w:color w:val="auto"/>
                <w:kern w:val="0"/>
                <w:sz w:val="24"/>
                <w:szCs w:val="24"/>
                <w:highlight w:val="none"/>
                <w:u w:val="none" w:color="auto"/>
                <w:lang w:val="en-US" w:eastAsia="zh-CN"/>
              </w:rPr>
              <w:t>032</w:t>
            </w:r>
            <w:r>
              <w:rPr>
                <w:rFonts w:hint="default" w:ascii="Times New Roman" w:hAnsi="Times New Roman" w:cs="Times New Roman"/>
                <w:color w:val="auto"/>
                <w:kern w:val="0"/>
                <w:sz w:val="24"/>
                <w:szCs w:val="24"/>
                <w:highlight w:val="none"/>
                <w:u w:val="none" w:color="auto"/>
                <w:lang w:val="en-US" w:eastAsia="zh-CN"/>
              </w:rPr>
              <w:t>t/a。</w:t>
            </w:r>
            <w:r>
              <w:rPr>
                <w:rFonts w:hint="default" w:ascii="Times New Roman" w:hAnsi="Times New Roman" w:cs="Times New Roman"/>
                <w:color w:val="auto"/>
                <w:kern w:val="0"/>
                <w:sz w:val="24"/>
                <w:szCs w:val="24"/>
                <w:u w:val="none" w:color="auto"/>
                <w:lang w:val="en-US" w:eastAsia="zh-CN"/>
              </w:rPr>
              <w:t>本项目医疗卫生行业，且废水最终排入乡镇污水处理厂，可不进行区域替代削减，因此不需申请总量指标。</w:t>
            </w: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tabs>
                <w:tab w:val="left" w:pos="3272"/>
              </w:tabs>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ascii="Times New Roman" w:hAnsi="Times New Roman" w:cs="Times New Roman"/>
                <w:color w:val="auto"/>
                <w:kern w:val="0"/>
                <w:sz w:val="24"/>
                <w:szCs w:val="24"/>
                <w:u w:val="none" w:color="auto"/>
              </w:rPr>
            </w:pPr>
          </w:p>
          <w:p>
            <w:pPr>
              <w:rPr>
                <w:rFonts w:hint="default"/>
                <w:color w:val="auto"/>
                <w:u w:val="none" w:color="auto"/>
              </w:rPr>
            </w:pPr>
          </w:p>
        </w:tc>
      </w:tr>
    </w:tbl>
    <w:p>
      <w:pPr>
        <w:pStyle w:val="18"/>
        <w:jc w:val="left"/>
        <w:outlineLvl w:val="0"/>
        <w:rPr>
          <w:rFonts w:ascii="黑体" w:hAnsi="黑体" w:eastAsia="黑体"/>
          <w:snapToGrid w:val="0"/>
          <w:color w:val="auto"/>
          <w:sz w:val="30"/>
          <w:szCs w:val="30"/>
          <w:u w:val="none" w:color="auto"/>
        </w:rPr>
      </w:pPr>
      <w:r>
        <w:rPr>
          <w:rFonts w:ascii="黑体" w:hAnsi="黑体" w:eastAsia="黑体"/>
          <w:snapToGrid w:val="0"/>
          <w:color w:val="auto"/>
          <w:sz w:val="36"/>
          <w:szCs w:val="36"/>
          <w:u w:val="none" w:color="auto"/>
        </w:rPr>
        <w:br w:type="page"/>
      </w:r>
      <w:bookmarkStart w:id="9" w:name="_Toc24144"/>
      <w:r>
        <w:rPr>
          <w:rFonts w:hint="eastAsia" w:ascii="黑体" w:hAnsi="黑体" w:eastAsia="黑体"/>
          <w:snapToGrid w:val="0"/>
          <w:color w:val="auto"/>
          <w:sz w:val="30"/>
          <w:szCs w:val="30"/>
          <w:u w:val="none" w:color="auto"/>
        </w:rPr>
        <w:t>四、主要</w:t>
      </w:r>
      <w:r>
        <w:rPr>
          <w:rFonts w:hint="eastAsia" w:ascii="黑体" w:hAnsi="黑体" w:eastAsia="黑体" w:cs="Times New Roman"/>
          <w:snapToGrid w:val="0"/>
          <w:color w:val="auto"/>
          <w:sz w:val="30"/>
          <w:szCs w:val="30"/>
          <w:u w:val="none" w:color="auto"/>
        </w:rPr>
        <w:t>环境</w:t>
      </w:r>
      <w:r>
        <w:rPr>
          <w:rFonts w:hint="eastAsia" w:ascii="黑体" w:hAnsi="黑体" w:eastAsia="黑体"/>
          <w:snapToGrid w:val="0"/>
          <w:color w:val="auto"/>
          <w:sz w:val="30"/>
          <w:szCs w:val="30"/>
          <w:u w:val="none" w:color="auto"/>
        </w:rPr>
        <w:t>影响和保护措施</w:t>
      </w:r>
      <w:bookmarkEnd w:id="9"/>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noWrap w:val="0"/>
            <w:tcMar>
              <w:left w:w="28" w:type="dxa"/>
              <w:right w:w="28" w:type="dxa"/>
            </w:tcMar>
            <w:vAlign w:val="center"/>
          </w:tcPr>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center"/>
              <w:textAlignment w:val="auto"/>
              <w:rPr>
                <w:rFonts w:hint="default" w:ascii="Times New Roman" w:hAnsi="Times New Roman" w:eastAsia="宋体" w:cs="Times New Roman"/>
                <w:bCs/>
                <w:color w:val="auto"/>
                <w:kern w:val="2"/>
                <w:sz w:val="24"/>
                <w:szCs w:val="24"/>
                <w:u w:val="none" w:color="auto"/>
              </w:rPr>
            </w:pPr>
            <w:r>
              <w:rPr>
                <w:rFonts w:hint="default" w:ascii="Times New Roman" w:hAnsi="Times New Roman" w:eastAsia="宋体" w:cs="Times New Roman"/>
                <w:color w:val="auto"/>
                <w:kern w:val="2"/>
                <w:sz w:val="24"/>
                <w:szCs w:val="24"/>
                <w:u w:val="none" w:color="auto"/>
              </w:rPr>
              <w:t>施工期环境保护措施</w:t>
            </w:r>
          </w:p>
        </w:tc>
        <w:tc>
          <w:tcPr>
            <w:tcW w:w="8162" w:type="dxa"/>
            <w:noWrap w:val="0"/>
            <w:vAlign w:val="center"/>
          </w:tcPr>
          <w:p>
            <w:pPr>
              <w:pStyle w:val="10"/>
              <w:bidi w:val="0"/>
              <w:rPr>
                <w:color w:val="auto"/>
                <w:u w:val="none" w:color="auto"/>
              </w:rPr>
            </w:pPr>
            <w:r>
              <w:rPr>
                <w:rFonts w:hint="eastAsia"/>
                <w:color w:val="auto"/>
                <w:u w:val="none" w:color="auto"/>
              </w:rPr>
              <w:t>根据施工方案，</w:t>
            </w:r>
            <w:r>
              <w:rPr>
                <w:rFonts w:hint="eastAsia"/>
                <w:color w:val="auto"/>
                <w:u w:val="none" w:color="auto"/>
                <w:lang w:val="en-US" w:eastAsia="zh-CN"/>
              </w:rPr>
              <w:t>新建一栋</w:t>
            </w:r>
            <w:r>
              <w:rPr>
                <w:rFonts w:hint="eastAsia" w:ascii="Times New Roman" w:hAnsi="Times New Roman" w:eastAsia="宋体" w:cs="Times New Roman"/>
                <w:color w:val="auto"/>
                <w:spacing w:val="-2"/>
                <w:sz w:val="24"/>
                <w:szCs w:val="24"/>
                <w:highlight w:val="none"/>
                <w:u w:val="none" w:color="auto"/>
                <w:lang w:val="en-US" w:eastAsia="zh-CN"/>
              </w:rPr>
              <w:t>-1+6F的</w:t>
            </w:r>
            <w:r>
              <w:rPr>
                <w:rFonts w:hint="eastAsia"/>
                <w:color w:val="auto"/>
                <w:u w:val="none" w:color="auto"/>
                <w:lang w:val="en-US" w:eastAsia="zh-CN"/>
              </w:rPr>
              <w:t>综合大楼</w:t>
            </w:r>
            <w:r>
              <w:rPr>
                <w:rFonts w:hint="eastAsia"/>
                <w:color w:val="auto"/>
                <w:u w:val="none" w:color="auto"/>
              </w:rPr>
              <w:t>，待</w:t>
            </w:r>
            <w:r>
              <w:rPr>
                <w:rFonts w:hint="eastAsia"/>
                <w:color w:val="auto"/>
                <w:u w:val="none" w:color="auto"/>
                <w:lang w:val="en-US" w:eastAsia="zh-CN"/>
              </w:rPr>
              <w:t>改</w:t>
            </w:r>
            <w:r>
              <w:rPr>
                <w:rFonts w:hint="eastAsia"/>
                <w:color w:val="auto"/>
                <w:u w:val="none" w:color="auto"/>
              </w:rPr>
              <w:t>建工程完工可使用后</w:t>
            </w:r>
            <w:r>
              <w:rPr>
                <w:rFonts w:hint="eastAsia"/>
                <w:color w:val="auto"/>
                <w:u w:val="none" w:color="auto"/>
                <w:lang w:eastAsia="zh-CN"/>
              </w:rPr>
              <w:t>对现有</w:t>
            </w:r>
            <w:r>
              <w:rPr>
                <w:rFonts w:hint="eastAsia"/>
                <w:color w:val="auto"/>
                <w:u w:val="none" w:color="auto"/>
                <w:lang w:val="en-US" w:eastAsia="zh-CN"/>
              </w:rPr>
              <w:t>门诊楼进行拆除</w:t>
            </w:r>
            <w:r>
              <w:rPr>
                <w:rFonts w:hint="eastAsia"/>
                <w:color w:val="auto"/>
                <w:u w:val="none" w:color="auto"/>
                <w:lang w:eastAsia="zh-CN"/>
              </w:rPr>
              <w:t>。</w:t>
            </w:r>
            <w:r>
              <w:rPr>
                <w:rFonts w:hint="eastAsia"/>
                <w:color w:val="auto"/>
                <w:u w:val="none" w:color="auto"/>
                <w:lang w:val="en-US" w:eastAsia="zh-CN"/>
              </w:rPr>
              <w:t>施工期间，施工和材料运输会对卫生院运行产生影响，通过搭建患者通道及以下措施，将减少对医院及周边居民的影响，主要措施如下：</w:t>
            </w:r>
          </w:p>
          <w:p>
            <w:pPr>
              <w:pStyle w:val="10"/>
              <w:bidi w:val="0"/>
              <w:rPr>
                <w:b/>
                <w:bCs/>
                <w:color w:val="auto"/>
                <w:u w:val="none" w:color="auto"/>
              </w:rPr>
            </w:pPr>
            <w:r>
              <w:rPr>
                <w:rFonts w:hint="eastAsia"/>
                <w:b/>
                <w:bCs/>
                <w:color w:val="auto"/>
                <w:u w:val="none" w:color="auto"/>
                <w:lang w:val="en-US" w:eastAsia="zh-CN"/>
              </w:rPr>
              <w:t>4.</w:t>
            </w:r>
            <w:r>
              <w:rPr>
                <w:rFonts w:hint="eastAsia"/>
                <w:b/>
                <w:bCs/>
                <w:color w:val="auto"/>
                <w:u w:val="none" w:color="auto"/>
              </w:rPr>
              <w:t>1</w:t>
            </w:r>
            <w:r>
              <w:rPr>
                <w:b/>
                <w:bCs/>
                <w:color w:val="auto"/>
                <w:u w:val="none" w:color="auto"/>
              </w:rPr>
              <w:t>环境空气污染防治</w:t>
            </w:r>
          </w:p>
          <w:p>
            <w:pPr>
              <w:pStyle w:val="10"/>
              <w:bidi w:val="0"/>
              <w:rPr>
                <w:color w:val="auto"/>
                <w:u w:val="none" w:color="auto"/>
              </w:rPr>
            </w:pPr>
            <w:r>
              <w:rPr>
                <w:rFonts w:hint="eastAsia"/>
                <w:color w:val="auto"/>
                <w:u w:val="none" w:color="auto"/>
              </w:rPr>
              <w:t>（1）</w:t>
            </w:r>
            <w:r>
              <w:rPr>
                <w:color w:val="auto"/>
                <w:u w:val="none" w:color="auto"/>
              </w:rPr>
              <w:t>机械废气</w:t>
            </w:r>
          </w:p>
          <w:p>
            <w:pPr>
              <w:pStyle w:val="10"/>
              <w:bidi w:val="0"/>
              <w:rPr>
                <w:color w:val="auto"/>
                <w:u w:val="none" w:color="auto"/>
              </w:rPr>
            </w:pPr>
            <w:r>
              <w:rPr>
                <w:color w:val="auto"/>
                <w:u w:val="none" w:color="auto"/>
              </w:rPr>
              <w:t>各类燃油动力机械在场地开挖平整以及物料运输等作业时，会排出燃油废气，排放的主要污染物为NOx、SO</w:t>
            </w:r>
            <w:r>
              <w:rPr>
                <w:color w:val="auto"/>
                <w:u w:val="none" w:color="auto"/>
                <w:vertAlign w:val="subscript"/>
              </w:rPr>
              <w:t>2</w:t>
            </w:r>
            <w:r>
              <w:rPr>
                <w:color w:val="auto"/>
                <w:u w:val="none" w:color="auto"/>
              </w:rPr>
              <w:t>以及未完全燃烧的THC等，这些机械集中使用的时间是在土建阶段，考虑其废气排放量不大，且表现为间歇特征，建议施工机械采用轻质柴油，严禁使用劣质燃油，保持施工机械的良好工作状态，则受影响的主要为现场施工人员，加之在该施工阶段中，由于施工场地较开阔，大气扩散条件比较好，产生燃油废气易于扩散。故其环境影响可以接受，对周围大气环境的影响较小。</w:t>
            </w:r>
          </w:p>
          <w:p>
            <w:pPr>
              <w:pStyle w:val="10"/>
              <w:bidi w:val="0"/>
              <w:rPr>
                <w:color w:val="auto"/>
                <w:u w:val="none" w:color="auto"/>
              </w:rPr>
            </w:pPr>
            <w:r>
              <w:rPr>
                <w:rFonts w:hint="eastAsia"/>
                <w:color w:val="auto"/>
                <w:u w:val="none" w:color="auto"/>
              </w:rPr>
              <w:t>（2）</w:t>
            </w:r>
            <w:r>
              <w:rPr>
                <w:color w:val="auto"/>
                <w:u w:val="none" w:color="auto"/>
              </w:rPr>
              <w:t>建筑扬尘</w:t>
            </w:r>
          </w:p>
          <w:p>
            <w:pPr>
              <w:pStyle w:val="10"/>
              <w:bidi w:val="0"/>
              <w:rPr>
                <w:color w:val="auto"/>
                <w:u w:val="none" w:color="auto"/>
              </w:rPr>
            </w:pPr>
            <w:r>
              <w:rPr>
                <w:color w:val="auto"/>
                <w:u w:val="none" w:color="auto"/>
              </w:rPr>
              <w:t>项目施工扬尘主要来源于</w:t>
            </w:r>
            <w:r>
              <w:rPr>
                <w:rFonts w:hint="eastAsia"/>
                <w:color w:val="auto"/>
                <w:u w:val="none" w:color="auto"/>
              </w:rPr>
              <w:t>现有工程拆除、</w:t>
            </w:r>
            <w:r>
              <w:rPr>
                <w:color w:val="auto"/>
                <w:u w:val="none" w:color="auto"/>
              </w:rPr>
              <w:t>施工车辆运输扬尘以及风力扬尘。为减小项目施工扬尘影响，结合《</w:t>
            </w:r>
            <w:r>
              <w:rPr>
                <w:rFonts w:hint="eastAsia"/>
                <w:color w:val="auto"/>
                <w:u w:val="none" w:color="auto"/>
                <w:lang w:val="en-US" w:eastAsia="zh-CN"/>
              </w:rPr>
              <w:t>岳阳</w:t>
            </w:r>
            <w:r>
              <w:rPr>
                <w:color w:val="auto"/>
                <w:u w:val="none" w:color="auto"/>
              </w:rPr>
              <w:t>市扬尘污染防治条例》建设单位应做到以下措施：</w:t>
            </w:r>
          </w:p>
          <w:p>
            <w:pPr>
              <w:pStyle w:val="10"/>
              <w:bidi w:val="0"/>
              <w:rPr>
                <w:color w:val="auto"/>
                <w:u w:val="none" w:color="auto"/>
              </w:rPr>
            </w:pPr>
            <w:r>
              <w:rPr>
                <w:rFonts w:hint="eastAsia"/>
                <w:color w:val="auto"/>
                <w:u w:val="none" w:color="auto"/>
              </w:rPr>
              <w:t>①</w:t>
            </w:r>
            <w:r>
              <w:rPr>
                <w:color w:val="auto"/>
                <w:u w:val="none" w:color="auto"/>
              </w:rPr>
              <w:t>工程建设单位应当将扬尘污染防治费用列入工程造价，并督促施工单位落实扬尘污染防治措施，督促监理单位落实扬尘污染防治监督管理责任。</w:t>
            </w:r>
          </w:p>
          <w:p>
            <w:pPr>
              <w:pStyle w:val="10"/>
              <w:bidi w:val="0"/>
              <w:rPr>
                <w:color w:val="auto"/>
                <w:u w:val="none" w:color="auto"/>
              </w:rPr>
            </w:pPr>
            <w:r>
              <w:rPr>
                <w:color w:val="auto"/>
                <w:u w:val="none" w:color="auto"/>
              </w:rPr>
              <w:fldChar w:fldCharType="begin"/>
            </w:r>
            <w:r>
              <w:rPr>
                <w:color w:val="auto"/>
                <w:u w:val="none" w:color="auto"/>
              </w:rPr>
              <w:instrText xml:space="preserve"> = 2 \* GB3 \* MERGEFORMAT </w:instrText>
            </w:r>
            <w:r>
              <w:rPr>
                <w:color w:val="auto"/>
                <w:u w:val="none" w:color="auto"/>
              </w:rPr>
              <w:fldChar w:fldCharType="separate"/>
            </w:r>
            <w:r>
              <w:rPr>
                <w:color w:val="auto"/>
                <w:u w:val="none" w:color="auto"/>
              </w:rPr>
              <w:t>②</w:t>
            </w:r>
            <w:r>
              <w:rPr>
                <w:color w:val="auto"/>
                <w:u w:val="none" w:color="auto"/>
              </w:rPr>
              <w:fldChar w:fldCharType="end"/>
            </w:r>
            <w:r>
              <w:rPr>
                <w:color w:val="auto"/>
                <w:u w:val="none" w:color="auto"/>
              </w:rPr>
              <w:t>施工单位应当制定并落实具体的施工扬尘污染防治实施方案，在施工工地公示扬尘污染防治措施、责任人、扬尘监督管理主管部门等信息，落实扬尘污染防治费用专款专用制度。</w:t>
            </w:r>
          </w:p>
          <w:p>
            <w:pPr>
              <w:pStyle w:val="10"/>
              <w:bidi w:val="0"/>
              <w:rPr>
                <w:color w:val="auto"/>
                <w:u w:val="none" w:color="auto"/>
              </w:rPr>
            </w:pPr>
            <w:r>
              <w:rPr>
                <w:color w:val="auto"/>
                <w:u w:val="none" w:color="auto"/>
              </w:rPr>
              <w:fldChar w:fldCharType="begin"/>
            </w:r>
            <w:r>
              <w:rPr>
                <w:color w:val="auto"/>
                <w:u w:val="none" w:color="auto"/>
              </w:rPr>
              <w:instrText xml:space="preserve"> = 3 \* GB3 \* MERGEFORMAT </w:instrText>
            </w:r>
            <w:r>
              <w:rPr>
                <w:color w:val="auto"/>
                <w:u w:val="none" w:color="auto"/>
              </w:rPr>
              <w:fldChar w:fldCharType="separate"/>
            </w:r>
            <w:r>
              <w:rPr>
                <w:color w:val="auto"/>
                <w:u w:val="none" w:color="auto"/>
              </w:rPr>
              <w:t>③</w:t>
            </w:r>
            <w:r>
              <w:rPr>
                <w:color w:val="auto"/>
                <w:u w:val="none" w:color="auto"/>
              </w:rPr>
              <w:fldChar w:fldCharType="end"/>
            </w:r>
            <w:r>
              <w:rPr>
                <w:color w:val="auto"/>
                <w:u w:val="none" w:color="auto"/>
              </w:rPr>
              <w:t>实行监理的建设工程，监理单位应当按照有关技术标准将扬尘污染防治纳入工程监理范围，对施工单位未按扬尘污染防治实施方案施工的，应当要求施工单位立即改正，并及时报告工程建设单位和有关主管部门。</w:t>
            </w:r>
          </w:p>
          <w:p>
            <w:pPr>
              <w:pStyle w:val="10"/>
              <w:bidi w:val="0"/>
              <w:rPr>
                <w:color w:val="auto"/>
                <w:u w:val="none" w:color="auto"/>
              </w:rPr>
            </w:pPr>
            <w:r>
              <w:rPr>
                <w:color w:val="auto"/>
                <w:u w:val="none" w:color="auto"/>
              </w:rPr>
              <w:fldChar w:fldCharType="begin"/>
            </w:r>
            <w:r>
              <w:rPr>
                <w:color w:val="auto"/>
                <w:u w:val="none" w:color="auto"/>
              </w:rPr>
              <w:instrText xml:space="preserve"> = 4 \* GB3 \* MERGEFORMAT </w:instrText>
            </w:r>
            <w:r>
              <w:rPr>
                <w:color w:val="auto"/>
                <w:u w:val="none" w:color="auto"/>
              </w:rPr>
              <w:fldChar w:fldCharType="separate"/>
            </w:r>
            <w:r>
              <w:rPr>
                <w:color w:val="auto"/>
                <w:u w:val="none" w:color="auto"/>
              </w:rPr>
              <w:t>④</w:t>
            </w:r>
            <w:r>
              <w:rPr>
                <w:color w:val="auto"/>
                <w:u w:val="none" w:color="auto"/>
              </w:rPr>
              <w:fldChar w:fldCharType="end"/>
            </w:r>
            <w:r>
              <w:rPr>
                <w:color w:val="auto"/>
                <w:u w:val="none" w:color="auto"/>
              </w:rPr>
              <w:t>施工工地周围按照规范要求设置硬质围挡；</w:t>
            </w:r>
          </w:p>
          <w:p>
            <w:pPr>
              <w:pStyle w:val="10"/>
              <w:bidi w:val="0"/>
              <w:rPr>
                <w:color w:val="auto"/>
                <w:u w:val="none" w:color="auto"/>
              </w:rPr>
            </w:pPr>
            <w:r>
              <w:rPr>
                <w:color w:val="auto"/>
                <w:u w:val="none" w:color="auto"/>
              </w:rPr>
              <w:fldChar w:fldCharType="begin"/>
            </w:r>
            <w:r>
              <w:rPr>
                <w:color w:val="auto"/>
                <w:u w:val="none" w:color="auto"/>
              </w:rPr>
              <w:instrText xml:space="preserve"> = 5 \* GB3 \* MERGEFORMAT </w:instrText>
            </w:r>
            <w:r>
              <w:rPr>
                <w:color w:val="auto"/>
                <w:u w:val="none" w:color="auto"/>
              </w:rPr>
              <w:fldChar w:fldCharType="separate"/>
            </w:r>
            <w:r>
              <w:rPr>
                <w:color w:val="auto"/>
                <w:u w:val="none" w:color="auto"/>
              </w:rPr>
              <w:t>⑤</w:t>
            </w:r>
            <w:r>
              <w:rPr>
                <w:color w:val="auto"/>
                <w:u w:val="none" w:color="auto"/>
              </w:rPr>
              <w:fldChar w:fldCharType="end"/>
            </w:r>
            <w:r>
              <w:rPr>
                <w:color w:val="auto"/>
                <w:u w:val="none" w:color="auto"/>
              </w:rPr>
              <w:t>施工</w:t>
            </w:r>
            <w:r>
              <w:rPr>
                <w:rFonts w:hint="eastAsia"/>
                <w:color w:val="auto"/>
                <w:u w:val="none" w:color="auto"/>
                <w:lang w:eastAsia="zh-CN"/>
              </w:rPr>
              <w:t>场地</w:t>
            </w:r>
            <w:r>
              <w:rPr>
                <w:color w:val="auto"/>
                <w:u w:val="none" w:color="auto"/>
              </w:rPr>
              <w:t>出入口、内部主要道路、加工区和物料堆放场地硬化并辅以喷淋、洒水等有效措施；</w:t>
            </w:r>
          </w:p>
          <w:p>
            <w:pPr>
              <w:pStyle w:val="10"/>
              <w:bidi w:val="0"/>
              <w:rPr>
                <w:color w:val="auto"/>
                <w:u w:val="none" w:color="auto"/>
              </w:rPr>
            </w:pPr>
            <w:r>
              <w:rPr>
                <w:color w:val="auto"/>
                <w:u w:val="none" w:color="auto"/>
              </w:rPr>
              <w:fldChar w:fldCharType="begin"/>
            </w:r>
            <w:r>
              <w:rPr>
                <w:color w:val="auto"/>
                <w:u w:val="none" w:color="auto"/>
              </w:rPr>
              <w:instrText xml:space="preserve"> = 6 \* GB3 \* MERGEFORMAT </w:instrText>
            </w:r>
            <w:r>
              <w:rPr>
                <w:color w:val="auto"/>
                <w:u w:val="none" w:color="auto"/>
              </w:rPr>
              <w:fldChar w:fldCharType="separate"/>
            </w:r>
            <w:r>
              <w:rPr>
                <w:color w:val="auto"/>
                <w:u w:val="none" w:color="auto"/>
              </w:rPr>
              <w:t>⑥</w:t>
            </w:r>
            <w:r>
              <w:rPr>
                <w:color w:val="auto"/>
                <w:u w:val="none" w:color="auto"/>
              </w:rPr>
              <w:fldChar w:fldCharType="end"/>
            </w:r>
            <w:r>
              <w:rPr>
                <w:color w:val="auto"/>
                <w:u w:val="none" w:color="auto"/>
              </w:rPr>
              <w:t>有施工车辆出入的施工工地出口内侧建设冲洗平台，安装车辆冲洗设备，车辆冲洗干净后方可驶出，确实不具备建设冲洗平台设施条件的，采取其他有效措施防止运输车辆造成扬尘污染；</w:t>
            </w:r>
          </w:p>
          <w:p>
            <w:pPr>
              <w:pStyle w:val="10"/>
              <w:bidi w:val="0"/>
              <w:rPr>
                <w:color w:val="auto"/>
                <w:u w:val="none" w:color="auto"/>
              </w:rPr>
            </w:pPr>
            <w:r>
              <w:rPr>
                <w:color w:val="auto"/>
                <w:u w:val="none" w:color="auto"/>
              </w:rPr>
              <w:fldChar w:fldCharType="begin"/>
            </w:r>
            <w:r>
              <w:rPr>
                <w:color w:val="auto"/>
                <w:u w:val="none" w:color="auto"/>
              </w:rPr>
              <w:instrText xml:space="preserve"> = 7 \* GB3 \* MERGEFORMAT </w:instrText>
            </w:r>
            <w:r>
              <w:rPr>
                <w:color w:val="auto"/>
                <w:u w:val="none" w:color="auto"/>
              </w:rPr>
              <w:fldChar w:fldCharType="separate"/>
            </w:r>
            <w:r>
              <w:rPr>
                <w:color w:val="auto"/>
                <w:u w:val="none" w:color="auto"/>
              </w:rPr>
              <w:t>⑦</w:t>
            </w:r>
            <w:r>
              <w:rPr>
                <w:color w:val="auto"/>
                <w:u w:val="none" w:color="auto"/>
              </w:rPr>
              <w:fldChar w:fldCharType="end"/>
            </w:r>
            <w:r>
              <w:rPr>
                <w:color w:val="auto"/>
                <w:u w:val="none" w:color="auto"/>
              </w:rPr>
              <w:t>施工工地内的裸露地面绿化或者覆盖密闭式防尘网（布）；</w:t>
            </w:r>
          </w:p>
          <w:p>
            <w:pPr>
              <w:pStyle w:val="10"/>
              <w:bidi w:val="0"/>
              <w:rPr>
                <w:color w:val="auto"/>
                <w:u w:val="none" w:color="auto"/>
              </w:rPr>
            </w:pPr>
            <w:r>
              <w:rPr>
                <w:color w:val="auto"/>
                <w:u w:val="none" w:color="auto"/>
              </w:rPr>
              <w:fldChar w:fldCharType="begin"/>
            </w:r>
            <w:r>
              <w:rPr>
                <w:color w:val="auto"/>
                <w:u w:val="none" w:color="auto"/>
              </w:rPr>
              <w:instrText xml:space="preserve"> = 8 \* GB3 \* MERGEFORMAT </w:instrText>
            </w:r>
            <w:r>
              <w:rPr>
                <w:color w:val="auto"/>
                <w:u w:val="none" w:color="auto"/>
              </w:rPr>
              <w:fldChar w:fldCharType="separate"/>
            </w:r>
            <w:r>
              <w:rPr>
                <w:color w:val="auto"/>
                <w:u w:val="none" w:color="auto"/>
              </w:rPr>
              <w:t>⑧</w:t>
            </w:r>
            <w:r>
              <w:rPr>
                <w:color w:val="auto"/>
                <w:u w:val="none" w:color="auto"/>
              </w:rPr>
              <w:fldChar w:fldCharType="end"/>
            </w:r>
            <w:r>
              <w:rPr>
                <w:color w:val="auto"/>
                <w:u w:val="none" w:color="auto"/>
              </w:rPr>
              <w:t>施工过程中易产生扬尘环节实行湿法作业，但是按照规范要求不宜采取湿法作业的除外；</w:t>
            </w:r>
          </w:p>
          <w:p>
            <w:pPr>
              <w:pStyle w:val="10"/>
              <w:bidi w:val="0"/>
              <w:rPr>
                <w:color w:val="auto"/>
                <w:u w:val="none" w:color="auto"/>
              </w:rPr>
            </w:pPr>
            <w:r>
              <w:rPr>
                <w:color w:val="auto"/>
                <w:u w:val="none" w:color="auto"/>
              </w:rPr>
              <w:fldChar w:fldCharType="begin"/>
            </w:r>
            <w:r>
              <w:rPr>
                <w:color w:val="auto"/>
                <w:u w:val="none" w:color="auto"/>
              </w:rPr>
              <w:instrText xml:space="preserve"> = 9 \* GB3 \* MERGEFORMAT </w:instrText>
            </w:r>
            <w:r>
              <w:rPr>
                <w:color w:val="auto"/>
                <w:u w:val="none" w:color="auto"/>
              </w:rPr>
              <w:fldChar w:fldCharType="separate"/>
            </w:r>
            <w:r>
              <w:rPr>
                <w:color w:val="auto"/>
                <w:u w:val="none" w:color="auto"/>
              </w:rPr>
              <w:t>⑨</w:t>
            </w:r>
            <w:r>
              <w:rPr>
                <w:color w:val="auto"/>
                <w:u w:val="none" w:color="auto"/>
              </w:rPr>
              <w:fldChar w:fldCharType="end"/>
            </w:r>
            <w:r>
              <w:rPr>
                <w:color w:val="auto"/>
                <w:u w:val="none" w:color="auto"/>
              </w:rPr>
              <w:t>施工</w:t>
            </w:r>
            <w:r>
              <w:rPr>
                <w:rFonts w:hint="eastAsia"/>
                <w:color w:val="auto"/>
                <w:u w:val="none" w:color="auto"/>
                <w:lang w:eastAsia="zh-CN"/>
              </w:rPr>
              <w:t>场地</w:t>
            </w:r>
            <w:r>
              <w:rPr>
                <w:color w:val="auto"/>
                <w:u w:val="none" w:color="auto"/>
              </w:rPr>
              <w:t>作业产生泥浆的，设置泥浆池、泥浆沟，确保泥浆不溢流。</w:t>
            </w:r>
          </w:p>
          <w:p>
            <w:pPr>
              <w:pStyle w:val="10"/>
              <w:bidi w:val="0"/>
              <w:rPr>
                <w:color w:val="auto"/>
                <w:u w:val="single" w:color="auto"/>
              </w:rPr>
            </w:pPr>
            <w:r>
              <w:rPr>
                <w:color w:val="auto"/>
                <w:u w:val="single" w:color="auto"/>
              </w:rPr>
              <w:t>拆除工程施工除符合</w:t>
            </w:r>
            <w:r>
              <w:rPr>
                <w:rFonts w:hint="eastAsia"/>
                <w:color w:val="auto"/>
                <w:u w:val="single" w:color="auto"/>
              </w:rPr>
              <w:t>以上</w:t>
            </w:r>
            <w:r>
              <w:rPr>
                <w:color w:val="auto"/>
                <w:u w:val="single" w:color="auto"/>
              </w:rPr>
              <w:t>规定外，还应当符合下列要求：</w:t>
            </w:r>
          </w:p>
          <w:p>
            <w:pPr>
              <w:pStyle w:val="10"/>
              <w:bidi w:val="0"/>
              <w:rPr>
                <w:color w:val="auto"/>
                <w:u w:val="single" w:color="auto"/>
              </w:rPr>
            </w:pPr>
            <w:r>
              <w:rPr>
                <w:color w:val="auto"/>
                <w:u w:val="single" w:color="auto"/>
              </w:rPr>
              <w:fldChar w:fldCharType="begin"/>
            </w:r>
            <w:r>
              <w:rPr>
                <w:color w:val="auto"/>
                <w:u w:val="single" w:color="auto"/>
              </w:rPr>
              <w:instrText xml:space="preserve"> = 1 \* GB3 \* MERGEFORMAT </w:instrText>
            </w:r>
            <w:r>
              <w:rPr>
                <w:color w:val="auto"/>
                <w:u w:val="single" w:color="auto"/>
              </w:rPr>
              <w:fldChar w:fldCharType="separate"/>
            </w:r>
            <w:r>
              <w:rPr>
                <w:color w:val="auto"/>
                <w:u w:val="single" w:color="auto"/>
              </w:rPr>
              <w:t>①</w:t>
            </w:r>
            <w:r>
              <w:rPr>
                <w:color w:val="auto"/>
                <w:u w:val="single" w:color="auto"/>
              </w:rPr>
              <w:fldChar w:fldCharType="end"/>
            </w:r>
            <w:r>
              <w:rPr>
                <w:color w:val="auto"/>
                <w:u w:val="single" w:color="auto"/>
              </w:rPr>
              <w:t>施工脚手架外侧设置符合标准的密闭式防尘安全网，在保证安全的前提下拆除时采取洒水、喷雾等措施；</w:t>
            </w:r>
          </w:p>
          <w:p>
            <w:pPr>
              <w:pStyle w:val="10"/>
              <w:bidi w:val="0"/>
              <w:rPr>
                <w:color w:val="auto"/>
                <w:u w:val="single" w:color="auto"/>
              </w:rPr>
            </w:pPr>
            <w:r>
              <w:rPr>
                <w:color w:val="auto"/>
                <w:u w:val="single" w:color="auto"/>
              </w:rPr>
              <w:fldChar w:fldCharType="begin"/>
            </w:r>
            <w:r>
              <w:rPr>
                <w:color w:val="auto"/>
                <w:u w:val="single" w:color="auto"/>
              </w:rPr>
              <w:instrText xml:space="preserve"> = 2 \* GB3 \* MERGEFORMAT </w:instrText>
            </w:r>
            <w:r>
              <w:rPr>
                <w:color w:val="auto"/>
                <w:u w:val="single" w:color="auto"/>
              </w:rPr>
              <w:fldChar w:fldCharType="separate"/>
            </w:r>
            <w:r>
              <w:rPr>
                <w:color w:val="auto"/>
                <w:u w:val="single" w:color="auto"/>
              </w:rPr>
              <w:t>②</w:t>
            </w:r>
            <w:r>
              <w:rPr>
                <w:color w:val="auto"/>
                <w:u w:val="single" w:color="auto"/>
              </w:rPr>
              <w:fldChar w:fldCharType="end"/>
            </w:r>
            <w:r>
              <w:rPr>
                <w:color w:val="auto"/>
                <w:u w:val="single" w:color="auto"/>
              </w:rPr>
              <w:t>易产生扬尘污染的材料采取有效覆盖措施，粉末状材料密封存放；</w:t>
            </w:r>
          </w:p>
          <w:p>
            <w:pPr>
              <w:pStyle w:val="10"/>
              <w:bidi w:val="0"/>
              <w:rPr>
                <w:color w:val="auto"/>
                <w:u w:val="single" w:color="auto"/>
              </w:rPr>
            </w:pPr>
            <w:r>
              <w:rPr>
                <w:color w:val="auto"/>
                <w:u w:val="single" w:color="auto"/>
              </w:rPr>
              <w:fldChar w:fldCharType="begin"/>
            </w:r>
            <w:r>
              <w:rPr>
                <w:color w:val="auto"/>
                <w:u w:val="single" w:color="auto"/>
              </w:rPr>
              <w:instrText xml:space="preserve"> = 3 \* GB3 \* MERGEFORMAT </w:instrText>
            </w:r>
            <w:r>
              <w:rPr>
                <w:color w:val="auto"/>
                <w:u w:val="single" w:color="auto"/>
              </w:rPr>
              <w:fldChar w:fldCharType="separate"/>
            </w:r>
            <w:r>
              <w:rPr>
                <w:color w:val="auto"/>
                <w:u w:val="single" w:color="auto"/>
              </w:rPr>
              <w:t>③</w:t>
            </w:r>
            <w:r>
              <w:rPr>
                <w:color w:val="auto"/>
                <w:u w:val="single" w:color="auto"/>
              </w:rPr>
              <w:fldChar w:fldCharType="end"/>
            </w:r>
            <w:r>
              <w:rPr>
                <w:color w:val="auto"/>
                <w:u w:val="single" w:color="auto"/>
              </w:rPr>
              <w:t>易产生扬尘污染的机械作业采取局部覆盖、喷淋等措施；</w:t>
            </w:r>
          </w:p>
          <w:p>
            <w:pPr>
              <w:pStyle w:val="10"/>
              <w:bidi w:val="0"/>
              <w:rPr>
                <w:rFonts w:eastAsia="宋体"/>
                <w:color w:val="auto"/>
                <w:u w:val="single" w:color="auto"/>
              </w:rPr>
            </w:pPr>
            <w:r>
              <w:rPr>
                <w:color w:val="auto"/>
                <w:u w:val="single" w:color="auto"/>
              </w:rPr>
              <w:fldChar w:fldCharType="begin"/>
            </w:r>
            <w:r>
              <w:rPr>
                <w:color w:val="auto"/>
                <w:u w:val="single" w:color="auto"/>
              </w:rPr>
              <w:instrText xml:space="preserve"> = 4 \* GB3 \* MERGEFORMAT </w:instrText>
            </w:r>
            <w:r>
              <w:rPr>
                <w:color w:val="auto"/>
                <w:u w:val="single" w:color="auto"/>
              </w:rPr>
              <w:fldChar w:fldCharType="separate"/>
            </w:r>
            <w:r>
              <w:rPr>
                <w:color w:val="auto"/>
                <w:u w:val="single" w:color="auto"/>
              </w:rPr>
              <w:t>④</w:t>
            </w:r>
            <w:r>
              <w:rPr>
                <w:color w:val="auto"/>
                <w:u w:val="single" w:color="auto"/>
              </w:rPr>
              <w:fldChar w:fldCharType="end"/>
            </w:r>
            <w:r>
              <w:rPr>
                <w:color w:val="auto"/>
                <w:u w:val="single" w:color="auto"/>
              </w:rPr>
              <w:t>建筑垃圾、工程渣土在二十四小时内清运，不能及时清运的，采取覆</w:t>
            </w:r>
            <w:r>
              <w:rPr>
                <w:rFonts w:eastAsia="宋体"/>
                <w:color w:val="auto"/>
                <w:u w:val="single" w:color="auto"/>
              </w:rPr>
              <w:t>盖密闭式防尘网（布）等措施。</w:t>
            </w:r>
          </w:p>
          <w:p>
            <w:pPr>
              <w:pStyle w:val="10"/>
              <w:bidi w:val="0"/>
              <w:rPr>
                <w:rFonts w:hint="default" w:eastAsia="宋体"/>
                <w:color w:val="auto"/>
                <w:u w:val="single" w:color="auto"/>
                <w:lang w:val="en-US" w:eastAsia="zh-CN"/>
              </w:rPr>
            </w:pPr>
            <w:r>
              <w:rPr>
                <w:rFonts w:hint="eastAsia" w:eastAsia="宋体"/>
                <w:color w:val="auto"/>
                <w:u w:val="single" w:color="auto"/>
                <w:lang w:val="en-US" w:eastAsia="zh-CN"/>
              </w:rPr>
              <w:t>另外拆除工程为卫生院综合楼建设完成并投入使用后再进行拆除，拆除时应避免对医院就诊患者产生影响，应加强施工管理，合理施工，落实好上述措施后，对卫生院及周边居民影响较小。</w:t>
            </w:r>
          </w:p>
          <w:p>
            <w:pPr>
              <w:pStyle w:val="10"/>
              <w:bidi w:val="0"/>
              <w:rPr>
                <w:b/>
                <w:bCs/>
                <w:color w:val="auto"/>
                <w:u w:val="none" w:color="auto"/>
              </w:rPr>
            </w:pPr>
            <w:r>
              <w:rPr>
                <w:rFonts w:hint="eastAsia"/>
                <w:b/>
                <w:bCs/>
                <w:color w:val="auto"/>
                <w:u w:val="none" w:color="auto"/>
                <w:lang w:val="en-US" w:eastAsia="zh-CN"/>
              </w:rPr>
              <w:t>4.</w:t>
            </w:r>
            <w:r>
              <w:rPr>
                <w:rFonts w:hint="eastAsia"/>
                <w:b/>
                <w:bCs/>
                <w:color w:val="auto"/>
                <w:u w:val="none" w:color="auto"/>
              </w:rPr>
              <w:t>2</w:t>
            </w:r>
            <w:r>
              <w:rPr>
                <w:b/>
                <w:bCs/>
                <w:color w:val="auto"/>
                <w:u w:val="none" w:color="auto"/>
              </w:rPr>
              <w:t>地表水污染防治措施</w:t>
            </w:r>
          </w:p>
          <w:p>
            <w:pPr>
              <w:pStyle w:val="10"/>
              <w:bidi w:val="0"/>
              <w:rPr>
                <w:color w:val="auto"/>
                <w:u w:val="none" w:color="auto"/>
              </w:rPr>
            </w:pPr>
            <w:r>
              <w:rPr>
                <w:color w:val="auto"/>
                <w:u w:val="none" w:color="auto"/>
              </w:rPr>
              <w:t>施工期的废水排放主要</w:t>
            </w:r>
            <w:r>
              <w:rPr>
                <w:rFonts w:hint="eastAsia"/>
                <w:color w:val="auto"/>
                <w:u w:val="none" w:color="auto"/>
                <w:lang w:eastAsia="zh-CN"/>
              </w:rPr>
              <w:t>来自</w:t>
            </w:r>
            <w:r>
              <w:rPr>
                <w:color w:val="auto"/>
                <w:u w:val="none" w:color="auto"/>
              </w:rPr>
              <w:t>建筑施工人员的生活污水和施工废水。</w:t>
            </w:r>
          </w:p>
          <w:p>
            <w:pPr>
              <w:pStyle w:val="10"/>
              <w:bidi w:val="0"/>
              <w:rPr>
                <w:color w:val="auto"/>
                <w:u w:val="none" w:color="auto"/>
              </w:rPr>
            </w:pPr>
            <w:r>
              <w:rPr>
                <w:rFonts w:hint="eastAsia"/>
                <w:color w:val="auto"/>
                <w:u w:val="none" w:color="auto"/>
              </w:rPr>
              <w:t>（1）</w:t>
            </w:r>
            <w:r>
              <w:rPr>
                <w:color w:val="auto"/>
                <w:u w:val="none" w:color="auto"/>
              </w:rPr>
              <w:t>生活污水</w:t>
            </w:r>
          </w:p>
          <w:p>
            <w:pPr>
              <w:pStyle w:val="10"/>
              <w:bidi w:val="0"/>
              <w:rPr>
                <w:color w:val="auto"/>
                <w:u w:val="none" w:color="auto"/>
              </w:rPr>
            </w:pPr>
            <w:r>
              <w:rPr>
                <w:color w:val="auto"/>
                <w:u w:val="none" w:color="auto"/>
              </w:rPr>
              <w:t>施工生活污水主要为施工人员日常卫生用水等，其主要污染因子为COD、SS等。施工人员使用</w:t>
            </w:r>
            <w:r>
              <w:rPr>
                <w:rFonts w:hint="eastAsia"/>
                <w:color w:val="auto"/>
                <w:u w:val="none" w:color="auto"/>
                <w:lang w:val="en-US" w:eastAsia="zh-CN"/>
              </w:rPr>
              <w:t>医院</w:t>
            </w:r>
            <w:r>
              <w:rPr>
                <w:color w:val="auto"/>
                <w:u w:val="none" w:color="auto"/>
              </w:rPr>
              <w:t>卫生设施，生活污水经预处理后排入市政污水管网，严禁排入附近水体。</w:t>
            </w:r>
          </w:p>
          <w:p>
            <w:pPr>
              <w:pStyle w:val="10"/>
              <w:bidi w:val="0"/>
              <w:rPr>
                <w:color w:val="auto"/>
                <w:u w:val="none" w:color="auto"/>
              </w:rPr>
            </w:pPr>
            <w:r>
              <w:rPr>
                <w:rFonts w:hint="eastAsia"/>
                <w:color w:val="auto"/>
                <w:u w:val="none" w:color="auto"/>
              </w:rPr>
              <w:t>（</w:t>
            </w:r>
            <w:r>
              <w:rPr>
                <w:rFonts w:hint="eastAsia"/>
                <w:color w:val="auto"/>
                <w:u w:val="none" w:color="auto"/>
                <w:lang w:val="en-US" w:eastAsia="zh-CN"/>
              </w:rPr>
              <w:t>2</w:t>
            </w:r>
            <w:r>
              <w:rPr>
                <w:rFonts w:hint="eastAsia"/>
                <w:color w:val="auto"/>
                <w:u w:val="none" w:color="auto"/>
              </w:rPr>
              <w:t>）</w:t>
            </w:r>
            <w:r>
              <w:rPr>
                <w:color w:val="auto"/>
                <w:u w:val="none" w:color="auto"/>
              </w:rPr>
              <w:t>其他废水</w:t>
            </w:r>
          </w:p>
          <w:p>
            <w:pPr>
              <w:pStyle w:val="10"/>
              <w:bidi w:val="0"/>
              <w:rPr>
                <w:color w:val="auto"/>
                <w:u w:val="none" w:color="auto"/>
              </w:rPr>
            </w:pPr>
            <w:r>
              <w:rPr>
                <w:color w:val="auto"/>
                <w:u w:val="none" w:color="auto"/>
              </w:rPr>
              <w:t>车辆的冲洗废水及其他废水，排放量较难估算，主要污染因子为SS。建设单位应加强施工队伍管理，做好建筑材料和建筑废料的管理，防止其成为二次污染源。建筑工地四周需设集水沟，所排施工废水经临时集水沟进入沉淀池，经沉淀处理后的上清液回用于场地洒水或者施工用水。</w:t>
            </w:r>
          </w:p>
          <w:p>
            <w:pPr>
              <w:pStyle w:val="10"/>
              <w:bidi w:val="0"/>
              <w:rPr>
                <w:color w:val="auto"/>
                <w:u w:val="none" w:color="auto"/>
              </w:rPr>
            </w:pPr>
            <w:r>
              <w:rPr>
                <w:color w:val="auto"/>
                <w:u w:val="none" w:color="auto"/>
              </w:rPr>
              <w:t>落实上述措施后，施工废水对周围水环境影响较小。</w:t>
            </w:r>
          </w:p>
          <w:p>
            <w:pPr>
              <w:pStyle w:val="10"/>
              <w:bidi w:val="0"/>
              <w:rPr>
                <w:b/>
                <w:bCs/>
                <w:color w:val="auto"/>
                <w:u w:val="none" w:color="auto"/>
              </w:rPr>
            </w:pPr>
            <w:r>
              <w:rPr>
                <w:rFonts w:hint="eastAsia"/>
                <w:b/>
                <w:bCs/>
                <w:color w:val="auto"/>
                <w:u w:val="none" w:color="auto"/>
                <w:lang w:val="en-US" w:eastAsia="zh-CN"/>
              </w:rPr>
              <w:t>4.</w:t>
            </w:r>
            <w:r>
              <w:rPr>
                <w:rFonts w:hint="eastAsia"/>
                <w:b/>
                <w:bCs/>
                <w:color w:val="auto"/>
                <w:u w:val="none" w:color="auto"/>
              </w:rPr>
              <w:t>3</w:t>
            </w:r>
            <w:r>
              <w:rPr>
                <w:b/>
                <w:bCs/>
                <w:color w:val="auto"/>
                <w:u w:val="none" w:color="auto"/>
              </w:rPr>
              <w:t>噪声防治措施</w:t>
            </w:r>
          </w:p>
          <w:p>
            <w:pPr>
              <w:pStyle w:val="10"/>
              <w:bidi w:val="0"/>
              <w:rPr>
                <w:color w:val="auto"/>
                <w:u w:val="single" w:color="auto"/>
              </w:rPr>
            </w:pPr>
            <w:r>
              <w:rPr>
                <w:color w:val="auto"/>
                <w:u w:val="single" w:color="auto"/>
              </w:rPr>
              <w:t>建设期噪声主要来源于运输车辆、各种钻机、切割机、电锯等机械噪声。噪声防治对策主要包括：</w:t>
            </w:r>
          </w:p>
          <w:p>
            <w:pPr>
              <w:pStyle w:val="10"/>
              <w:bidi w:val="0"/>
              <w:rPr>
                <w:color w:val="auto"/>
                <w:u w:val="single" w:color="auto"/>
              </w:rPr>
            </w:pPr>
            <w:r>
              <w:rPr>
                <w:color w:val="auto"/>
                <w:u w:val="single" w:color="auto"/>
              </w:rPr>
              <w:t>①施工单位应注意施工机械保养，维持施工机械低声级水平，为在较高声源附近</w:t>
            </w:r>
            <w:r>
              <w:rPr>
                <w:rFonts w:hint="eastAsia"/>
                <w:color w:val="auto"/>
                <w:u w:val="single" w:color="auto"/>
              </w:rPr>
              <w:t>、</w:t>
            </w:r>
            <w:r>
              <w:rPr>
                <w:color w:val="auto"/>
                <w:u w:val="single" w:color="auto"/>
              </w:rPr>
              <w:t>工作时间较长的工人发放防声耳塞，并按《工业企业噪声控制设计规范》（GB/T50087-2013）中的有关规定，合理安排工作人员作业时间或进行工作轮换。</w:t>
            </w:r>
          </w:p>
          <w:p>
            <w:pPr>
              <w:pStyle w:val="10"/>
              <w:bidi w:val="0"/>
              <w:rPr>
                <w:color w:val="auto"/>
                <w:u w:val="single" w:color="auto"/>
              </w:rPr>
            </w:pPr>
            <w:r>
              <w:rPr>
                <w:color w:val="auto"/>
                <w:u w:val="single" w:color="auto"/>
              </w:rPr>
              <w:t>②昼间施工时应确保施工噪声不影响施工场地周边的居民生活环境，噪声大的施工机械在夜间（22:00~6:00）停止施工。噪声源强大的作业可放在白天（6:00~22:00）或对各种机械操作时间</w:t>
            </w:r>
            <w:r>
              <w:rPr>
                <w:rFonts w:hint="eastAsia"/>
                <w:color w:val="auto"/>
                <w:u w:val="single" w:color="auto"/>
              </w:rPr>
              <w:t>做适当调整</w:t>
            </w:r>
            <w:r>
              <w:rPr>
                <w:color w:val="auto"/>
                <w:u w:val="single" w:color="auto"/>
              </w:rPr>
              <w:t>。运输建筑材料的车辆，要做好车辆的维修保养工作，使车辆的噪声级维持在最低水平。</w:t>
            </w:r>
          </w:p>
          <w:p>
            <w:pPr>
              <w:pStyle w:val="10"/>
              <w:bidi w:val="0"/>
              <w:rPr>
                <w:color w:val="auto"/>
                <w:u w:val="single" w:color="auto"/>
              </w:rPr>
            </w:pPr>
            <w:r>
              <w:rPr>
                <w:color w:val="auto"/>
                <w:u w:val="single" w:color="auto"/>
              </w:rPr>
              <w:t>③必须加强管理，掌握周围居民的作息时间，合理安排施工，尽量不在夜间进行高噪声设备的施工作业，混凝土需要进行连续作业时应先做好人员、设备、场地、材料的准备工作，将搅拌机运行时间压缩到最低限度。</w:t>
            </w:r>
          </w:p>
          <w:p>
            <w:pPr>
              <w:pStyle w:val="10"/>
              <w:bidi w:val="0"/>
              <w:rPr>
                <w:color w:val="auto"/>
                <w:u w:val="single" w:color="auto"/>
              </w:rPr>
            </w:pPr>
            <w:r>
              <w:rPr>
                <w:color w:val="auto"/>
                <w:u w:val="single" w:color="auto"/>
              </w:rPr>
              <w:t>④施工期间，建设单位必须接受</w:t>
            </w:r>
            <w:r>
              <w:rPr>
                <w:rFonts w:hint="eastAsia"/>
                <w:color w:val="auto"/>
                <w:u w:val="single" w:color="auto"/>
              </w:rPr>
              <w:t>相关</w:t>
            </w:r>
            <w:r>
              <w:rPr>
                <w:color w:val="auto"/>
                <w:u w:val="single" w:color="auto"/>
              </w:rPr>
              <w:t>部门的监督检查，采取有效减振降噪措施，不得扰民；尽量采用低噪声机械，工程施工所用的施工机械设备应事先对其进行常规工作状态下的噪声测量，超过国家标准的机械应禁止其入场施工。施工过程中还应经常对设备进行维修保养，避免由于设备性能差而使噪声增强现象的发生。</w:t>
            </w:r>
          </w:p>
          <w:p>
            <w:pPr>
              <w:pStyle w:val="10"/>
              <w:bidi w:val="0"/>
              <w:rPr>
                <w:color w:val="auto"/>
                <w:u w:val="single" w:color="auto"/>
              </w:rPr>
            </w:pPr>
            <w:r>
              <w:rPr>
                <w:rFonts w:hint="eastAsia"/>
                <w:color w:val="auto"/>
                <w:u w:val="single" w:color="auto"/>
              </w:rPr>
              <w:t>⑤</w:t>
            </w:r>
            <w:r>
              <w:rPr>
                <w:color w:val="auto"/>
                <w:u w:val="single" w:color="auto"/>
              </w:rPr>
              <w:t>施工单位组织专人在该范围负责交通组织，尽量压缩工区汽车数量和行车密度，严格禁止来往施工车辆鸣笛</w:t>
            </w:r>
            <w:r>
              <w:rPr>
                <w:rFonts w:hint="eastAsia"/>
                <w:color w:val="auto"/>
                <w:u w:val="single" w:color="auto"/>
              </w:rPr>
              <w:t>。</w:t>
            </w:r>
          </w:p>
          <w:p>
            <w:pPr>
              <w:pStyle w:val="10"/>
              <w:bidi w:val="0"/>
              <w:rPr>
                <w:rFonts w:hint="eastAsia"/>
                <w:color w:val="auto"/>
                <w:u w:val="single" w:color="auto"/>
              </w:rPr>
            </w:pPr>
            <w:r>
              <w:rPr>
                <w:rFonts w:hint="eastAsia"/>
                <w:color w:val="auto"/>
                <w:u w:val="single" w:color="auto"/>
              </w:rPr>
              <w:t>⑥</w:t>
            </w:r>
            <w:r>
              <w:rPr>
                <w:color w:val="auto"/>
                <w:u w:val="single" w:color="auto"/>
              </w:rPr>
              <w:t>合理施工，认真研究；要求施工人员不得大声喧哗，并注意施工操作中减小噪声</w:t>
            </w:r>
            <w:r>
              <w:rPr>
                <w:rFonts w:hint="eastAsia"/>
                <w:color w:val="auto"/>
                <w:u w:val="single" w:color="auto"/>
              </w:rPr>
              <w:t>。</w:t>
            </w:r>
          </w:p>
          <w:p>
            <w:pPr>
              <w:pStyle w:val="10"/>
              <w:bidi w:val="0"/>
              <w:rPr>
                <w:color w:val="auto"/>
                <w:u w:val="single" w:color="auto"/>
              </w:rPr>
            </w:pPr>
            <w:r>
              <w:rPr>
                <w:color w:val="auto"/>
                <w:u w:val="single" w:color="auto"/>
              </w:rPr>
              <w:t>建议施工单位将施工机械尽量远离敏感点，</w:t>
            </w:r>
            <w:r>
              <w:rPr>
                <w:rFonts w:hint="eastAsia"/>
                <w:color w:val="auto"/>
                <w:u w:val="single" w:color="auto"/>
                <w:lang w:val="en-US" w:eastAsia="zh-CN"/>
              </w:rPr>
              <w:t>使用低噪设备，加强管理，避免对周边居民和卫生院产生较大的影响</w:t>
            </w:r>
            <w:r>
              <w:rPr>
                <w:color w:val="auto"/>
                <w:u w:val="single" w:color="auto"/>
              </w:rPr>
              <w:t>。</w:t>
            </w:r>
          </w:p>
          <w:p>
            <w:pPr>
              <w:pStyle w:val="10"/>
              <w:bidi w:val="0"/>
              <w:rPr>
                <w:b/>
                <w:bCs/>
                <w:color w:val="auto"/>
                <w:u w:val="single" w:color="auto"/>
              </w:rPr>
            </w:pPr>
            <w:bookmarkStart w:id="10" w:name="OLE_LINK176"/>
            <w:r>
              <w:rPr>
                <w:rFonts w:hint="eastAsia"/>
                <w:b/>
                <w:bCs/>
                <w:color w:val="auto"/>
                <w:u w:val="single" w:color="auto"/>
                <w:lang w:val="en-US" w:eastAsia="zh-CN"/>
              </w:rPr>
              <w:t>4.</w:t>
            </w:r>
            <w:r>
              <w:rPr>
                <w:rFonts w:hint="eastAsia"/>
                <w:b/>
                <w:bCs/>
                <w:color w:val="auto"/>
                <w:u w:val="single" w:color="auto"/>
              </w:rPr>
              <w:t>4</w:t>
            </w:r>
            <w:r>
              <w:rPr>
                <w:b/>
                <w:bCs/>
                <w:color w:val="auto"/>
                <w:u w:val="single" w:color="auto"/>
              </w:rPr>
              <w:t>固体废物防治措施</w:t>
            </w:r>
          </w:p>
          <w:bookmarkEnd w:id="10"/>
          <w:p>
            <w:pPr>
              <w:pStyle w:val="10"/>
              <w:bidi w:val="0"/>
              <w:rPr>
                <w:color w:val="auto"/>
                <w:u w:val="single" w:color="auto"/>
              </w:rPr>
            </w:pPr>
            <w:r>
              <w:rPr>
                <w:color w:val="auto"/>
                <w:u w:val="single" w:color="auto"/>
              </w:rPr>
              <w:t>施工期的固体废物主要为施工人员产生的生活垃圾、施工产生的建筑垃圾</w:t>
            </w:r>
            <w:r>
              <w:rPr>
                <w:rFonts w:hint="eastAsia"/>
                <w:color w:val="auto"/>
                <w:u w:val="single" w:color="auto"/>
              </w:rPr>
              <w:t>、拆除弃渣和废土石方</w:t>
            </w:r>
            <w:r>
              <w:rPr>
                <w:color w:val="auto"/>
                <w:u w:val="single" w:color="auto"/>
              </w:rPr>
              <w:t>等。</w:t>
            </w:r>
          </w:p>
          <w:p>
            <w:pPr>
              <w:pStyle w:val="10"/>
              <w:bidi w:val="0"/>
              <w:rPr>
                <w:color w:val="auto"/>
                <w:u w:val="single" w:color="auto"/>
              </w:rPr>
            </w:pPr>
            <w:r>
              <w:rPr>
                <w:color w:val="auto"/>
                <w:u w:val="single" w:color="auto"/>
              </w:rPr>
              <w:t>本工程建设期间，施工人员生活垃圾</w:t>
            </w:r>
            <w:r>
              <w:rPr>
                <w:rFonts w:hint="eastAsia"/>
                <w:color w:val="auto"/>
                <w:u w:val="single" w:color="auto"/>
              </w:rPr>
              <w:t>收集至</w:t>
            </w:r>
            <w:r>
              <w:rPr>
                <w:color w:val="auto"/>
                <w:u w:val="single" w:color="auto"/>
              </w:rPr>
              <w:t>生活垃圾暂存点，对环境影响不大。对于施工过程中产生的</w:t>
            </w:r>
            <w:r>
              <w:rPr>
                <w:rFonts w:hint="eastAsia"/>
                <w:color w:val="auto"/>
                <w:u w:val="single" w:color="auto"/>
              </w:rPr>
              <w:t>拆除弃渣、</w:t>
            </w:r>
            <w:r>
              <w:rPr>
                <w:color w:val="auto"/>
                <w:u w:val="single" w:color="auto"/>
              </w:rPr>
              <w:t>建筑垃圾，主要包括</w:t>
            </w:r>
            <w:r>
              <w:rPr>
                <w:rFonts w:hint="eastAsia"/>
                <w:color w:val="auto"/>
                <w:u w:val="single" w:color="auto"/>
              </w:rPr>
              <w:t>拆除、</w:t>
            </w:r>
            <w:r>
              <w:rPr>
                <w:color w:val="auto"/>
                <w:u w:val="single" w:color="auto"/>
              </w:rPr>
              <w:t>施工废料</w:t>
            </w:r>
            <w:r>
              <w:rPr>
                <w:rFonts w:hint="eastAsia"/>
                <w:color w:val="auto"/>
                <w:u w:val="single" w:color="auto"/>
              </w:rPr>
              <w:t>、</w:t>
            </w:r>
            <w:r>
              <w:rPr>
                <w:color w:val="auto"/>
                <w:u w:val="single" w:color="auto"/>
              </w:rPr>
              <w:t>废泥浆</w:t>
            </w:r>
            <w:r>
              <w:rPr>
                <w:rFonts w:hint="eastAsia"/>
                <w:color w:val="auto"/>
                <w:u w:val="single" w:color="auto"/>
              </w:rPr>
              <w:t>、废土石方</w:t>
            </w:r>
            <w:r>
              <w:rPr>
                <w:color w:val="auto"/>
                <w:u w:val="single" w:color="auto"/>
              </w:rPr>
              <w:t>等，</w:t>
            </w:r>
            <w:r>
              <w:rPr>
                <w:rFonts w:hint="eastAsia"/>
                <w:color w:val="auto"/>
                <w:u w:val="single" w:color="auto"/>
              </w:rPr>
              <w:t>拆除和</w:t>
            </w:r>
            <w:r>
              <w:rPr>
                <w:color w:val="auto"/>
                <w:u w:val="single" w:color="auto"/>
              </w:rPr>
              <w:t>建筑施工中的废物如</w:t>
            </w:r>
            <w:r>
              <w:rPr>
                <w:rFonts w:hint="eastAsia"/>
                <w:color w:val="auto"/>
                <w:u w:val="single" w:color="auto"/>
                <w:lang w:eastAsia="zh-CN"/>
              </w:rPr>
              <w:t>砂石</w:t>
            </w:r>
            <w:r>
              <w:rPr>
                <w:color w:val="auto"/>
                <w:u w:val="single" w:color="auto"/>
              </w:rPr>
              <w:t>、石灰、混凝土、废砖等，这些废物不含有毒有害</w:t>
            </w:r>
            <w:r>
              <w:rPr>
                <w:rFonts w:hint="eastAsia"/>
                <w:color w:val="auto"/>
                <w:u w:val="single" w:color="auto"/>
              </w:rPr>
              <w:t>成分</w:t>
            </w:r>
            <w:r>
              <w:rPr>
                <w:color w:val="auto"/>
                <w:u w:val="single" w:color="auto"/>
              </w:rPr>
              <w:t>，但废料粉粒可随大风飘散，造成局部范围内大气污染。</w:t>
            </w:r>
          </w:p>
          <w:p>
            <w:pPr>
              <w:pStyle w:val="10"/>
              <w:bidi w:val="0"/>
              <w:rPr>
                <w:color w:val="auto"/>
                <w:u w:val="single" w:color="auto"/>
              </w:rPr>
            </w:pPr>
            <w:r>
              <w:rPr>
                <w:rFonts w:hint="eastAsia"/>
                <w:color w:val="auto"/>
                <w:u w:val="single" w:color="auto"/>
              </w:rPr>
              <w:t>弃土堆放于弃渣场区内，并对弃渣场区采取水土保持防护措施，符合水土保持要求。工程在动工前对各类土地可利用的表土进行剥离，剥离后的表土根据施工点就近布置在场地平缓地带，待绿化工程启动后用地工程绿化，工程不设置永久弃渣场。</w:t>
            </w:r>
          </w:p>
          <w:p>
            <w:pPr>
              <w:pStyle w:val="10"/>
              <w:bidi w:val="0"/>
              <w:rPr>
                <w:color w:val="auto"/>
                <w:u w:val="single" w:color="auto"/>
              </w:rPr>
            </w:pPr>
            <w:r>
              <w:rPr>
                <w:color w:val="auto"/>
                <w:u w:val="single" w:color="auto"/>
              </w:rPr>
              <w:t>为了控制建筑废弃物对</w:t>
            </w:r>
            <w:r>
              <w:rPr>
                <w:rFonts w:hint="eastAsia"/>
                <w:color w:val="auto"/>
                <w:u w:val="single" w:color="auto"/>
              </w:rPr>
              <w:t>环境的污染</w:t>
            </w:r>
            <w:r>
              <w:rPr>
                <w:color w:val="auto"/>
                <w:u w:val="single" w:color="auto"/>
              </w:rPr>
              <w:t>，减少堆放和运输过程中对环境的影响，建议采取如下措施：</w:t>
            </w:r>
          </w:p>
          <w:p>
            <w:pPr>
              <w:pStyle w:val="10"/>
              <w:bidi w:val="0"/>
              <w:rPr>
                <w:color w:val="auto"/>
                <w:u w:val="single" w:color="auto"/>
              </w:rPr>
            </w:pPr>
            <w:r>
              <w:rPr>
                <w:color w:val="auto"/>
                <w:u w:val="single" w:color="auto"/>
              </w:rPr>
              <w:t>（1）施工单位应当及时清理运走、处置建筑施工过程中产生的垃圾，并采取措施，防止污染环境；</w:t>
            </w:r>
          </w:p>
          <w:p>
            <w:pPr>
              <w:pStyle w:val="10"/>
              <w:bidi w:val="0"/>
              <w:rPr>
                <w:color w:val="auto"/>
                <w:u w:val="single" w:color="auto"/>
              </w:rPr>
            </w:pPr>
            <w:r>
              <w:rPr>
                <w:color w:val="auto"/>
                <w:u w:val="single" w:color="auto"/>
              </w:rPr>
              <w:t>（2）车辆运输散体材料和废弃物时，必须密闭、包扎、覆盖，不得沿途漏撒；运载土方的车辆必须在规定的时间内，按指定路段行驶；</w:t>
            </w:r>
          </w:p>
          <w:p>
            <w:pPr>
              <w:pStyle w:val="10"/>
              <w:bidi w:val="0"/>
              <w:rPr>
                <w:color w:val="auto"/>
                <w:u w:val="single" w:color="auto"/>
              </w:rPr>
            </w:pPr>
            <w:r>
              <w:rPr>
                <w:color w:val="auto"/>
                <w:u w:val="single" w:color="auto"/>
              </w:rPr>
              <w:t>（3）收集、贮存、运输、处置固体废物的单位，必须采取防扬散、防流失、防渗漏</w:t>
            </w:r>
            <w:r>
              <w:rPr>
                <w:rFonts w:hint="eastAsia"/>
                <w:color w:val="auto"/>
                <w:u w:val="single" w:color="auto"/>
              </w:rPr>
              <w:t>或者其他</w:t>
            </w:r>
            <w:r>
              <w:rPr>
                <w:color w:val="auto"/>
                <w:u w:val="single" w:color="auto"/>
              </w:rPr>
              <w:t>防止污染环境的措施。</w:t>
            </w:r>
          </w:p>
          <w:p>
            <w:pPr>
              <w:pStyle w:val="10"/>
              <w:bidi w:val="0"/>
              <w:rPr>
                <w:color w:val="auto"/>
                <w:u w:val="single" w:color="auto"/>
              </w:rPr>
            </w:pPr>
            <w:r>
              <w:rPr>
                <w:rFonts w:hint="eastAsia"/>
                <w:color w:val="auto"/>
                <w:u w:val="single" w:color="auto"/>
              </w:rPr>
              <w:t>（4）对施工产生的废土石方、废建筑垃圾等应尽可能利用或就地回填，或及时找到其他需回填的工地，一方面</w:t>
            </w:r>
            <w:r>
              <w:rPr>
                <w:rFonts w:hint="eastAsia"/>
                <w:color w:val="auto"/>
                <w:u w:val="single" w:color="auto"/>
                <w:lang w:eastAsia="zh-CN"/>
              </w:rPr>
              <w:t>可以</w:t>
            </w:r>
            <w:r>
              <w:rPr>
                <w:rFonts w:hint="eastAsia"/>
                <w:color w:val="auto"/>
                <w:u w:val="single" w:color="auto"/>
              </w:rPr>
              <w:t>解决某些工地的填土，另一方面可解决本工地的余方堆放出路。对一时不能迅速找到回填工地的余方，要申报有关管理部门，及时运走，堆放到政府部门指定的消纳场。</w:t>
            </w:r>
          </w:p>
          <w:p>
            <w:pPr>
              <w:pStyle w:val="10"/>
              <w:bidi w:val="0"/>
              <w:rPr>
                <w:rFonts w:hint="default" w:ascii="Times New Roman" w:hAnsi="Times New Roman" w:eastAsia="宋体" w:cs="Times New Roman"/>
                <w:color w:val="auto"/>
                <w:sz w:val="24"/>
                <w:szCs w:val="24"/>
                <w:u w:val="none" w:color="auto"/>
                <w:lang w:val="en-US" w:eastAsia="zh-CN"/>
              </w:rPr>
            </w:pPr>
            <w:r>
              <w:rPr>
                <w:color w:val="auto"/>
                <w:u w:val="single" w:color="auto"/>
              </w:rPr>
              <w:t>建设过程中应加强管理，文明施工，使建设期间对周围环境的影响减少到较低限度，做到发展与保护环境相协调。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Cs/>
                <w:color w:val="auto"/>
                <w:sz w:val="24"/>
                <w:szCs w:val="24"/>
                <w:u w:val="none" w:color="auto"/>
              </w:rPr>
            </w:pPr>
            <w:r>
              <w:rPr>
                <w:rFonts w:hint="default" w:ascii="Times New Roman" w:hAnsi="Times New Roman" w:eastAsia="宋体" w:cs="Times New Roman"/>
                <w:bCs/>
                <w:color w:val="auto"/>
                <w:sz w:val="24"/>
                <w:szCs w:val="24"/>
                <w:u w:val="none" w:color="auto"/>
              </w:rPr>
              <w:t>运营期环境影响和保护措施</w:t>
            </w:r>
          </w:p>
        </w:tc>
        <w:tc>
          <w:tcPr>
            <w:tcW w:w="816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eastAsia" w:ascii="Times New Roman" w:hAnsi="Times New Roman" w:eastAsia="宋体" w:cs="Times New Roman"/>
                <w:b/>
                <w:bCs/>
                <w:color w:val="auto"/>
                <w:kern w:val="0"/>
                <w:sz w:val="24"/>
                <w:szCs w:val="24"/>
                <w:u w:val="none" w:color="auto"/>
                <w:lang w:val="en-US" w:eastAsia="zh-CN"/>
              </w:rPr>
              <w:t>1、</w:t>
            </w:r>
            <w:r>
              <w:rPr>
                <w:rFonts w:hint="default" w:ascii="Times New Roman" w:hAnsi="Times New Roman" w:eastAsia="宋体" w:cs="Times New Roman"/>
                <w:b/>
                <w:bCs/>
                <w:color w:val="auto"/>
                <w:kern w:val="0"/>
                <w:sz w:val="24"/>
                <w:szCs w:val="24"/>
                <w:u w:val="none" w:color="auto"/>
              </w:rPr>
              <w:t>运营期废气</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rPr>
            </w:pPr>
            <w:r>
              <w:rPr>
                <w:rFonts w:hint="default" w:ascii="Times New Roman" w:hAnsi="Times New Roman" w:eastAsia="宋体" w:cs="Times New Roman"/>
                <w:bCs/>
                <w:color w:val="auto"/>
                <w:spacing w:val="-10"/>
                <w:sz w:val="24"/>
                <w:szCs w:val="24"/>
                <w:u w:val="none" w:color="auto"/>
              </w:rPr>
              <w:t>本项目产生的</w:t>
            </w:r>
            <w:r>
              <w:rPr>
                <w:rFonts w:hint="default" w:ascii="Times New Roman" w:hAnsi="Times New Roman" w:eastAsia="宋体" w:cs="Times New Roman"/>
                <w:color w:val="auto"/>
                <w:kern w:val="0"/>
                <w:sz w:val="24"/>
                <w:szCs w:val="24"/>
                <w:u w:val="none" w:color="auto"/>
              </w:rPr>
              <w:t>废气</w:t>
            </w:r>
            <w:r>
              <w:rPr>
                <w:rFonts w:hint="eastAsia" w:ascii="Times New Roman" w:hAnsi="Times New Roman" w:eastAsia="宋体" w:cs="Times New Roman"/>
                <w:bCs/>
                <w:color w:val="auto"/>
                <w:spacing w:val="-10"/>
                <w:sz w:val="24"/>
                <w:szCs w:val="24"/>
                <w:u w:val="none" w:color="auto"/>
                <w:lang w:val="en-US" w:eastAsia="zh-CN"/>
              </w:rPr>
              <w:t>包括</w:t>
            </w:r>
            <w:r>
              <w:rPr>
                <w:rFonts w:hint="eastAsia" w:ascii="Times New Roman" w:hAnsi="Times New Roman" w:eastAsia="宋体" w:cs="Times New Roman"/>
                <w:bCs/>
                <w:color w:val="auto"/>
                <w:spacing w:val="-10"/>
                <w:sz w:val="24"/>
                <w:szCs w:val="24"/>
                <w:u w:val="none" w:color="auto"/>
                <w:lang w:eastAsia="zh-CN"/>
              </w:rPr>
              <w:t>地埋式污水处理系统</w:t>
            </w:r>
            <w:r>
              <w:rPr>
                <w:rFonts w:hint="default" w:ascii="Times New Roman" w:hAnsi="Times New Roman" w:eastAsia="宋体" w:cs="Times New Roman"/>
                <w:bCs/>
                <w:color w:val="auto"/>
                <w:spacing w:val="-10"/>
                <w:sz w:val="24"/>
                <w:szCs w:val="24"/>
                <w:u w:val="none" w:color="auto"/>
              </w:rPr>
              <w:t>废气、检验室废气</w:t>
            </w:r>
            <w:r>
              <w:rPr>
                <w:rFonts w:hint="eastAsia" w:ascii="Times New Roman" w:hAnsi="Times New Roman" w:eastAsia="宋体" w:cs="Times New Roman"/>
                <w:bCs/>
                <w:color w:val="auto"/>
                <w:spacing w:val="-10"/>
                <w:sz w:val="24"/>
                <w:szCs w:val="24"/>
                <w:u w:val="none" w:color="auto"/>
                <w:lang w:eastAsia="zh-CN"/>
              </w:rPr>
              <w:t>、</w:t>
            </w:r>
            <w:r>
              <w:rPr>
                <w:rFonts w:hint="default" w:ascii="Times New Roman" w:hAnsi="Times New Roman" w:eastAsia="宋体" w:cs="Times New Roman"/>
                <w:bCs/>
                <w:color w:val="auto"/>
                <w:spacing w:val="-10"/>
                <w:sz w:val="24"/>
                <w:szCs w:val="24"/>
                <w:u w:val="none" w:color="auto"/>
              </w:rPr>
              <w:t>食堂油烟</w:t>
            </w:r>
            <w:r>
              <w:rPr>
                <w:rFonts w:hint="eastAsia" w:ascii="Times New Roman" w:hAnsi="Times New Roman" w:eastAsia="宋体" w:cs="Times New Roman"/>
                <w:bCs/>
                <w:color w:val="auto"/>
                <w:spacing w:val="-10"/>
                <w:sz w:val="24"/>
                <w:szCs w:val="24"/>
                <w:u w:val="none" w:color="auto"/>
                <w:lang w:val="en-US" w:eastAsia="zh-CN"/>
              </w:rPr>
              <w:t>以及紧急供电时</w:t>
            </w:r>
            <w:r>
              <w:rPr>
                <w:rFonts w:hint="default" w:ascii="Times New Roman" w:hAnsi="Times New Roman" w:eastAsia="宋体" w:cs="Times New Roman"/>
                <w:bCs/>
                <w:color w:val="auto"/>
                <w:spacing w:val="-10"/>
                <w:sz w:val="24"/>
                <w:szCs w:val="24"/>
                <w:u w:val="none" w:color="auto"/>
              </w:rPr>
              <w:t>柴油发电机废气。</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lang w:val="en-US"/>
              </w:rPr>
            </w:pPr>
            <w:r>
              <w:rPr>
                <w:rFonts w:hint="eastAsia" w:ascii="Times New Roman" w:hAnsi="Times New Roman" w:eastAsia="宋体" w:cs="Times New Roman"/>
                <w:bCs/>
                <w:color w:val="auto"/>
                <w:spacing w:val="-10"/>
                <w:sz w:val="24"/>
                <w:szCs w:val="24"/>
                <w:u w:val="none" w:color="auto"/>
                <w:lang w:val="en-US" w:eastAsia="zh-CN"/>
              </w:rPr>
              <w:t>检验室废气主要来自医院化验室化验过程中给中化学试剂无组织挥发产生的异味，由于化验过程使用的各种试剂气味散发量很小且较分散，通过保持化验室良好的通风，检验废气可做到达标排放。</w:t>
            </w:r>
            <w:r>
              <w:rPr>
                <w:rFonts w:hint="default" w:ascii="Times New Roman" w:hAnsi="Times New Roman" w:eastAsia="宋体" w:cs="Times New Roman"/>
                <w:bCs/>
                <w:color w:val="auto"/>
                <w:spacing w:val="-10"/>
                <w:sz w:val="24"/>
                <w:szCs w:val="24"/>
                <w:u w:val="none" w:color="auto"/>
              </w:rPr>
              <w:t>柴油发电机</w:t>
            </w:r>
            <w:r>
              <w:rPr>
                <w:rFonts w:hint="eastAsia" w:ascii="Times New Roman" w:hAnsi="Times New Roman" w:eastAsia="宋体" w:cs="Times New Roman"/>
                <w:bCs/>
                <w:color w:val="auto"/>
                <w:spacing w:val="-10"/>
                <w:sz w:val="24"/>
                <w:szCs w:val="24"/>
                <w:u w:val="none" w:color="auto"/>
                <w:lang w:val="en-US" w:eastAsia="zh-CN"/>
              </w:rPr>
              <w:t>仅在区域电网故障或检修等时段作为紧急供电设施使用，柴油发电机使用频率为2-3次/年，产生的废气量较少。因此，本次评价不对检验室废气和柴油发电机废气源强进行核算。</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val="en-US" w:eastAsia="zh-CN"/>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1</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rPr>
              <w:t>废</w:t>
            </w:r>
            <w:r>
              <w:rPr>
                <w:rFonts w:hint="eastAsia" w:ascii="Times New Roman" w:hAnsi="Times New Roman" w:eastAsia="宋体" w:cs="Times New Roman"/>
                <w:b/>
                <w:bCs/>
                <w:color w:val="auto"/>
                <w:kern w:val="0"/>
                <w:sz w:val="24"/>
                <w:szCs w:val="24"/>
                <w:u w:val="none" w:color="auto"/>
                <w:lang w:val="en-US" w:eastAsia="zh-CN"/>
              </w:rPr>
              <w:t>气源强理论核算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rPr>
            </w:pPr>
            <w:r>
              <w:rPr>
                <w:rFonts w:hint="eastAsia" w:ascii="Times New Roman" w:hAnsi="Times New Roman" w:eastAsia="宋体" w:cs="Times New Roman"/>
                <w:bCs/>
                <w:color w:val="auto"/>
                <w:spacing w:val="-10"/>
                <w:sz w:val="24"/>
                <w:szCs w:val="24"/>
                <w:u w:val="none" w:color="auto"/>
                <w:lang w:val="en-US" w:eastAsia="zh-CN"/>
              </w:rPr>
              <w:t xml:space="preserve">① </w:t>
            </w:r>
            <w:r>
              <w:rPr>
                <w:rFonts w:hint="eastAsia" w:ascii="Times New Roman" w:hAnsi="Times New Roman" w:eastAsia="宋体" w:cs="Times New Roman"/>
                <w:bCs/>
                <w:color w:val="auto"/>
                <w:spacing w:val="-10"/>
                <w:sz w:val="24"/>
                <w:szCs w:val="24"/>
                <w:u w:val="none" w:color="auto"/>
                <w:lang w:eastAsia="zh-CN"/>
              </w:rPr>
              <w:t>地埋式污水</w:t>
            </w:r>
            <w:r>
              <w:rPr>
                <w:rFonts w:hint="eastAsia" w:cs="Times New Roman"/>
                <w:bCs/>
                <w:color w:val="auto"/>
                <w:spacing w:val="-10"/>
                <w:sz w:val="24"/>
                <w:szCs w:val="24"/>
                <w:u w:val="none" w:color="auto"/>
                <w:lang w:val="en-US" w:eastAsia="zh-CN"/>
              </w:rPr>
              <w:t>设施</w:t>
            </w:r>
            <w:r>
              <w:rPr>
                <w:rFonts w:hint="default" w:ascii="Times New Roman" w:hAnsi="Times New Roman" w:eastAsia="宋体" w:cs="Times New Roman"/>
                <w:bCs/>
                <w:color w:val="auto"/>
                <w:spacing w:val="-10"/>
                <w:sz w:val="24"/>
                <w:szCs w:val="24"/>
                <w:u w:val="none" w:color="auto"/>
              </w:rPr>
              <w:t>废气</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rPr>
            </w:pPr>
            <w:r>
              <w:rPr>
                <w:rFonts w:hint="eastAsia" w:ascii="Times New Roman" w:hAnsi="Times New Roman" w:eastAsia="宋体" w:cs="Times New Roman"/>
                <w:bCs/>
                <w:color w:val="auto"/>
                <w:spacing w:val="-10"/>
                <w:sz w:val="24"/>
                <w:szCs w:val="24"/>
                <w:u w:val="none" w:color="auto"/>
                <w:lang w:val="en-US" w:eastAsia="zh-CN"/>
              </w:rPr>
              <w:t>医院设有一套</w:t>
            </w:r>
            <w:r>
              <w:rPr>
                <w:rFonts w:hint="eastAsia" w:ascii="Times New Roman" w:hAnsi="Times New Roman" w:eastAsia="宋体" w:cs="Times New Roman"/>
                <w:bCs/>
                <w:color w:val="auto"/>
                <w:spacing w:val="-10"/>
                <w:sz w:val="24"/>
                <w:szCs w:val="24"/>
                <w:u w:val="none" w:color="auto"/>
                <w:lang w:eastAsia="zh-CN"/>
              </w:rPr>
              <w:t>地埋式污水处理系统</w:t>
            </w:r>
            <w:r>
              <w:rPr>
                <w:rFonts w:hint="default" w:ascii="Times New Roman" w:hAnsi="Times New Roman" w:eastAsia="宋体" w:cs="Times New Roman"/>
                <w:bCs/>
                <w:color w:val="auto"/>
                <w:spacing w:val="-10"/>
                <w:sz w:val="24"/>
                <w:szCs w:val="24"/>
                <w:u w:val="none" w:color="auto"/>
              </w:rPr>
              <w:t>。废水在处理</w:t>
            </w:r>
            <w:r>
              <w:rPr>
                <w:rFonts w:hint="eastAsia" w:cs="Times New Roman"/>
                <w:bCs/>
                <w:color w:val="auto"/>
                <w:spacing w:val="-10"/>
                <w:sz w:val="24"/>
                <w:szCs w:val="24"/>
                <w:u w:val="none" w:color="auto"/>
                <w:lang w:val="en-US" w:eastAsia="zh-CN"/>
              </w:rPr>
              <w:t>和污泥压滤</w:t>
            </w:r>
            <w:r>
              <w:rPr>
                <w:rFonts w:hint="default" w:ascii="Times New Roman" w:hAnsi="Times New Roman" w:eastAsia="宋体" w:cs="Times New Roman"/>
                <w:bCs/>
                <w:color w:val="auto"/>
                <w:spacing w:val="-10"/>
                <w:sz w:val="24"/>
                <w:szCs w:val="24"/>
                <w:u w:val="none" w:color="auto"/>
              </w:rPr>
              <w:t>过程中会产生恶臭，恶臭是多组分低浓度的混合气体，其成分可达到几十到几百种，主要为H</w:t>
            </w:r>
            <w:r>
              <w:rPr>
                <w:rFonts w:hint="default" w:ascii="Times New Roman" w:hAnsi="Times New Roman" w:eastAsia="宋体" w:cs="Times New Roman"/>
                <w:bCs/>
                <w:color w:val="auto"/>
                <w:spacing w:val="-10"/>
                <w:sz w:val="24"/>
                <w:szCs w:val="24"/>
                <w:u w:val="none" w:color="auto"/>
                <w:vertAlign w:val="subscript"/>
              </w:rPr>
              <w:t>2</w:t>
            </w:r>
            <w:r>
              <w:rPr>
                <w:rFonts w:hint="default" w:ascii="Times New Roman" w:hAnsi="Times New Roman" w:eastAsia="宋体" w:cs="Times New Roman"/>
                <w:bCs/>
                <w:color w:val="auto"/>
                <w:spacing w:val="-10"/>
                <w:sz w:val="24"/>
                <w:szCs w:val="24"/>
                <w:u w:val="none" w:color="auto"/>
              </w:rPr>
              <w:t>S和NH</w:t>
            </w:r>
            <w:r>
              <w:rPr>
                <w:rFonts w:hint="eastAsia" w:ascii="Times New Roman" w:hAnsi="Times New Roman" w:eastAsia="宋体" w:cs="Times New Roman"/>
                <w:bCs/>
                <w:color w:val="auto"/>
                <w:spacing w:val="-10"/>
                <w:sz w:val="24"/>
                <w:szCs w:val="24"/>
                <w:u w:val="none" w:color="auto"/>
                <w:vertAlign w:val="subscript"/>
                <w:lang w:val="en-US" w:eastAsia="zh-CN"/>
              </w:rPr>
              <w:t>3</w:t>
            </w:r>
            <w:r>
              <w:rPr>
                <w:rFonts w:hint="default" w:ascii="Times New Roman" w:hAnsi="Times New Roman" w:eastAsia="宋体" w:cs="Times New Roman"/>
                <w:bCs/>
                <w:color w:val="auto"/>
                <w:spacing w:val="-10"/>
                <w:sz w:val="24"/>
                <w:szCs w:val="24"/>
                <w:u w:val="none" w:color="auto"/>
              </w:rPr>
              <w:t>等，根据美国EPA对城市污水处理厂恶臭污染物产生情况的研究，每处理1g的BOD</w:t>
            </w:r>
            <w:r>
              <w:rPr>
                <w:rFonts w:hint="default" w:ascii="Times New Roman" w:hAnsi="Times New Roman" w:eastAsia="宋体" w:cs="Times New Roman"/>
                <w:bCs/>
                <w:color w:val="auto"/>
                <w:spacing w:val="-10"/>
                <w:sz w:val="24"/>
                <w:szCs w:val="24"/>
                <w:u w:val="none" w:color="auto"/>
                <w:vertAlign w:val="subscript"/>
              </w:rPr>
              <w:t>5</w:t>
            </w:r>
            <w:r>
              <w:rPr>
                <w:rFonts w:hint="default" w:ascii="Times New Roman" w:hAnsi="Times New Roman" w:eastAsia="宋体" w:cs="Times New Roman"/>
                <w:bCs/>
                <w:color w:val="auto"/>
                <w:spacing w:val="-10"/>
                <w:sz w:val="24"/>
                <w:szCs w:val="24"/>
                <w:u w:val="none" w:color="auto"/>
              </w:rPr>
              <w:t>，可产生0.0031g的NH</w:t>
            </w:r>
            <w:r>
              <w:rPr>
                <w:rFonts w:hint="default" w:ascii="Times New Roman" w:hAnsi="Times New Roman" w:eastAsia="宋体" w:cs="Times New Roman"/>
                <w:bCs/>
                <w:color w:val="auto"/>
                <w:spacing w:val="-10"/>
                <w:sz w:val="24"/>
                <w:szCs w:val="24"/>
                <w:u w:val="none" w:color="auto"/>
                <w:vertAlign w:val="subscript"/>
              </w:rPr>
              <w:t>3</w:t>
            </w:r>
            <w:r>
              <w:rPr>
                <w:rFonts w:hint="default" w:ascii="Times New Roman" w:hAnsi="Times New Roman" w:eastAsia="宋体" w:cs="Times New Roman"/>
                <w:bCs/>
                <w:color w:val="auto"/>
                <w:spacing w:val="-10"/>
                <w:sz w:val="24"/>
                <w:szCs w:val="24"/>
                <w:u w:val="none" w:color="auto"/>
              </w:rPr>
              <w:t>和0.00012g的H</w:t>
            </w:r>
            <w:r>
              <w:rPr>
                <w:rFonts w:hint="default" w:ascii="Times New Roman" w:hAnsi="Times New Roman" w:eastAsia="宋体" w:cs="Times New Roman"/>
                <w:bCs/>
                <w:color w:val="auto"/>
                <w:spacing w:val="-10"/>
                <w:sz w:val="24"/>
                <w:szCs w:val="24"/>
                <w:u w:val="none" w:color="auto"/>
                <w:vertAlign w:val="subscript"/>
              </w:rPr>
              <w:t>2</w:t>
            </w:r>
            <w:r>
              <w:rPr>
                <w:rFonts w:hint="default" w:ascii="Times New Roman" w:hAnsi="Times New Roman" w:eastAsia="宋体" w:cs="Times New Roman"/>
                <w:bCs/>
                <w:color w:val="auto"/>
                <w:spacing w:val="-10"/>
                <w:sz w:val="24"/>
                <w:szCs w:val="24"/>
                <w:u w:val="none" w:color="auto"/>
              </w:rPr>
              <w:t>S。</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lang w:val="en-US" w:eastAsia="zh-CN"/>
              </w:rPr>
            </w:pPr>
            <w:r>
              <w:rPr>
                <w:rFonts w:hint="eastAsia" w:ascii="Times New Roman" w:hAnsi="Times New Roman" w:eastAsia="宋体" w:cs="Times New Roman"/>
                <w:bCs/>
                <w:color w:val="auto"/>
                <w:spacing w:val="-10"/>
                <w:sz w:val="24"/>
                <w:szCs w:val="24"/>
                <w:u w:val="none" w:color="auto"/>
                <w:lang w:val="en-US" w:eastAsia="zh-CN"/>
              </w:rPr>
              <w:t>医院共有床位数81张，根据</w:t>
            </w:r>
            <w:r>
              <w:rPr>
                <w:rFonts w:hint="default" w:ascii="Times New Roman" w:hAnsi="Times New Roman" w:eastAsia="宋体" w:cs="Times New Roman"/>
                <w:color w:val="auto"/>
                <w:sz w:val="24"/>
                <w:szCs w:val="24"/>
                <w:u w:val="none" w:color="auto"/>
              </w:rPr>
              <w:t>《综合医院建筑设计规范》（GB51039-2014）</w:t>
            </w:r>
            <w:r>
              <w:rPr>
                <w:rFonts w:hint="eastAsia" w:ascii="Times New Roman" w:hAnsi="Times New Roman" w:eastAsia="宋体" w:cs="Times New Roman"/>
                <w:color w:val="auto"/>
                <w:sz w:val="24"/>
                <w:szCs w:val="24"/>
                <w:u w:val="none" w:color="auto"/>
                <w:lang w:val="en-US" w:eastAsia="zh-CN"/>
              </w:rPr>
              <w:t>用水定额，本项目废水量为</w:t>
            </w:r>
            <w:r>
              <w:rPr>
                <w:rFonts w:hint="eastAsia" w:cs="Times New Roman"/>
                <w:color w:val="auto"/>
                <w:sz w:val="24"/>
                <w:szCs w:val="24"/>
                <w:u w:val="none" w:color="auto"/>
                <w:lang w:val="en-US" w:eastAsia="zh-CN"/>
              </w:rPr>
              <w:t>17.702</w:t>
            </w:r>
            <w:r>
              <w:rPr>
                <w:rFonts w:hint="eastAsia" w:ascii="Times New Roman" w:hAnsi="Times New Roman" w:eastAsia="宋体" w:cs="Times New Roman"/>
                <w:color w:val="auto"/>
                <w:sz w:val="24"/>
                <w:szCs w:val="24"/>
                <w:u w:val="none" w:color="auto"/>
                <w:lang w:val="en-US" w:eastAsia="zh-CN"/>
              </w:rPr>
              <w:t>t/d，污水处理站产生废气情况见下表。</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bCs/>
                <w:color w:val="auto"/>
                <w:spacing w:val="-10"/>
                <w:sz w:val="24"/>
                <w:szCs w:val="24"/>
                <w:highlight w:val="none"/>
                <w:u w:val="none" w:color="auto"/>
              </w:rPr>
            </w:pPr>
            <w:r>
              <w:rPr>
                <w:rFonts w:hint="default" w:ascii="Times New Roman" w:hAnsi="Times New Roman" w:eastAsia="宋体" w:cs="Times New Roman"/>
                <w:bCs/>
                <w:color w:val="auto"/>
                <w:spacing w:val="-10"/>
                <w:sz w:val="24"/>
                <w:szCs w:val="24"/>
                <w:highlight w:val="none"/>
                <w:u w:val="none" w:color="auto"/>
              </w:rPr>
              <w:t>表4-1</w:t>
            </w:r>
            <w:r>
              <w:rPr>
                <w:rFonts w:hint="eastAsia" w:cs="Times New Roman"/>
                <w:bCs/>
                <w:color w:val="auto"/>
                <w:spacing w:val="-10"/>
                <w:sz w:val="24"/>
                <w:szCs w:val="24"/>
                <w:highlight w:val="none"/>
                <w:u w:val="none" w:color="auto"/>
                <w:lang w:val="en-US" w:eastAsia="zh-CN"/>
              </w:rPr>
              <w:t xml:space="preserve">  </w:t>
            </w:r>
            <w:r>
              <w:rPr>
                <w:rFonts w:hint="default" w:ascii="Times New Roman" w:hAnsi="Times New Roman" w:eastAsia="宋体" w:cs="Times New Roman"/>
                <w:bCs/>
                <w:color w:val="auto"/>
                <w:spacing w:val="-10"/>
                <w:sz w:val="24"/>
                <w:szCs w:val="24"/>
                <w:highlight w:val="none"/>
                <w:u w:val="none" w:color="auto"/>
              </w:rPr>
              <w:t>污水处理站废气产生情况一览表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18"/>
              <w:gridCol w:w="868"/>
              <w:gridCol w:w="868"/>
              <w:gridCol w:w="989"/>
              <w:gridCol w:w="990"/>
              <w:gridCol w:w="89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废水排放量（t/d）</w:t>
                  </w:r>
                </w:p>
              </w:tc>
              <w:tc>
                <w:tcPr>
                  <w:tcW w:w="2730"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BOD</w:t>
                  </w:r>
                  <w:r>
                    <w:rPr>
                      <w:rFonts w:hint="eastAsia" w:ascii="Times New Roman" w:hAnsi="Times New Roman" w:eastAsia="宋体" w:cs="Times New Roman"/>
                      <w:bCs/>
                      <w:color w:val="auto"/>
                      <w:spacing w:val="-10"/>
                      <w:sz w:val="22"/>
                      <w:szCs w:val="22"/>
                      <w:highlight w:val="none"/>
                      <w:u w:val="none" w:color="auto"/>
                      <w:vertAlign w:val="subscript"/>
                      <w:lang w:val="en-US" w:eastAsia="zh-CN"/>
                    </w:rPr>
                    <w:t>5</w:t>
                  </w:r>
                </w:p>
              </w:tc>
              <w:tc>
                <w:tcPr>
                  <w:tcW w:w="198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NH</w:t>
                  </w:r>
                  <w:r>
                    <w:rPr>
                      <w:rFonts w:hint="eastAsia" w:ascii="Times New Roman" w:hAnsi="Times New Roman" w:eastAsia="宋体" w:cs="Times New Roman"/>
                      <w:bCs/>
                      <w:color w:val="auto"/>
                      <w:spacing w:val="-10"/>
                      <w:sz w:val="22"/>
                      <w:szCs w:val="22"/>
                      <w:highlight w:val="none"/>
                      <w:u w:val="none" w:color="auto"/>
                      <w:vertAlign w:val="subscript"/>
                      <w:lang w:val="en-US" w:eastAsia="zh-CN"/>
                    </w:rPr>
                    <w:t>3</w:t>
                  </w:r>
                </w:p>
              </w:tc>
              <w:tc>
                <w:tcPr>
                  <w:tcW w:w="1989"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H</w:t>
                  </w:r>
                  <w:r>
                    <w:rPr>
                      <w:rFonts w:hint="eastAsia" w:ascii="Times New Roman" w:hAnsi="Times New Roman" w:eastAsia="宋体" w:cs="Times New Roman"/>
                      <w:bCs/>
                      <w:color w:val="auto"/>
                      <w:spacing w:val="-10"/>
                      <w:sz w:val="22"/>
                      <w:szCs w:val="22"/>
                      <w:highlight w:val="none"/>
                      <w:u w:val="none" w:color="auto"/>
                      <w:vertAlign w:val="subscript"/>
                      <w:lang w:val="en-US" w:eastAsia="zh-CN"/>
                    </w:rPr>
                    <w:t>2</w:t>
                  </w:r>
                  <w:r>
                    <w:rPr>
                      <w:rFonts w:hint="eastAsia" w:ascii="Times New Roman" w:hAnsi="Times New Roman" w:eastAsia="宋体" w:cs="Times New Roman"/>
                      <w:bCs/>
                      <w:color w:val="auto"/>
                      <w:spacing w:val="-10"/>
                      <w:sz w:val="22"/>
                      <w:szCs w:val="22"/>
                      <w:highlight w:val="none"/>
                      <w:u w:val="none" w:color="auto"/>
                      <w:vertAlign w:val="baseline"/>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rPr>
                  </w:pPr>
                </w:p>
              </w:tc>
              <w:tc>
                <w:tcPr>
                  <w:tcW w:w="10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产生量（g/d）</w:t>
                  </w:r>
                </w:p>
              </w:tc>
              <w:tc>
                <w:tcPr>
                  <w:tcW w:w="85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排放量（g/d）</w:t>
                  </w:r>
                </w:p>
              </w:tc>
              <w:tc>
                <w:tcPr>
                  <w:tcW w:w="85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处理量（g/d）</w:t>
                  </w:r>
                </w:p>
              </w:tc>
              <w:tc>
                <w:tcPr>
                  <w:tcW w:w="9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产生量（g/d）</w:t>
                  </w:r>
                </w:p>
              </w:tc>
              <w:tc>
                <w:tcPr>
                  <w:tcW w:w="9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排放速率（g/h）</w:t>
                  </w:r>
                </w:p>
              </w:tc>
              <w:tc>
                <w:tcPr>
                  <w:tcW w:w="89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产生量（g/d）</w:t>
                  </w:r>
                </w:p>
              </w:tc>
              <w:tc>
                <w:tcPr>
                  <w:tcW w:w="10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排放速率（g/h）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17.702</w:t>
                  </w:r>
                </w:p>
              </w:tc>
              <w:tc>
                <w:tcPr>
                  <w:tcW w:w="10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cs="Times New Roman"/>
                      <w:bCs/>
                      <w:color w:val="auto"/>
                      <w:spacing w:val="-10"/>
                      <w:sz w:val="22"/>
                      <w:szCs w:val="22"/>
                      <w:highlight w:val="none"/>
                      <w:u w:val="none" w:color="auto"/>
                      <w:vertAlign w:val="baseline"/>
                      <w:lang w:val="en-US" w:eastAsia="zh-CN"/>
                    </w:rPr>
                    <w:t>2301</w:t>
                  </w:r>
                </w:p>
              </w:tc>
              <w:tc>
                <w:tcPr>
                  <w:tcW w:w="85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cs="Times New Roman"/>
                      <w:bCs/>
                      <w:color w:val="auto"/>
                      <w:spacing w:val="-10"/>
                      <w:sz w:val="22"/>
                      <w:szCs w:val="22"/>
                      <w:highlight w:val="none"/>
                      <w:u w:val="none" w:color="auto"/>
                      <w:vertAlign w:val="baseline"/>
                      <w:lang w:val="en-US" w:eastAsia="zh-CN"/>
                    </w:rPr>
                    <w:t>1770</w:t>
                  </w:r>
                </w:p>
              </w:tc>
              <w:tc>
                <w:tcPr>
                  <w:tcW w:w="85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cs="Times New Roman"/>
                      <w:bCs/>
                      <w:color w:val="auto"/>
                      <w:spacing w:val="-10"/>
                      <w:sz w:val="22"/>
                      <w:szCs w:val="22"/>
                      <w:highlight w:val="none"/>
                      <w:u w:val="none" w:color="auto"/>
                      <w:vertAlign w:val="baseline"/>
                      <w:lang w:val="en-US" w:eastAsia="zh-CN"/>
                    </w:rPr>
                    <w:t>531</w:t>
                  </w:r>
                </w:p>
              </w:tc>
              <w:tc>
                <w:tcPr>
                  <w:tcW w:w="9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cs="Times New Roman"/>
                      <w:bCs/>
                      <w:color w:val="auto"/>
                      <w:spacing w:val="-10"/>
                      <w:sz w:val="22"/>
                      <w:szCs w:val="22"/>
                      <w:highlight w:val="none"/>
                      <w:u w:val="none" w:color="auto"/>
                      <w:vertAlign w:val="baseline"/>
                      <w:lang w:val="en-US" w:eastAsia="zh-CN"/>
                    </w:rPr>
                    <w:t>1.65</w:t>
                  </w:r>
                </w:p>
              </w:tc>
              <w:tc>
                <w:tcPr>
                  <w:tcW w:w="9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w:t>
                  </w:r>
                  <w:r>
                    <w:rPr>
                      <w:rFonts w:hint="eastAsia" w:cs="Times New Roman"/>
                      <w:bCs/>
                      <w:color w:val="auto"/>
                      <w:spacing w:val="-10"/>
                      <w:sz w:val="22"/>
                      <w:szCs w:val="22"/>
                      <w:highlight w:val="none"/>
                      <w:u w:val="none" w:color="auto"/>
                      <w:vertAlign w:val="baseline"/>
                      <w:lang w:val="en-US" w:eastAsia="zh-CN"/>
                    </w:rPr>
                    <w:t>069</w:t>
                  </w:r>
                </w:p>
              </w:tc>
              <w:tc>
                <w:tcPr>
                  <w:tcW w:w="89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w:t>
                  </w:r>
                  <w:r>
                    <w:rPr>
                      <w:rFonts w:hint="eastAsia" w:cs="Times New Roman"/>
                      <w:bCs/>
                      <w:color w:val="auto"/>
                      <w:spacing w:val="-10"/>
                      <w:sz w:val="22"/>
                      <w:szCs w:val="22"/>
                      <w:highlight w:val="none"/>
                      <w:u w:val="none" w:color="auto"/>
                      <w:vertAlign w:val="baseline"/>
                      <w:lang w:val="en-US" w:eastAsia="zh-CN"/>
                    </w:rPr>
                    <w:t>64</w:t>
                  </w:r>
                </w:p>
              </w:tc>
              <w:tc>
                <w:tcPr>
                  <w:tcW w:w="10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0.00</w:t>
                  </w:r>
                  <w:r>
                    <w:rPr>
                      <w:rFonts w:hint="eastAsia" w:cs="Times New Roman"/>
                      <w:bCs/>
                      <w:color w:val="auto"/>
                      <w:spacing w:val="-10"/>
                      <w:sz w:val="22"/>
                      <w:szCs w:val="22"/>
                      <w:highlight w:val="none"/>
                      <w:u w:val="none" w:color="auto"/>
                      <w:vertAlign w:val="baseline"/>
                      <w:lang w:val="en-US" w:eastAsia="zh-CN"/>
                    </w:rPr>
                    <w:t>3</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jc w:val="left"/>
              <w:textAlignment w:val="auto"/>
              <w:rPr>
                <w:rFonts w:hint="eastAsia"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rPr>
              <w:t>根据实地踏勘，目前卫生院</w:t>
            </w:r>
            <w:r>
              <w:rPr>
                <w:rFonts w:hint="eastAsia" w:ascii="Times New Roman" w:hAnsi="Times New Roman" w:eastAsia="宋体" w:cs="Times New Roman"/>
                <w:bCs/>
                <w:color w:val="auto"/>
                <w:spacing w:val="-10"/>
                <w:sz w:val="24"/>
                <w:szCs w:val="24"/>
                <w:lang w:val="en-US" w:eastAsia="zh-CN"/>
              </w:rPr>
              <w:t>现有</w:t>
            </w:r>
            <w:r>
              <w:rPr>
                <w:rFonts w:hint="default" w:ascii="Times New Roman" w:hAnsi="Times New Roman" w:eastAsia="宋体" w:cs="Times New Roman"/>
                <w:bCs/>
                <w:color w:val="auto"/>
                <w:spacing w:val="-10"/>
                <w:sz w:val="24"/>
                <w:szCs w:val="24"/>
              </w:rPr>
              <w:t>的</w:t>
            </w:r>
            <w:r>
              <w:rPr>
                <w:rFonts w:hint="eastAsia" w:ascii="Times New Roman" w:hAnsi="Times New Roman" w:eastAsia="宋体" w:cs="Times New Roman"/>
                <w:bCs/>
                <w:color w:val="auto"/>
                <w:spacing w:val="-10"/>
                <w:sz w:val="24"/>
                <w:szCs w:val="24"/>
                <w:lang w:val="en-US" w:eastAsia="zh-CN"/>
              </w:rPr>
              <w:t>地埋式污水处理系统</w:t>
            </w:r>
            <w:r>
              <w:rPr>
                <w:rFonts w:hint="default" w:ascii="Times New Roman" w:hAnsi="Times New Roman" w:eastAsia="宋体" w:cs="Times New Roman"/>
                <w:bCs/>
                <w:color w:val="auto"/>
                <w:spacing w:val="-10"/>
                <w:sz w:val="24"/>
                <w:szCs w:val="24"/>
              </w:rPr>
              <w:t>，由于项目废气量较小，臭气无组织排放，</w:t>
            </w:r>
            <w:r>
              <w:rPr>
                <w:rFonts w:hint="eastAsia" w:ascii="Times New Roman" w:hAnsi="Times New Roman" w:eastAsia="宋体" w:cs="Times New Roman"/>
                <w:bCs/>
                <w:color w:val="auto"/>
                <w:spacing w:val="-10"/>
                <w:sz w:val="24"/>
                <w:szCs w:val="24"/>
                <w:lang w:val="en-US" w:eastAsia="zh-CN"/>
              </w:rPr>
              <w:t>通过监测，污水处理系统臭气对环境影响不大。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lang w:val="en-US" w:eastAsia="zh-CN"/>
              </w:rPr>
            </w:pPr>
            <w:r>
              <w:rPr>
                <w:rFonts w:hint="eastAsia" w:cs="Times New Roman"/>
                <w:bCs/>
                <w:color w:val="auto"/>
                <w:spacing w:val="-10"/>
                <w:sz w:val="24"/>
                <w:szCs w:val="24"/>
                <w:u w:val="none" w:color="auto"/>
                <w:lang w:val="en-US" w:eastAsia="zh-CN"/>
              </w:rPr>
              <w:t>卫生院污泥压滤间每年约使用1-2次，使用后及时将污泥清运，对设备进行清洗，并投放除臭剂，可减少恶臭气体对周边环境的影响，对周边环境影响不大。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lang w:val="en-US" w:eastAsia="zh-CN"/>
              </w:rPr>
            </w:pPr>
            <w:r>
              <w:rPr>
                <w:rFonts w:hint="eastAsia" w:ascii="Times New Roman" w:hAnsi="Times New Roman" w:eastAsia="宋体" w:cs="Times New Roman"/>
                <w:bCs/>
                <w:color w:val="auto"/>
                <w:spacing w:val="-10"/>
                <w:sz w:val="24"/>
                <w:szCs w:val="24"/>
                <w:u w:val="none" w:color="auto"/>
                <w:lang w:val="en-US" w:eastAsia="zh-CN"/>
              </w:rPr>
              <w:t>② 食堂油烟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highlight w:val="yellow"/>
                <w:u w:val="none" w:color="auto"/>
              </w:rPr>
            </w:pPr>
            <w:r>
              <w:rPr>
                <w:rFonts w:hint="default" w:ascii="Times New Roman" w:hAnsi="Times New Roman" w:eastAsia="宋体" w:cs="Times New Roman"/>
                <w:bCs/>
                <w:color w:val="auto"/>
                <w:spacing w:val="-10"/>
                <w:sz w:val="24"/>
                <w:szCs w:val="24"/>
                <w:u w:val="none" w:color="auto"/>
              </w:rPr>
              <w:t>医院设有</w:t>
            </w:r>
            <w:r>
              <w:rPr>
                <w:rFonts w:hint="default" w:ascii="Times New Roman" w:hAnsi="Times New Roman" w:eastAsia="宋体" w:cs="Times New Roman"/>
                <w:color w:val="auto"/>
                <w:kern w:val="0"/>
                <w:sz w:val="24"/>
                <w:szCs w:val="24"/>
                <w:u w:val="none" w:color="auto"/>
              </w:rPr>
              <w:t>食堂</w:t>
            </w:r>
            <w:r>
              <w:rPr>
                <w:rFonts w:hint="default" w:ascii="Times New Roman" w:hAnsi="Times New Roman" w:eastAsia="宋体" w:cs="Times New Roman"/>
                <w:bCs/>
                <w:color w:val="auto"/>
                <w:spacing w:val="-10"/>
                <w:sz w:val="24"/>
                <w:szCs w:val="24"/>
                <w:u w:val="none" w:color="auto"/>
              </w:rPr>
              <w:t>，主要为医院职工提供餐饮服务，食堂炒菜使用液化气燃料，为清洁能源。食堂产生的废气主要是油烟废气，据统计，目前居民人均食用油用量约30g/人·d，一般油烟挥发量占总耗油量的2~4%，本项目以3%计，</w:t>
            </w:r>
            <w:r>
              <w:rPr>
                <w:rFonts w:hint="eastAsia" w:ascii="Times New Roman" w:hAnsi="Times New Roman" w:eastAsia="宋体" w:cs="Times New Roman"/>
                <w:bCs/>
                <w:color w:val="auto"/>
                <w:spacing w:val="-10"/>
                <w:sz w:val="24"/>
                <w:szCs w:val="24"/>
                <w:u w:val="none" w:color="auto"/>
                <w:lang w:val="en-US" w:eastAsia="zh-CN"/>
              </w:rPr>
              <w:t>本次评价理论计算按全部职工在医院内</w:t>
            </w:r>
            <w:r>
              <w:rPr>
                <w:rFonts w:hint="default" w:ascii="Times New Roman" w:hAnsi="Times New Roman" w:eastAsia="宋体" w:cs="Times New Roman"/>
                <w:bCs/>
                <w:color w:val="auto"/>
                <w:spacing w:val="-10"/>
                <w:sz w:val="24"/>
                <w:szCs w:val="24"/>
                <w:u w:val="none" w:color="auto"/>
              </w:rPr>
              <w:t>就餐</w:t>
            </w:r>
            <w:r>
              <w:rPr>
                <w:rFonts w:hint="eastAsia" w:ascii="Times New Roman" w:hAnsi="Times New Roman" w:eastAsia="宋体" w:cs="Times New Roman"/>
                <w:bCs/>
                <w:color w:val="auto"/>
                <w:spacing w:val="-10"/>
                <w:sz w:val="24"/>
                <w:szCs w:val="24"/>
                <w:u w:val="none" w:color="auto"/>
                <w:lang w:eastAsia="zh-CN"/>
              </w:rPr>
              <w:t>，</w:t>
            </w:r>
            <w:r>
              <w:rPr>
                <w:rFonts w:hint="eastAsia" w:ascii="Times New Roman" w:hAnsi="Times New Roman" w:eastAsia="宋体" w:cs="Times New Roman"/>
                <w:bCs/>
                <w:color w:val="auto"/>
                <w:spacing w:val="-10"/>
                <w:sz w:val="24"/>
                <w:szCs w:val="24"/>
                <w:u w:val="none" w:color="auto"/>
                <w:lang w:val="en-US" w:eastAsia="zh-CN"/>
              </w:rPr>
              <w:t>即就餐</w:t>
            </w:r>
            <w:r>
              <w:rPr>
                <w:rFonts w:hint="default" w:ascii="Times New Roman" w:hAnsi="Times New Roman" w:eastAsia="宋体" w:cs="Times New Roman"/>
                <w:bCs/>
                <w:color w:val="auto"/>
                <w:spacing w:val="-10"/>
                <w:sz w:val="24"/>
                <w:szCs w:val="24"/>
                <w:u w:val="none" w:color="auto"/>
              </w:rPr>
              <w:t>人数</w:t>
            </w:r>
            <w:r>
              <w:rPr>
                <w:rFonts w:hint="eastAsia" w:ascii="Times New Roman" w:hAnsi="Times New Roman" w:eastAsia="宋体" w:cs="Times New Roman"/>
                <w:bCs/>
                <w:color w:val="auto"/>
                <w:spacing w:val="-10"/>
                <w:sz w:val="24"/>
                <w:szCs w:val="24"/>
                <w:u w:val="none" w:color="auto"/>
                <w:lang w:val="en-US" w:eastAsia="zh-CN"/>
              </w:rPr>
              <w:t>为30</w:t>
            </w:r>
            <w:r>
              <w:rPr>
                <w:rFonts w:hint="default" w:ascii="Times New Roman" w:hAnsi="Times New Roman" w:eastAsia="宋体" w:cs="Times New Roman"/>
                <w:bCs/>
                <w:color w:val="auto"/>
                <w:spacing w:val="-10"/>
                <w:sz w:val="24"/>
                <w:szCs w:val="24"/>
                <w:u w:val="none" w:color="auto"/>
              </w:rPr>
              <w:t>人，则项目食堂油烟产生量为0.0</w:t>
            </w:r>
            <w:r>
              <w:rPr>
                <w:rFonts w:hint="eastAsia" w:ascii="Times New Roman" w:hAnsi="Times New Roman" w:eastAsia="宋体" w:cs="Times New Roman"/>
                <w:bCs/>
                <w:color w:val="auto"/>
                <w:spacing w:val="-10"/>
                <w:sz w:val="24"/>
                <w:szCs w:val="24"/>
                <w:u w:val="none" w:color="auto"/>
                <w:lang w:val="en-US" w:eastAsia="zh-CN"/>
              </w:rPr>
              <w:t>27</w:t>
            </w:r>
            <w:r>
              <w:rPr>
                <w:rFonts w:hint="default" w:ascii="Times New Roman" w:hAnsi="Times New Roman" w:eastAsia="宋体" w:cs="Times New Roman"/>
                <w:bCs/>
                <w:color w:val="auto"/>
                <w:spacing w:val="-10"/>
                <w:sz w:val="24"/>
                <w:szCs w:val="24"/>
                <w:u w:val="none" w:color="auto"/>
              </w:rPr>
              <w:t>kg/d；风量为</w:t>
            </w:r>
            <w:r>
              <w:rPr>
                <w:rFonts w:hint="eastAsia" w:ascii="Times New Roman" w:hAnsi="Times New Roman" w:eastAsia="宋体" w:cs="Times New Roman"/>
                <w:bCs/>
                <w:color w:val="auto"/>
                <w:spacing w:val="-10"/>
                <w:sz w:val="24"/>
                <w:szCs w:val="24"/>
                <w:u w:val="none" w:color="auto"/>
                <w:lang w:val="en-US" w:eastAsia="zh-CN"/>
              </w:rPr>
              <w:t>10</w:t>
            </w:r>
            <w:r>
              <w:rPr>
                <w:rFonts w:hint="default" w:ascii="Times New Roman" w:hAnsi="Times New Roman" w:eastAsia="宋体" w:cs="Times New Roman"/>
                <w:bCs/>
                <w:color w:val="auto"/>
                <w:spacing w:val="-10"/>
                <w:sz w:val="24"/>
                <w:szCs w:val="24"/>
                <w:u w:val="none" w:color="auto"/>
              </w:rPr>
              <w:t>00m</w:t>
            </w:r>
            <w:r>
              <w:rPr>
                <w:rFonts w:hint="default" w:ascii="Times New Roman" w:hAnsi="Times New Roman" w:eastAsia="宋体" w:cs="Times New Roman"/>
                <w:bCs/>
                <w:color w:val="auto"/>
                <w:spacing w:val="-10"/>
                <w:sz w:val="24"/>
                <w:szCs w:val="24"/>
                <w:u w:val="none" w:color="auto"/>
                <w:vertAlign w:val="superscript"/>
              </w:rPr>
              <w:t>3</w:t>
            </w:r>
            <w:r>
              <w:rPr>
                <w:rFonts w:hint="default" w:ascii="Times New Roman" w:hAnsi="Times New Roman" w:eastAsia="宋体" w:cs="Times New Roman"/>
                <w:bCs/>
                <w:color w:val="auto"/>
                <w:spacing w:val="-10"/>
                <w:sz w:val="24"/>
                <w:szCs w:val="24"/>
                <w:u w:val="none" w:color="auto"/>
              </w:rPr>
              <w:t>/h，本项目食堂油烟产生浓度为</w:t>
            </w:r>
            <w:r>
              <w:rPr>
                <w:rFonts w:hint="eastAsia" w:ascii="Times New Roman" w:hAnsi="Times New Roman" w:eastAsia="宋体" w:cs="Times New Roman"/>
                <w:bCs/>
                <w:color w:val="auto"/>
                <w:spacing w:val="-10"/>
                <w:sz w:val="24"/>
                <w:szCs w:val="24"/>
                <w:u w:val="none" w:color="auto"/>
                <w:lang w:val="en-US" w:eastAsia="zh-CN"/>
              </w:rPr>
              <w:t>58.5</w:t>
            </w:r>
            <w:r>
              <w:rPr>
                <w:rFonts w:hint="default" w:ascii="Times New Roman" w:hAnsi="Times New Roman" w:eastAsia="宋体" w:cs="Times New Roman"/>
                <w:bCs/>
                <w:color w:val="auto"/>
                <w:spacing w:val="-10"/>
                <w:sz w:val="24"/>
                <w:szCs w:val="24"/>
                <w:u w:val="none" w:color="auto"/>
              </w:rPr>
              <w:t>mg/m</w:t>
            </w:r>
            <w:r>
              <w:rPr>
                <w:rFonts w:hint="default" w:ascii="Times New Roman" w:hAnsi="Times New Roman" w:eastAsia="宋体" w:cs="Times New Roman"/>
                <w:bCs/>
                <w:color w:val="auto"/>
                <w:spacing w:val="-10"/>
                <w:sz w:val="24"/>
                <w:szCs w:val="24"/>
                <w:u w:val="none" w:color="auto"/>
                <w:vertAlign w:val="superscript"/>
              </w:rPr>
              <w:t>3</w:t>
            </w:r>
            <w:r>
              <w:rPr>
                <w:rFonts w:hint="default" w:ascii="Times New Roman" w:hAnsi="Times New Roman" w:eastAsia="宋体" w:cs="Times New Roman"/>
                <w:bCs/>
                <w:color w:val="auto"/>
                <w:spacing w:val="-10"/>
                <w:sz w:val="24"/>
                <w:szCs w:val="24"/>
                <w:u w:val="none" w:color="auto"/>
              </w:rPr>
              <w:t>。本项目食堂油烟经油烟净化器处理后引至屋外排放（处理效率按</w:t>
            </w:r>
            <w:r>
              <w:rPr>
                <w:rFonts w:hint="eastAsia" w:ascii="Times New Roman" w:hAnsi="Times New Roman" w:eastAsia="宋体" w:cs="Times New Roman"/>
                <w:bCs/>
                <w:color w:val="auto"/>
                <w:spacing w:val="-10"/>
                <w:sz w:val="24"/>
                <w:szCs w:val="24"/>
                <w:u w:val="none" w:color="auto"/>
                <w:lang w:val="en-US" w:eastAsia="zh-CN"/>
              </w:rPr>
              <w:t>98</w:t>
            </w:r>
            <w:r>
              <w:rPr>
                <w:rFonts w:hint="default" w:ascii="Times New Roman" w:hAnsi="Times New Roman" w:eastAsia="宋体" w:cs="Times New Roman"/>
                <w:bCs/>
                <w:color w:val="auto"/>
                <w:spacing w:val="-10"/>
                <w:sz w:val="24"/>
                <w:szCs w:val="24"/>
                <w:u w:val="none" w:color="auto"/>
              </w:rPr>
              <w:t>%计），经处理后废气中油烟排放量为0.0</w:t>
            </w:r>
            <w:r>
              <w:rPr>
                <w:rFonts w:hint="eastAsia" w:ascii="Times New Roman" w:hAnsi="Times New Roman" w:eastAsia="宋体" w:cs="Times New Roman"/>
                <w:bCs/>
                <w:color w:val="auto"/>
                <w:spacing w:val="-10"/>
                <w:sz w:val="24"/>
                <w:szCs w:val="24"/>
                <w:u w:val="none" w:color="auto"/>
                <w:lang w:val="en-US" w:eastAsia="zh-CN"/>
              </w:rPr>
              <w:t>012</w:t>
            </w:r>
            <w:r>
              <w:rPr>
                <w:rFonts w:hint="default" w:ascii="Times New Roman" w:hAnsi="Times New Roman" w:eastAsia="宋体" w:cs="Times New Roman"/>
                <w:bCs/>
                <w:color w:val="auto"/>
                <w:spacing w:val="-10"/>
                <w:sz w:val="24"/>
                <w:szCs w:val="24"/>
                <w:u w:val="none" w:color="auto"/>
              </w:rPr>
              <w:t>kg/d，排放浓度为</w:t>
            </w:r>
            <w:r>
              <w:rPr>
                <w:rFonts w:hint="eastAsia" w:ascii="Times New Roman" w:hAnsi="Times New Roman" w:eastAsia="宋体" w:cs="Times New Roman"/>
                <w:bCs/>
                <w:color w:val="auto"/>
                <w:spacing w:val="-10"/>
                <w:sz w:val="24"/>
                <w:szCs w:val="24"/>
                <w:u w:val="none" w:color="auto"/>
                <w:lang w:val="en-US" w:eastAsia="zh-CN"/>
              </w:rPr>
              <w:t>1.17</w:t>
            </w:r>
            <w:r>
              <w:rPr>
                <w:rFonts w:hint="default" w:ascii="Times New Roman" w:hAnsi="Times New Roman" w:eastAsia="宋体" w:cs="Times New Roman"/>
                <w:bCs/>
                <w:color w:val="auto"/>
                <w:spacing w:val="-10"/>
                <w:sz w:val="24"/>
                <w:szCs w:val="24"/>
                <w:u w:val="none" w:color="auto"/>
              </w:rPr>
              <w:t>mg/m</w:t>
            </w:r>
            <w:r>
              <w:rPr>
                <w:rFonts w:hint="default" w:ascii="Times New Roman" w:hAnsi="Times New Roman" w:eastAsia="宋体" w:cs="Times New Roman"/>
                <w:bCs/>
                <w:color w:val="auto"/>
                <w:spacing w:val="-10"/>
                <w:sz w:val="24"/>
                <w:szCs w:val="24"/>
                <w:u w:val="none" w:color="auto"/>
                <w:vertAlign w:val="superscript"/>
              </w:rPr>
              <w:t>3</w:t>
            </w:r>
            <w:r>
              <w:rPr>
                <w:rFonts w:hint="eastAsia" w:ascii="Times New Roman" w:hAnsi="Times New Roman" w:eastAsia="宋体" w:cs="Times New Roman"/>
                <w:bCs/>
                <w:color w:val="auto"/>
                <w:spacing w:val="-10"/>
                <w:sz w:val="24"/>
                <w:szCs w:val="24"/>
                <w:u w:val="none" w:color="auto"/>
                <w:vertAlign w:val="baseline"/>
                <w:lang w:eastAsia="zh-CN"/>
              </w:rPr>
              <w:t>，</w:t>
            </w:r>
            <w:r>
              <w:rPr>
                <w:rFonts w:hint="eastAsia" w:ascii="Times New Roman" w:hAnsi="Times New Roman" w:eastAsia="宋体" w:cs="Times New Roman"/>
                <w:bCs/>
                <w:color w:val="auto"/>
                <w:spacing w:val="-10"/>
                <w:sz w:val="24"/>
                <w:szCs w:val="24"/>
                <w:u w:val="none" w:color="auto"/>
                <w:vertAlign w:val="baseline"/>
                <w:lang w:val="en-US" w:eastAsia="zh-CN"/>
              </w:rPr>
              <w:t>排放浓度</w:t>
            </w:r>
            <w:r>
              <w:rPr>
                <w:rFonts w:hint="eastAsia" w:ascii="Times New Roman" w:hAnsi="Times New Roman" w:eastAsia="宋体" w:cs="Times New Roman"/>
                <w:bCs/>
                <w:color w:val="auto"/>
                <w:spacing w:val="-10"/>
                <w:sz w:val="24"/>
                <w:szCs w:val="24"/>
                <w:u w:val="none" w:color="auto"/>
                <w:lang w:val="en-US" w:eastAsia="zh-CN"/>
              </w:rPr>
              <w:t>小于《饮食业油烟排放标准（试行）》（GB18483-2001）中2.0mg/m</w:t>
            </w:r>
            <w:r>
              <w:rPr>
                <w:rFonts w:hint="eastAsia" w:ascii="Times New Roman" w:hAnsi="Times New Roman" w:eastAsia="宋体" w:cs="Times New Roman"/>
                <w:bCs/>
                <w:color w:val="auto"/>
                <w:spacing w:val="-10"/>
                <w:sz w:val="24"/>
                <w:szCs w:val="24"/>
                <w:u w:val="none" w:color="auto"/>
                <w:vertAlign w:val="superscript"/>
                <w:lang w:val="en-US" w:eastAsia="zh-CN"/>
              </w:rPr>
              <w:t>3</w:t>
            </w:r>
            <w:r>
              <w:rPr>
                <w:rFonts w:hint="eastAsia" w:ascii="Times New Roman" w:hAnsi="Times New Roman" w:eastAsia="宋体" w:cs="Times New Roman"/>
                <w:bCs/>
                <w:color w:val="auto"/>
                <w:spacing w:val="-10"/>
                <w:sz w:val="24"/>
                <w:szCs w:val="24"/>
                <w:u w:val="none" w:color="auto"/>
                <w:lang w:val="en-US" w:eastAsia="zh-CN"/>
              </w:rPr>
              <w:t>的限值要求。</w:t>
            </w:r>
            <w:r>
              <w:rPr>
                <w:rFonts w:hint="default" w:ascii="Times New Roman" w:hAnsi="Times New Roman" w:eastAsia="宋体" w:cs="Times New Roman"/>
                <w:bCs/>
                <w:color w:val="auto"/>
                <w:spacing w:val="-10"/>
                <w:sz w:val="24"/>
                <w:szCs w:val="24"/>
                <w:u w:val="none" w:color="auto"/>
              </w:rPr>
              <w:t>因此，食堂油烟废气对外</w:t>
            </w:r>
            <w:r>
              <w:rPr>
                <w:rFonts w:hint="default" w:ascii="Times New Roman" w:hAnsi="Times New Roman" w:eastAsia="宋体" w:cs="Times New Roman"/>
                <w:bCs/>
                <w:color w:val="auto"/>
                <w:spacing w:val="-10"/>
                <w:sz w:val="24"/>
                <w:szCs w:val="24"/>
                <w:highlight w:val="none"/>
                <w:u w:val="none" w:color="auto"/>
              </w:rPr>
              <w:t>界影响较小。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left"/>
              <w:textAlignment w:val="auto"/>
              <w:rPr>
                <w:rFonts w:hint="default" w:ascii="Times New Roman" w:hAnsi="Times New Roman" w:eastAsia="宋体" w:cs="Times New Roman"/>
                <w:b/>
                <w:bCs/>
                <w:color w:val="auto"/>
                <w:kern w:val="0"/>
                <w:sz w:val="24"/>
                <w:szCs w:val="24"/>
                <w:highlight w:val="none"/>
                <w:u w:val="none" w:color="auto"/>
                <w:lang w:val="en-US" w:eastAsia="zh-CN"/>
              </w:rPr>
            </w:pPr>
            <w:r>
              <w:rPr>
                <w:rFonts w:hint="eastAsia" w:ascii="Times New Roman" w:hAnsi="Times New Roman" w:eastAsia="宋体" w:cs="Times New Roman"/>
                <w:b/>
                <w:bCs/>
                <w:color w:val="auto"/>
                <w:kern w:val="0"/>
                <w:sz w:val="24"/>
                <w:szCs w:val="24"/>
                <w:highlight w:val="none"/>
                <w:u w:val="none" w:color="auto"/>
                <w:lang w:eastAsia="zh-CN"/>
              </w:rPr>
              <w:t>（</w:t>
            </w:r>
            <w:r>
              <w:rPr>
                <w:rFonts w:hint="eastAsia" w:ascii="Times New Roman" w:hAnsi="Times New Roman" w:eastAsia="宋体" w:cs="Times New Roman"/>
                <w:b/>
                <w:bCs/>
                <w:color w:val="auto"/>
                <w:kern w:val="0"/>
                <w:sz w:val="24"/>
                <w:szCs w:val="24"/>
                <w:highlight w:val="none"/>
                <w:u w:val="none" w:color="auto"/>
                <w:lang w:val="en-US" w:eastAsia="zh-CN"/>
              </w:rPr>
              <w:t>2</w:t>
            </w:r>
            <w:r>
              <w:rPr>
                <w:rFonts w:hint="eastAsia" w:ascii="Times New Roman" w:hAnsi="Times New Roman" w:eastAsia="宋体" w:cs="Times New Roman"/>
                <w:b/>
                <w:bCs/>
                <w:color w:val="auto"/>
                <w:kern w:val="0"/>
                <w:sz w:val="24"/>
                <w:szCs w:val="24"/>
                <w:highlight w:val="none"/>
                <w:u w:val="none" w:color="auto"/>
                <w:lang w:eastAsia="zh-CN"/>
              </w:rPr>
              <w:t>）</w:t>
            </w:r>
            <w:r>
              <w:rPr>
                <w:rFonts w:hint="eastAsia" w:ascii="Times New Roman" w:hAnsi="Times New Roman" w:eastAsia="宋体" w:cs="Times New Roman"/>
                <w:b/>
                <w:bCs/>
                <w:color w:val="auto"/>
                <w:kern w:val="0"/>
                <w:sz w:val="24"/>
                <w:szCs w:val="24"/>
                <w:highlight w:val="none"/>
                <w:u w:val="none" w:color="auto"/>
                <w:lang w:val="en-US" w:eastAsia="zh-CN"/>
              </w:rPr>
              <w:t>厂界废气监测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20" w:firstLineChars="100"/>
              <w:jc w:val="left"/>
              <w:textAlignment w:val="auto"/>
              <w:rPr>
                <w:rFonts w:hint="default" w:ascii="Times New Roman" w:hAnsi="Times New Roman" w:eastAsia="宋体" w:cs="Times New Roman"/>
                <w:bCs/>
                <w:color w:val="auto"/>
                <w:spacing w:val="-10"/>
                <w:sz w:val="24"/>
                <w:szCs w:val="24"/>
                <w:highlight w:val="none"/>
                <w:u w:val="none" w:color="auto"/>
                <w:lang w:val="en-US" w:eastAsia="zh-CN"/>
              </w:rPr>
            </w:pPr>
            <w:r>
              <w:rPr>
                <w:rFonts w:hint="eastAsia" w:ascii="Times New Roman" w:hAnsi="Times New Roman" w:eastAsia="宋体" w:cs="Times New Roman"/>
                <w:bCs/>
                <w:color w:val="auto"/>
                <w:spacing w:val="-10"/>
                <w:sz w:val="24"/>
                <w:szCs w:val="24"/>
                <w:highlight w:val="none"/>
                <w:u w:val="none" w:color="auto"/>
                <w:lang w:val="en-US" w:eastAsia="zh-CN"/>
              </w:rPr>
              <w:t>本次评价于评审会后对厂界废气进行了监测，验证卫生院在运营过程中是否达标排放。监测结果见下表。</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bCs/>
                <w:color w:val="auto"/>
                <w:spacing w:val="-10"/>
                <w:sz w:val="24"/>
                <w:szCs w:val="24"/>
                <w:highlight w:val="none"/>
                <w:u w:val="none" w:color="auto"/>
                <w:lang w:val="en-US" w:eastAsia="zh-CN"/>
              </w:rPr>
            </w:pPr>
            <w:r>
              <w:rPr>
                <w:rFonts w:hint="default" w:ascii="Times New Roman" w:hAnsi="Times New Roman" w:eastAsia="宋体" w:cs="Times New Roman"/>
                <w:bCs/>
                <w:color w:val="auto"/>
                <w:spacing w:val="-10"/>
                <w:sz w:val="24"/>
                <w:szCs w:val="24"/>
                <w:highlight w:val="none"/>
                <w:u w:val="none" w:color="auto"/>
              </w:rPr>
              <w:t>表4-</w:t>
            </w:r>
            <w:r>
              <w:rPr>
                <w:rFonts w:hint="eastAsia" w:ascii="Times New Roman" w:hAnsi="Times New Roman" w:eastAsia="宋体" w:cs="Times New Roman"/>
                <w:bCs/>
                <w:color w:val="auto"/>
                <w:spacing w:val="-10"/>
                <w:sz w:val="24"/>
                <w:szCs w:val="24"/>
                <w:highlight w:val="none"/>
                <w:u w:val="none" w:color="auto"/>
                <w:lang w:val="en-US" w:eastAsia="zh-CN"/>
              </w:rPr>
              <w:t>2无组织废气监测结果</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392"/>
              <w:gridCol w:w="1244"/>
              <w:gridCol w:w="1851"/>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监测位置</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频次</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臭气浓度（无量纲）</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NH</w:t>
                  </w:r>
                  <w:r>
                    <w:rPr>
                      <w:rFonts w:hint="eastAsia" w:ascii="Times New Roman" w:hAnsi="Times New Roman" w:eastAsia="宋体" w:cs="Times New Roman"/>
                      <w:bCs/>
                      <w:color w:val="auto"/>
                      <w:spacing w:val="-10"/>
                      <w:sz w:val="22"/>
                      <w:szCs w:val="22"/>
                      <w:highlight w:val="none"/>
                      <w:u w:val="none" w:color="auto"/>
                      <w:vertAlign w:val="subscript"/>
                      <w:lang w:val="en-US" w:eastAsia="zh-CN"/>
                    </w:rPr>
                    <w:t>3</w:t>
                  </w:r>
                  <w:r>
                    <w:rPr>
                      <w:rFonts w:hint="eastAsia" w:ascii="Times New Roman" w:hAnsi="Times New Roman" w:eastAsia="宋体" w:cs="Times New Roman"/>
                      <w:bCs/>
                      <w:color w:val="auto"/>
                      <w:spacing w:val="-10"/>
                      <w:sz w:val="22"/>
                      <w:szCs w:val="22"/>
                      <w:highlight w:val="none"/>
                      <w:u w:val="none" w:color="auto"/>
                      <w:vertAlign w:val="baseline"/>
                      <w:lang w:val="en-US" w:eastAsia="zh-CN"/>
                    </w:rPr>
                    <w:t>(mg/m</w:t>
                  </w:r>
                  <w:r>
                    <w:rPr>
                      <w:rFonts w:hint="eastAsia" w:ascii="Times New Roman" w:hAnsi="Times New Roman" w:eastAsia="宋体" w:cs="Times New Roman"/>
                      <w:bCs/>
                      <w:color w:val="auto"/>
                      <w:spacing w:val="-10"/>
                      <w:sz w:val="22"/>
                      <w:szCs w:val="22"/>
                      <w:highlight w:val="none"/>
                      <w:u w:val="none" w:color="auto"/>
                      <w:vertAlign w:val="superscript"/>
                      <w:lang w:val="en-US" w:eastAsia="zh-CN"/>
                    </w:rPr>
                    <w:t>3</w:t>
                  </w:r>
                  <w:r>
                    <w:rPr>
                      <w:rFonts w:hint="eastAsia" w:ascii="Times New Roman" w:hAnsi="Times New Roman" w:eastAsia="宋体" w:cs="Times New Roman"/>
                      <w:bCs/>
                      <w:color w:val="auto"/>
                      <w:spacing w:val="-10"/>
                      <w:sz w:val="22"/>
                      <w:szCs w:val="22"/>
                      <w:highlight w:val="none"/>
                      <w:u w:val="none" w:color="auto"/>
                      <w:vertAlign w:val="baseline"/>
                      <w:lang w:val="en-US" w:eastAsia="zh-CN"/>
                    </w:rPr>
                    <w:t>)</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H</w:t>
                  </w:r>
                  <w:r>
                    <w:rPr>
                      <w:rFonts w:hint="eastAsia" w:ascii="Times New Roman" w:hAnsi="Times New Roman" w:eastAsia="宋体" w:cs="Times New Roman"/>
                      <w:bCs/>
                      <w:color w:val="auto"/>
                      <w:spacing w:val="-10"/>
                      <w:sz w:val="22"/>
                      <w:szCs w:val="22"/>
                      <w:highlight w:val="none"/>
                      <w:u w:val="none" w:color="auto"/>
                      <w:vertAlign w:val="subscript"/>
                      <w:lang w:val="en-US" w:eastAsia="zh-CN"/>
                    </w:rPr>
                    <w:t>2</w:t>
                  </w:r>
                  <w:r>
                    <w:rPr>
                      <w:rFonts w:hint="eastAsia" w:ascii="Times New Roman" w:hAnsi="Times New Roman" w:eastAsia="宋体" w:cs="Times New Roman"/>
                      <w:bCs/>
                      <w:color w:val="auto"/>
                      <w:spacing w:val="-10"/>
                      <w:sz w:val="22"/>
                      <w:szCs w:val="22"/>
                      <w:highlight w:val="none"/>
                      <w:u w:val="none" w:color="auto"/>
                      <w:vertAlign w:val="baseline"/>
                      <w:lang w:val="en-US" w:eastAsia="zh-CN"/>
                    </w:rPr>
                    <w:t>S(mg/m</w:t>
                  </w:r>
                  <w:r>
                    <w:rPr>
                      <w:rFonts w:hint="eastAsia" w:ascii="Times New Roman" w:hAnsi="Times New Roman" w:eastAsia="宋体" w:cs="Times New Roman"/>
                      <w:bCs/>
                      <w:color w:val="auto"/>
                      <w:spacing w:val="-10"/>
                      <w:sz w:val="22"/>
                      <w:szCs w:val="22"/>
                      <w:highlight w:val="none"/>
                      <w:u w:val="none" w:color="auto"/>
                      <w:vertAlign w:val="superscript"/>
                      <w:lang w:val="en-US" w:eastAsia="zh-CN"/>
                    </w:rPr>
                    <w:t>3</w:t>
                  </w:r>
                  <w:r>
                    <w:rPr>
                      <w:rFonts w:hint="eastAsia" w:ascii="Times New Roman" w:hAnsi="Times New Roman" w:eastAsia="宋体" w:cs="Times New Roman"/>
                      <w:bCs/>
                      <w:color w:val="auto"/>
                      <w:spacing w:val="-10"/>
                      <w:sz w:val="22"/>
                      <w:szCs w:val="22"/>
                      <w:highlight w:val="none"/>
                      <w:u w:val="non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上风向厂界东南侧5.5m处</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1</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0.028</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2</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0.033</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3</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0.033</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4</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0.026</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下风向厂界西北侧6.5m处</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1</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0.039</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2</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0.041</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3</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0.042</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4</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0.040</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下风向厂界西北侧6.5m处</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1</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0.039</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2</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0.041</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3</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0.042</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sz w:val="22"/>
                      <w:szCs w:val="22"/>
                      <w:highlight w:val="none"/>
                      <w:u w:val="none" w:color="auto"/>
                      <w:vertAlign w:val="baseline"/>
                      <w:lang w:val="en-US" w:eastAsia="zh-CN"/>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4</w:t>
                  </w:r>
                </w:p>
              </w:tc>
              <w:tc>
                <w:tcPr>
                  <w:tcW w:w="78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10</w:t>
                  </w:r>
                </w:p>
              </w:tc>
              <w:tc>
                <w:tcPr>
                  <w:tcW w:w="11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2"/>
                      <w:szCs w:val="22"/>
                      <w:highlight w:val="none"/>
                      <w:u w:val="none" w:color="auto"/>
                      <w:vertAlign w:val="baseline"/>
                      <w:lang w:val="en-US" w:eastAsia="zh-CN"/>
                    </w:rPr>
                  </w:pPr>
                  <w:r>
                    <w:rPr>
                      <w:rFonts w:hint="eastAsia" w:ascii="Times New Roman" w:hAnsi="Times New Roman" w:eastAsia="宋体" w:cs="Times New Roman"/>
                      <w:bCs/>
                      <w:color w:val="auto"/>
                      <w:spacing w:val="-10"/>
                      <w:sz w:val="22"/>
                      <w:szCs w:val="22"/>
                      <w:highlight w:val="none"/>
                      <w:u w:val="none" w:color="auto"/>
                      <w:vertAlign w:val="baseline"/>
                      <w:lang w:val="en-US" w:eastAsia="zh-CN"/>
                    </w:rPr>
                    <w:t>0.043</w:t>
                  </w:r>
                </w:p>
              </w:tc>
              <w:tc>
                <w:tcPr>
                  <w:tcW w:w="11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2"/>
                      <w:szCs w:val="22"/>
                      <w:highlight w:val="none"/>
                      <w:u w:val="none" w:color="auto"/>
                      <w:vertAlign w:val="baseline"/>
                      <w:lang w:val="en-US" w:eastAsia="zh-CN" w:bidi="ar-SA"/>
                    </w:rPr>
                  </w:pPr>
                  <w:r>
                    <w:rPr>
                      <w:rFonts w:hint="default" w:ascii="Times New Roman" w:hAnsi="Times New Roman" w:eastAsia="宋体" w:cs="Times New Roman"/>
                      <w:bCs/>
                      <w:color w:val="auto"/>
                      <w:spacing w:val="-10"/>
                      <w:sz w:val="22"/>
                      <w:szCs w:val="22"/>
                      <w:highlight w:val="none"/>
                      <w:u w:val="none" w:color="auto"/>
                      <w:vertAlign w:val="baseline"/>
                      <w:lang w:val="en-US" w:eastAsia="zh-CN"/>
                    </w:rPr>
                    <w:t>＜</w:t>
                  </w:r>
                  <w:r>
                    <w:rPr>
                      <w:rFonts w:hint="eastAsia" w:ascii="Times New Roman" w:hAnsi="Times New Roman" w:eastAsia="宋体" w:cs="Times New Roman"/>
                      <w:bCs/>
                      <w:color w:val="auto"/>
                      <w:spacing w:val="-10"/>
                      <w:sz w:val="22"/>
                      <w:szCs w:val="22"/>
                      <w:highlight w:val="none"/>
                      <w:u w:val="none" w:color="auto"/>
                      <w:vertAlign w:val="baseline"/>
                      <w:lang w:val="en-US" w:eastAsia="zh-CN"/>
                    </w:rPr>
                    <w:t>0.001</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rPr>
            </w:pPr>
            <w:r>
              <w:rPr>
                <w:rFonts w:hint="eastAsia" w:ascii="Times New Roman" w:hAnsi="Times New Roman" w:eastAsia="宋体" w:cs="Times New Roman"/>
                <w:bCs/>
                <w:color w:val="auto"/>
                <w:spacing w:val="-10"/>
                <w:sz w:val="24"/>
                <w:szCs w:val="24"/>
                <w:highlight w:val="none"/>
                <w:u w:val="none" w:color="auto"/>
                <w:lang w:val="en-US" w:eastAsia="zh-CN"/>
              </w:rPr>
              <w:t>上述监测结果表明，本项目厂界臭气浓度、NH</w:t>
            </w:r>
            <w:r>
              <w:rPr>
                <w:rFonts w:hint="eastAsia" w:ascii="Times New Roman" w:hAnsi="Times New Roman" w:eastAsia="宋体" w:cs="Times New Roman"/>
                <w:bCs/>
                <w:color w:val="auto"/>
                <w:spacing w:val="-10"/>
                <w:sz w:val="24"/>
                <w:szCs w:val="24"/>
                <w:highlight w:val="none"/>
                <w:u w:val="none" w:color="auto"/>
                <w:vertAlign w:val="subscript"/>
                <w:lang w:val="en-US" w:eastAsia="zh-CN"/>
              </w:rPr>
              <w:t>3</w:t>
            </w:r>
            <w:r>
              <w:rPr>
                <w:rFonts w:hint="eastAsia" w:ascii="Times New Roman" w:hAnsi="Times New Roman" w:eastAsia="宋体" w:cs="Times New Roman"/>
                <w:bCs/>
                <w:color w:val="auto"/>
                <w:spacing w:val="-10"/>
                <w:sz w:val="24"/>
                <w:szCs w:val="24"/>
                <w:highlight w:val="none"/>
                <w:u w:val="none" w:color="auto"/>
                <w:lang w:val="en-US" w:eastAsia="zh-CN"/>
              </w:rPr>
              <w:t>、H</w:t>
            </w:r>
            <w:r>
              <w:rPr>
                <w:rFonts w:hint="eastAsia" w:ascii="Times New Roman" w:hAnsi="Times New Roman" w:eastAsia="宋体" w:cs="Times New Roman"/>
                <w:bCs/>
                <w:color w:val="auto"/>
                <w:spacing w:val="-10"/>
                <w:sz w:val="24"/>
                <w:szCs w:val="24"/>
                <w:highlight w:val="none"/>
                <w:u w:val="none" w:color="auto"/>
                <w:vertAlign w:val="subscript"/>
                <w:lang w:val="en-US" w:eastAsia="zh-CN"/>
              </w:rPr>
              <w:t>2</w:t>
            </w:r>
            <w:r>
              <w:rPr>
                <w:rFonts w:hint="eastAsia" w:ascii="Times New Roman" w:hAnsi="Times New Roman" w:eastAsia="宋体" w:cs="Times New Roman"/>
                <w:bCs/>
                <w:color w:val="auto"/>
                <w:spacing w:val="-10"/>
                <w:sz w:val="24"/>
                <w:szCs w:val="24"/>
                <w:highlight w:val="none"/>
                <w:u w:val="none" w:color="auto"/>
                <w:lang w:val="en-US" w:eastAsia="zh-CN"/>
              </w:rPr>
              <w:t>S监测浓度低于《医疗机构水污染物排放标准》（GB18466-2005）表3中的限值，项目废气对周边环境影响较小。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left"/>
              <w:textAlignment w:val="auto"/>
              <w:rPr>
                <w:rFonts w:hint="eastAsia" w:ascii="Times New Roman" w:hAnsi="Times New Roman" w:eastAsia="宋体" w:cs="Times New Roman"/>
                <w:b/>
                <w:bCs/>
                <w:color w:val="auto"/>
                <w:kern w:val="0"/>
                <w:sz w:val="24"/>
                <w:szCs w:val="24"/>
                <w:u w:val="none" w:color="auto"/>
                <w:lang w:val="en-US" w:eastAsia="zh-CN"/>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3</w:t>
            </w: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措施可行性及影响分析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Times New Roman" w:hAnsi="Times New Roman" w:eastAsia="宋体" w:cs="Times New Roman"/>
                <w:bCs/>
                <w:color w:val="auto"/>
                <w:spacing w:val="-10"/>
                <w:sz w:val="24"/>
                <w:szCs w:val="24"/>
                <w:u w:val="none" w:color="auto"/>
                <w:lang w:val="en-US" w:eastAsia="zh-CN"/>
              </w:rPr>
            </w:pPr>
            <w:r>
              <w:rPr>
                <w:rFonts w:hint="eastAsia" w:ascii="Times New Roman" w:hAnsi="Times New Roman" w:eastAsia="宋体" w:cs="Times New Roman"/>
                <w:bCs/>
                <w:color w:val="auto"/>
                <w:spacing w:val="-10"/>
                <w:sz w:val="24"/>
                <w:szCs w:val="24"/>
                <w:highlight w:val="none"/>
                <w:u w:val="none" w:color="auto"/>
                <w:lang w:val="en-US" w:eastAsia="zh-CN"/>
              </w:rPr>
              <w:t>本项目废气污染物主要是污水处理站废气、食堂油烟等，通过采取密闭、油烟净化器等措施加以控制，为了进一步降低臭气对周边大气环境的影响，对污水处理站、污泥压滤机、医疗废物暂存间等位置投放除臭剂。通过上述措施</w:t>
            </w:r>
            <w:r>
              <w:rPr>
                <w:rFonts w:hint="eastAsia" w:ascii="Times New Roman" w:hAnsi="Times New Roman" w:eastAsia="宋体" w:cs="Times New Roman"/>
                <w:bCs/>
                <w:color w:val="auto"/>
                <w:spacing w:val="-10"/>
                <w:sz w:val="24"/>
                <w:szCs w:val="24"/>
                <w:u w:val="none" w:color="auto"/>
                <w:lang w:val="en-US" w:eastAsia="zh-CN"/>
              </w:rPr>
              <w:t>，</w:t>
            </w:r>
            <w:r>
              <w:rPr>
                <w:rFonts w:hint="eastAsia" w:cs="Times New Roman"/>
                <w:bCs/>
                <w:color w:val="auto"/>
                <w:spacing w:val="-10"/>
                <w:sz w:val="24"/>
                <w:szCs w:val="24"/>
                <w:u w:val="none" w:color="auto"/>
                <w:lang w:val="en-US" w:eastAsia="zh-CN"/>
              </w:rPr>
              <w:t>本项目废气</w:t>
            </w:r>
            <w:r>
              <w:rPr>
                <w:rFonts w:hint="eastAsia" w:ascii="Times New Roman" w:hAnsi="Times New Roman" w:eastAsia="宋体" w:cs="Times New Roman"/>
                <w:bCs/>
                <w:color w:val="auto"/>
                <w:spacing w:val="-10"/>
                <w:sz w:val="24"/>
                <w:szCs w:val="24"/>
                <w:highlight w:val="none"/>
                <w:u w:val="none" w:color="auto"/>
                <w:lang w:val="en-US" w:eastAsia="zh-CN"/>
              </w:rPr>
              <w:t>对周边环境影响较小，</w:t>
            </w:r>
            <w:r>
              <w:rPr>
                <w:rFonts w:hint="eastAsia" w:ascii="Times New Roman" w:hAnsi="Times New Roman" w:eastAsia="宋体" w:cs="Times New Roman"/>
                <w:bCs/>
                <w:color w:val="auto"/>
                <w:spacing w:val="-10"/>
                <w:sz w:val="24"/>
                <w:szCs w:val="24"/>
                <w:u w:val="none" w:color="auto"/>
                <w:lang w:val="en-US" w:eastAsia="zh-CN"/>
              </w:rPr>
              <w:t>对所在区域大气环境影响程度为可以接受的。</w:t>
            </w:r>
          </w:p>
          <w:p>
            <w:pPr>
              <w:adjustRightInd w:val="0"/>
              <w:snapToGrid w:val="0"/>
              <w:spacing w:line="360" w:lineRule="auto"/>
              <w:ind w:firstLine="482" w:firstLineChars="200"/>
              <w:rPr>
                <w:color w:val="auto"/>
                <w:sz w:val="24"/>
                <w:szCs w:val="24"/>
                <w:highlight w:val="none"/>
              </w:rPr>
            </w:pPr>
            <w:r>
              <w:rPr>
                <w:b/>
                <w:bCs/>
                <w:color w:val="auto"/>
                <w:sz w:val="24"/>
                <w:szCs w:val="24"/>
                <w:highlight w:val="none"/>
              </w:rPr>
              <w:t>（</w:t>
            </w:r>
            <w:r>
              <w:rPr>
                <w:rFonts w:hint="eastAsia"/>
                <w:b/>
                <w:bCs/>
                <w:color w:val="auto"/>
                <w:sz w:val="24"/>
                <w:szCs w:val="24"/>
                <w:highlight w:val="none"/>
                <w:lang w:val="en-US" w:eastAsia="zh-CN"/>
              </w:rPr>
              <w:t>4</w:t>
            </w:r>
            <w:r>
              <w:rPr>
                <w:b/>
                <w:bCs/>
                <w:color w:val="auto"/>
                <w:sz w:val="24"/>
                <w:szCs w:val="24"/>
                <w:highlight w:val="none"/>
              </w:rPr>
              <w:t>）废气污染源监测计划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u w:val="none" w:color="auto"/>
                <w:lang w:eastAsia="zh-CN"/>
              </w:rPr>
            </w:pPr>
            <w:r>
              <w:rPr>
                <w:rFonts w:hint="eastAsia" w:ascii="Times New Roman" w:hAnsi="Times New Roman" w:eastAsia="宋体" w:cs="Times New Roman"/>
                <w:color w:val="auto"/>
                <w:sz w:val="24"/>
                <w:szCs w:val="24"/>
                <w:highlight w:val="none"/>
                <w:u w:val="none" w:color="auto"/>
              </w:rPr>
              <w:t>根据</w:t>
            </w:r>
            <w:r>
              <w:rPr>
                <w:rFonts w:hint="default" w:ascii="Times New Roman" w:hAnsi="Times New Roman" w:eastAsia="宋体" w:cs="Times New Roman"/>
                <w:color w:val="auto"/>
                <w:sz w:val="24"/>
                <w:szCs w:val="24"/>
                <w:highlight w:val="none"/>
                <w:u w:val="none" w:color="auto"/>
                <w:lang w:val="en-US" w:eastAsia="zh-CN"/>
              </w:rPr>
              <w:t>《固定污染源排污许可分类管理名录</w:t>
            </w:r>
            <w:r>
              <w:rPr>
                <w:rFonts w:hint="default" w:ascii="Times New Roman" w:hAnsi="Times New Roman" w:eastAsia="宋体" w:cs="Times New Roman"/>
                <w:color w:val="auto"/>
                <w:sz w:val="24"/>
                <w:szCs w:val="24"/>
                <w:highlight w:val="none"/>
                <w:u w:val="none" w:color="auto"/>
              </w:rPr>
              <w:t>》（</w:t>
            </w:r>
            <w:r>
              <w:rPr>
                <w:rFonts w:hint="eastAsia" w:ascii="Times New Roman" w:hAnsi="Times New Roman" w:eastAsia="宋体" w:cs="Times New Roman"/>
                <w:color w:val="auto"/>
                <w:sz w:val="24"/>
                <w:szCs w:val="24"/>
                <w:highlight w:val="none"/>
                <w:u w:val="none" w:color="auto"/>
                <w:lang w:val="en-US" w:eastAsia="zh-CN"/>
              </w:rPr>
              <w:t>2019版</w:t>
            </w:r>
            <w:r>
              <w:rPr>
                <w:rFonts w:hint="default" w:ascii="Times New Roman" w:hAnsi="Times New Roman" w:eastAsia="宋体" w:cs="Times New Roman"/>
                <w:color w:val="auto"/>
                <w:sz w:val="24"/>
                <w:szCs w:val="24"/>
                <w:highlight w:val="none"/>
                <w:u w:val="none" w:color="auto"/>
              </w:rPr>
              <w:t>）</w:t>
            </w:r>
            <w:r>
              <w:rPr>
                <w:rFonts w:hint="eastAsia" w:ascii="Times New Roman" w:hAnsi="Times New Roman" w:eastAsia="宋体" w:cs="Times New Roman"/>
                <w:color w:val="auto"/>
                <w:sz w:val="24"/>
                <w:szCs w:val="24"/>
                <w:highlight w:val="none"/>
                <w:u w:val="none" w:color="auto"/>
                <w:lang w:val="en-US" w:eastAsia="zh-CN"/>
              </w:rPr>
              <w:t>管理要求</w:t>
            </w:r>
            <w:r>
              <w:rPr>
                <w:rFonts w:hint="eastAsia" w:ascii="Times New Roman" w:hAnsi="Times New Roman" w:eastAsia="宋体" w:cs="Times New Roman"/>
                <w:color w:val="auto"/>
                <w:sz w:val="24"/>
                <w:szCs w:val="24"/>
                <w:highlight w:val="none"/>
                <w:u w:val="none" w:color="auto"/>
                <w:lang w:eastAsia="zh-CN"/>
              </w:rPr>
              <w:t>，床位100 张以下</w:t>
            </w:r>
            <w:r>
              <w:rPr>
                <w:rFonts w:hint="eastAsia" w:eastAsia="宋体" w:cs="Times New Roman"/>
                <w:color w:val="auto"/>
                <w:sz w:val="24"/>
                <w:szCs w:val="24"/>
                <w:highlight w:val="none"/>
                <w:u w:val="none" w:color="auto"/>
                <w:lang w:val="en-US" w:eastAsia="zh-CN"/>
              </w:rPr>
              <w:t>乡镇医院</w:t>
            </w:r>
            <w:r>
              <w:rPr>
                <w:rFonts w:hint="eastAsia" w:ascii="Times New Roman" w:hAnsi="Times New Roman" w:eastAsia="宋体" w:cs="Times New Roman"/>
                <w:color w:val="auto"/>
                <w:sz w:val="24"/>
                <w:szCs w:val="24"/>
                <w:highlight w:val="none"/>
                <w:u w:val="none" w:color="auto"/>
                <w:lang w:val="en-US" w:eastAsia="zh-CN"/>
              </w:rPr>
              <w:t>进行登记管理，未对废气污染源监测进行要求</w:t>
            </w:r>
            <w:r>
              <w:rPr>
                <w:rFonts w:hint="eastAsia" w:ascii="Times New Roman" w:hAnsi="Times New Roman" w:eastAsia="宋体" w:cs="Times New Roman"/>
                <w:color w:val="auto"/>
                <w:sz w:val="24"/>
                <w:szCs w:val="24"/>
                <w:highlight w:val="none"/>
                <w:u w:val="none" w:color="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b/>
                <w:bCs/>
                <w:color w:val="auto"/>
                <w:kern w:val="0"/>
                <w:sz w:val="24"/>
                <w:szCs w:val="24"/>
                <w:u w:val="none" w:color="auto"/>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val="en-US" w:eastAsia="zh-CN"/>
              </w:rPr>
            </w:pPr>
            <w:r>
              <w:rPr>
                <w:rFonts w:hint="eastAsia" w:ascii="Times New Roman" w:hAnsi="Times New Roman" w:eastAsia="宋体" w:cs="Times New Roman"/>
                <w:b/>
                <w:bCs/>
                <w:color w:val="auto"/>
                <w:kern w:val="0"/>
                <w:sz w:val="24"/>
                <w:szCs w:val="24"/>
                <w:u w:val="none" w:color="auto"/>
                <w:lang w:val="en-US" w:eastAsia="zh-CN"/>
              </w:rPr>
              <w:t>2</w:t>
            </w:r>
            <w:r>
              <w:rPr>
                <w:rFonts w:hint="default" w:ascii="Times New Roman" w:hAnsi="Times New Roman" w:eastAsia="宋体" w:cs="Times New Roman"/>
                <w:b/>
                <w:bCs/>
                <w:color w:val="auto"/>
                <w:kern w:val="0"/>
                <w:sz w:val="24"/>
                <w:szCs w:val="24"/>
                <w:u w:val="none" w:color="auto"/>
                <w:lang w:val="en-US" w:eastAsia="zh-CN"/>
              </w:rPr>
              <w:t>废水</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val="en-US" w:eastAsia="zh-CN"/>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1</w:t>
            </w: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源强计算</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rPr>
            </w:pPr>
            <w:r>
              <w:rPr>
                <w:rFonts w:hint="default" w:ascii="Times New Roman" w:hAnsi="Times New Roman" w:eastAsia="宋体" w:cs="Times New Roman"/>
                <w:bCs/>
                <w:color w:val="auto"/>
                <w:spacing w:val="-10"/>
                <w:sz w:val="24"/>
                <w:szCs w:val="24"/>
                <w:u w:val="none" w:color="auto"/>
              </w:rPr>
              <w:t>本项目医学</w:t>
            </w:r>
            <w:r>
              <w:rPr>
                <w:rFonts w:hint="default" w:ascii="Times New Roman" w:hAnsi="Times New Roman" w:eastAsia="宋体" w:cs="Times New Roman"/>
                <w:color w:val="auto"/>
                <w:kern w:val="0"/>
                <w:sz w:val="24"/>
                <w:szCs w:val="24"/>
                <w:u w:val="none" w:color="auto"/>
              </w:rPr>
              <w:t>影像</w:t>
            </w:r>
            <w:r>
              <w:rPr>
                <w:rFonts w:hint="default" w:ascii="Times New Roman" w:hAnsi="Times New Roman" w:eastAsia="宋体" w:cs="Times New Roman"/>
                <w:bCs/>
                <w:color w:val="auto"/>
                <w:spacing w:val="-10"/>
                <w:sz w:val="24"/>
                <w:szCs w:val="24"/>
                <w:u w:val="none" w:color="auto"/>
              </w:rPr>
              <w:t>采用激光打印胶片，不产生洗印废水；本项目不设传染科，无传染性废水产生；本项目检验科为普通实验室，仅涉及病人血液、尿液、粪便等，不涉及单独的微生物</w:t>
            </w:r>
            <w:r>
              <w:rPr>
                <w:rFonts w:hint="eastAsia" w:cs="Times New Roman"/>
                <w:bCs/>
                <w:color w:val="auto"/>
                <w:spacing w:val="-10"/>
                <w:sz w:val="24"/>
                <w:szCs w:val="24"/>
                <w:u w:val="none" w:color="auto"/>
                <w:lang w:eastAsia="zh-CN"/>
              </w:rPr>
              <w:t>菌种</w:t>
            </w:r>
            <w:r>
              <w:rPr>
                <w:rFonts w:hint="default" w:ascii="Times New Roman" w:hAnsi="Times New Roman" w:eastAsia="宋体" w:cs="Times New Roman"/>
                <w:bCs/>
                <w:color w:val="auto"/>
                <w:spacing w:val="-10"/>
                <w:sz w:val="24"/>
                <w:szCs w:val="24"/>
                <w:u w:val="none" w:color="auto"/>
              </w:rPr>
              <w:t>或病毒的实验操作，检验科不使用铬类化合物以及氰类化合物作为检验药剂，无含铬、含氰废水。</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default" w:ascii="Times New Roman" w:hAnsi="Times New Roman" w:eastAsia="宋体" w:cs="Times New Roman"/>
                <w:bCs/>
                <w:color w:val="auto"/>
                <w:spacing w:val="-10"/>
                <w:sz w:val="24"/>
                <w:szCs w:val="24"/>
                <w:u w:val="none" w:color="auto"/>
              </w:rPr>
            </w:pPr>
            <w:r>
              <w:rPr>
                <w:rFonts w:hint="eastAsia" w:ascii="Times New Roman" w:hAnsi="Times New Roman" w:eastAsia="宋体" w:cs="Times New Roman"/>
                <w:bCs/>
                <w:color w:val="auto"/>
                <w:spacing w:val="-10"/>
                <w:sz w:val="24"/>
                <w:szCs w:val="24"/>
                <w:u w:val="none" w:color="auto"/>
                <w:lang w:val="en-US" w:eastAsia="zh-CN"/>
              </w:rPr>
              <w:t>根据理论计算，本项目废水量</w:t>
            </w:r>
            <w:r>
              <w:rPr>
                <w:rFonts w:hint="eastAsia" w:cs="Times New Roman"/>
                <w:bCs/>
                <w:color w:val="auto"/>
                <w:spacing w:val="-10"/>
                <w:sz w:val="24"/>
                <w:szCs w:val="24"/>
                <w:u w:val="none" w:color="auto"/>
                <w:lang w:val="en-US" w:eastAsia="zh-CN"/>
              </w:rPr>
              <w:t>17.702</w:t>
            </w:r>
            <w:r>
              <w:rPr>
                <w:rFonts w:hint="eastAsia" w:ascii="Times New Roman" w:hAnsi="Times New Roman" w:eastAsia="宋体" w:cs="Times New Roman"/>
                <w:bCs/>
                <w:color w:val="auto"/>
                <w:spacing w:val="-10"/>
                <w:sz w:val="24"/>
                <w:szCs w:val="24"/>
                <w:u w:val="none" w:color="auto"/>
                <w:lang w:val="en-US" w:eastAsia="zh-CN"/>
              </w:rPr>
              <w:t>m</w:t>
            </w:r>
            <w:r>
              <w:rPr>
                <w:rFonts w:hint="eastAsia" w:ascii="Times New Roman" w:hAnsi="Times New Roman" w:eastAsia="宋体" w:cs="Times New Roman"/>
                <w:bCs/>
                <w:color w:val="auto"/>
                <w:spacing w:val="-10"/>
                <w:sz w:val="24"/>
                <w:szCs w:val="24"/>
                <w:u w:val="none" w:color="auto"/>
                <w:vertAlign w:val="superscript"/>
                <w:lang w:val="en-US" w:eastAsia="zh-CN"/>
              </w:rPr>
              <w:t>3</w:t>
            </w:r>
            <w:r>
              <w:rPr>
                <w:rFonts w:hint="eastAsia" w:ascii="Times New Roman" w:hAnsi="Times New Roman" w:eastAsia="宋体" w:cs="Times New Roman"/>
                <w:bCs/>
                <w:color w:val="auto"/>
                <w:spacing w:val="-10"/>
                <w:sz w:val="24"/>
                <w:szCs w:val="24"/>
                <w:u w:val="none" w:color="auto"/>
                <w:lang w:val="en-US" w:eastAsia="zh-CN"/>
              </w:rPr>
              <w:t>/d，</w:t>
            </w:r>
            <w:r>
              <w:rPr>
                <w:rFonts w:hint="default" w:ascii="Times New Roman" w:hAnsi="Times New Roman" w:eastAsia="宋体" w:cs="Times New Roman"/>
                <w:bCs/>
                <w:color w:val="auto"/>
                <w:spacing w:val="-10"/>
                <w:sz w:val="24"/>
                <w:szCs w:val="24"/>
                <w:u w:val="none" w:color="auto"/>
              </w:rPr>
              <w:t>主要污染因子主要有COD</w:t>
            </w:r>
            <w:r>
              <w:rPr>
                <w:rFonts w:hint="default" w:ascii="Times New Roman" w:hAnsi="Times New Roman" w:eastAsia="宋体" w:cs="Times New Roman"/>
                <w:bCs/>
                <w:color w:val="auto"/>
                <w:spacing w:val="-10"/>
                <w:sz w:val="24"/>
                <w:szCs w:val="24"/>
                <w:u w:val="none" w:color="auto"/>
                <w:vertAlign w:val="subscript"/>
              </w:rPr>
              <w:t>Cr</w:t>
            </w:r>
            <w:r>
              <w:rPr>
                <w:rFonts w:hint="default" w:ascii="Times New Roman" w:hAnsi="Times New Roman" w:eastAsia="宋体" w:cs="Times New Roman"/>
                <w:bCs/>
                <w:color w:val="auto"/>
                <w:spacing w:val="-10"/>
                <w:sz w:val="24"/>
                <w:szCs w:val="24"/>
                <w:u w:val="none" w:color="auto"/>
              </w:rPr>
              <w:t>、</w:t>
            </w:r>
            <w:r>
              <w:rPr>
                <w:rFonts w:hint="eastAsia" w:ascii="Times New Roman" w:hAnsi="Times New Roman" w:eastAsia="宋体" w:cs="Times New Roman"/>
                <w:bCs/>
                <w:color w:val="auto"/>
                <w:spacing w:val="-10"/>
                <w:sz w:val="21"/>
                <w:szCs w:val="21"/>
                <w:u w:val="none" w:color="auto"/>
                <w:vertAlign w:val="baseline"/>
                <w:lang w:val="en-US" w:eastAsia="zh-CN"/>
              </w:rPr>
              <w:t>BOD</w:t>
            </w:r>
            <w:r>
              <w:rPr>
                <w:rFonts w:hint="eastAsia" w:ascii="Times New Roman" w:hAnsi="Times New Roman" w:eastAsia="宋体" w:cs="Times New Roman"/>
                <w:bCs/>
                <w:color w:val="auto"/>
                <w:spacing w:val="-10"/>
                <w:sz w:val="21"/>
                <w:szCs w:val="21"/>
                <w:u w:val="none" w:color="auto"/>
                <w:vertAlign w:val="subscript"/>
                <w:lang w:val="en-US" w:eastAsia="zh-CN"/>
              </w:rPr>
              <w:t>5、</w:t>
            </w:r>
            <w:r>
              <w:rPr>
                <w:rFonts w:hint="default" w:ascii="Times New Roman" w:hAnsi="Times New Roman" w:eastAsia="宋体" w:cs="Times New Roman"/>
                <w:bCs/>
                <w:color w:val="auto"/>
                <w:spacing w:val="-10"/>
                <w:sz w:val="24"/>
                <w:szCs w:val="24"/>
                <w:u w:val="none" w:color="auto"/>
              </w:rPr>
              <w:t>氨氮、SS、粪大肠菌群等。参考《医院污水处理工程技术规范》（HJ2029-2013）表1中医院污水水质指标，本项目医疗废水中各类污染因子源强见下表。</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bCs/>
                <w:color w:val="auto"/>
                <w:spacing w:val="-10"/>
                <w:sz w:val="24"/>
                <w:szCs w:val="24"/>
                <w:u w:val="none" w:color="auto"/>
              </w:rPr>
            </w:pPr>
            <w:r>
              <w:rPr>
                <w:rFonts w:hint="default" w:ascii="Times New Roman" w:hAnsi="Times New Roman" w:eastAsia="宋体" w:cs="Times New Roman"/>
                <w:bCs/>
                <w:color w:val="auto"/>
                <w:spacing w:val="-10"/>
                <w:sz w:val="24"/>
                <w:szCs w:val="24"/>
                <w:u w:val="none" w:color="auto"/>
              </w:rPr>
              <w:t>表4-</w:t>
            </w:r>
            <w:r>
              <w:rPr>
                <w:rFonts w:hint="eastAsia" w:cs="Times New Roman"/>
                <w:bCs/>
                <w:color w:val="auto"/>
                <w:spacing w:val="-10"/>
                <w:sz w:val="24"/>
                <w:szCs w:val="24"/>
                <w:u w:val="none" w:color="auto"/>
                <w:lang w:val="en-US" w:eastAsia="zh-CN"/>
              </w:rPr>
              <w:t>3</w:t>
            </w:r>
            <w:r>
              <w:rPr>
                <w:rFonts w:hint="default" w:ascii="Times New Roman" w:hAnsi="Times New Roman" w:eastAsia="宋体" w:cs="Times New Roman"/>
                <w:bCs/>
                <w:color w:val="auto"/>
                <w:spacing w:val="-10"/>
                <w:sz w:val="24"/>
                <w:szCs w:val="24"/>
                <w:u w:val="none" w:color="auto"/>
              </w:rPr>
              <w:t>医院污水水质指标参考数据</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9"/>
              <w:gridCol w:w="1220"/>
              <w:gridCol w:w="1180"/>
              <w:gridCol w:w="1209"/>
              <w:gridCol w:w="1025"/>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指标</w:t>
                  </w:r>
                </w:p>
              </w:tc>
              <w:tc>
                <w:tcPr>
                  <w:tcW w:w="12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COD</w:t>
                  </w:r>
                  <w:r>
                    <w:rPr>
                      <w:rFonts w:hint="default" w:ascii="Times New Roman" w:hAnsi="Times New Roman" w:eastAsia="宋体" w:cs="Times New Roman"/>
                      <w:bCs/>
                      <w:color w:val="auto"/>
                      <w:spacing w:val="-10"/>
                      <w:sz w:val="21"/>
                      <w:szCs w:val="21"/>
                      <w:u w:val="none" w:color="auto"/>
                      <w:vertAlign w:val="subscript"/>
                      <w:lang w:val="en-US" w:eastAsia="zh-CN"/>
                    </w:rPr>
                    <w:t>Cr</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BOD</w:t>
                  </w:r>
                  <w:r>
                    <w:rPr>
                      <w:rFonts w:hint="default" w:ascii="Times New Roman" w:hAnsi="Times New Roman" w:eastAsia="宋体" w:cs="Times New Roman"/>
                      <w:bCs/>
                      <w:color w:val="auto"/>
                      <w:spacing w:val="-10"/>
                      <w:sz w:val="21"/>
                      <w:szCs w:val="21"/>
                      <w:u w:val="none" w:color="auto"/>
                      <w:vertAlign w:val="subscript"/>
                      <w:lang w:val="en-US" w:eastAsia="zh-CN"/>
                    </w:rPr>
                    <w:t>5</w:t>
                  </w:r>
                </w:p>
              </w:tc>
              <w:tc>
                <w:tcPr>
                  <w:tcW w:w="120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SS</w:t>
                  </w:r>
                </w:p>
              </w:tc>
              <w:tc>
                <w:tcPr>
                  <w:tcW w:w="10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氨氮</w:t>
                  </w:r>
                </w:p>
              </w:tc>
              <w:tc>
                <w:tcPr>
                  <w:tcW w:w="190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粪大肠菌群（/L）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污染物浓度范围</w:t>
                  </w:r>
                </w:p>
              </w:tc>
              <w:tc>
                <w:tcPr>
                  <w:tcW w:w="1220" w:type="dxa"/>
                  <w:noWrap w:val="0"/>
                  <w:vAlign w:val="center"/>
                </w:tcPr>
                <w:p>
                  <w:pPr>
                    <w:pStyle w:val="43"/>
                    <w:spacing w:before="34" w:line="240" w:lineRule="auto"/>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rPr>
                  </w:pPr>
                  <w:r>
                    <w:rPr>
                      <w:rFonts w:hint="default" w:ascii="Times New Roman" w:hAnsi="Times New Roman" w:cs="Times New Roman"/>
                      <w:color w:val="auto"/>
                      <w:sz w:val="21"/>
                      <w:szCs w:val="21"/>
                      <w:u w:val="none" w:color="auto"/>
                    </w:rPr>
                    <w:t>150~300</w:t>
                  </w:r>
                  <w:r>
                    <w:rPr>
                      <w:rFonts w:hint="default" w:ascii="Times New Roman" w:hAnsi="Times New Roman" w:eastAsia="宋体" w:cs="Times New Roman"/>
                      <w:bCs/>
                      <w:color w:val="auto"/>
                      <w:spacing w:val="-10"/>
                      <w:sz w:val="21"/>
                      <w:szCs w:val="21"/>
                      <w:u w:val="none" w:color="auto"/>
                      <w:vertAlign w:val="baseline"/>
                      <w:lang w:val="en-US" w:eastAsia="zh-CN"/>
                    </w:rPr>
                    <w:t>mg/L</w:t>
                  </w:r>
                </w:p>
              </w:tc>
              <w:tc>
                <w:tcPr>
                  <w:tcW w:w="1180" w:type="dxa"/>
                  <w:noWrap w:val="0"/>
                  <w:vAlign w:val="center"/>
                </w:tcPr>
                <w:p>
                  <w:pPr>
                    <w:pStyle w:val="43"/>
                    <w:spacing w:before="34" w:line="240" w:lineRule="auto"/>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rPr>
                  </w:pPr>
                  <w:r>
                    <w:rPr>
                      <w:rFonts w:hint="default" w:ascii="Times New Roman" w:hAnsi="Times New Roman" w:cs="Times New Roman"/>
                      <w:color w:val="auto"/>
                      <w:sz w:val="21"/>
                      <w:szCs w:val="21"/>
                      <w:u w:val="none" w:color="auto"/>
                    </w:rPr>
                    <w:t>80~150</w:t>
                  </w:r>
                  <w:r>
                    <w:rPr>
                      <w:rFonts w:hint="default" w:ascii="Times New Roman" w:hAnsi="Times New Roman" w:eastAsia="宋体" w:cs="Times New Roman"/>
                      <w:bCs/>
                      <w:color w:val="auto"/>
                      <w:spacing w:val="-10"/>
                      <w:sz w:val="21"/>
                      <w:szCs w:val="21"/>
                      <w:u w:val="none" w:color="auto"/>
                      <w:vertAlign w:val="baseline"/>
                      <w:lang w:val="en-US" w:eastAsia="zh-CN"/>
                    </w:rPr>
                    <w:t>mg/L</w:t>
                  </w:r>
                </w:p>
              </w:tc>
              <w:tc>
                <w:tcPr>
                  <w:tcW w:w="1209" w:type="dxa"/>
                  <w:noWrap w:val="0"/>
                  <w:vAlign w:val="center"/>
                </w:tcPr>
                <w:p>
                  <w:pPr>
                    <w:pStyle w:val="43"/>
                    <w:spacing w:before="34" w:line="240" w:lineRule="auto"/>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rPr>
                  </w:pPr>
                  <w:r>
                    <w:rPr>
                      <w:rFonts w:hint="default" w:ascii="Times New Roman" w:hAnsi="Times New Roman" w:cs="Times New Roman"/>
                      <w:color w:val="auto"/>
                      <w:sz w:val="21"/>
                      <w:szCs w:val="21"/>
                      <w:u w:val="none" w:color="auto"/>
                    </w:rPr>
                    <w:t>40~120</w:t>
                  </w:r>
                  <w:r>
                    <w:rPr>
                      <w:rFonts w:hint="default" w:ascii="Times New Roman" w:hAnsi="Times New Roman" w:eastAsia="宋体" w:cs="Times New Roman"/>
                      <w:bCs/>
                      <w:color w:val="auto"/>
                      <w:spacing w:val="-10"/>
                      <w:sz w:val="21"/>
                      <w:szCs w:val="21"/>
                      <w:u w:val="none" w:color="auto"/>
                      <w:vertAlign w:val="baseline"/>
                      <w:lang w:val="en-US" w:eastAsia="zh-CN"/>
                    </w:rPr>
                    <w:t>mg/L</w:t>
                  </w:r>
                </w:p>
              </w:tc>
              <w:tc>
                <w:tcPr>
                  <w:tcW w:w="1025" w:type="dxa"/>
                  <w:noWrap w:val="0"/>
                  <w:vAlign w:val="center"/>
                </w:tcPr>
                <w:p>
                  <w:pPr>
                    <w:pStyle w:val="43"/>
                    <w:spacing w:before="34" w:line="240" w:lineRule="auto"/>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rPr>
                  </w:pPr>
                  <w:r>
                    <w:rPr>
                      <w:rFonts w:hint="default" w:ascii="Times New Roman" w:hAnsi="Times New Roman" w:cs="Times New Roman"/>
                      <w:color w:val="auto"/>
                      <w:sz w:val="21"/>
                      <w:szCs w:val="21"/>
                      <w:u w:val="none" w:color="auto"/>
                    </w:rPr>
                    <w:t>10~50</w:t>
                  </w:r>
                  <w:r>
                    <w:rPr>
                      <w:rFonts w:hint="default" w:ascii="Times New Roman" w:hAnsi="Times New Roman" w:eastAsia="宋体" w:cs="Times New Roman"/>
                      <w:bCs/>
                      <w:color w:val="auto"/>
                      <w:spacing w:val="-10"/>
                      <w:sz w:val="21"/>
                      <w:szCs w:val="21"/>
                      <w:u w:val="none" w:color="auto"/>
                      <w:vertAlign w:val="baseline"/>
                      <w:lang w:val="en-US" w:eastAsia="zh-CN"/>
                    </w:rPr>
                    <w:t>mg/L</w:t>
                  </w:r>
                </w:p>
              </w:tc>
              <w:tc>
                <w:tcPr>
                  <w:tcW w:w="1903" w:type="dxa"/>
                  <w:noWrap w:val="0"/>
                  <w:vAlign w:val="center"/>
                </w:tcPr>
                <w:p>
                  <w:pPr>
                    <w:pStyle w:val="43"/>
                    <w:spacing w:line="276" w:lineRule="exact"/>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lang w:val="en-US"/>
                    </w:rPr>
                  </w:pPr>
                  <w:r>
                    <w:rPr>
                      <w:rFonts w:hint="default" w:ascii="Times New Roman" w:hAnsi="Times New Roman" w:eastAsia="宋体" w:cs="Times New Roman"/>
                      <w:color w:val="auto"/>
                      <w:sz w:val="21"/>
                      <w:szCs w:val="21"/>
                      <w:u w:val="none" w:color="auto"/>
                      <w:lang w:val="en-US" w:eastAsia="zh-CN"/>
                    </w:rPr>
                    <w:t>1.0</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10</w:t>
                  </w:r>
                  <w:r>
                    <w:rPr>
                      <w:rFonts w:hint="default" w:ascii="Times New Roman" w:hAnsi="Times New Roman" w:eastAsia="宋体" w:cs="Times New Roman"/>
                      <w:color w:val="auto"/>
                      <w:sz w:val="21"/>
                      <w:szCs w:val="21"/>
                      <w:u w:val="none" w:color="auto"/>
                      <w:vertAlign w:val="superscript"/>
                      <w:lang w:val="en-US" w:eastAsia="zh-CN"/>
                    </w:rPr>
                    <w:t>6</w:t>
                  </w:r>
                  <w:r>
                    <w:rPr>
                      <w:rFonts w:hint="default" w:ascii="Times New Roman" w:hAnsi="Times New Roman" w:eastAsia="Times New Roman"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3.0</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10</w:t>
                  </w:r>
                  <w:r>
                    <w:rPr>
                      <w:rFonts w:hint="default" w:ascii="Times New Roman" w:hAnsi="Times New Roman" w:eastAsia="宋体" w:cs="Times New Roman"/>
                      <w:color w:val="auto"/>
                      <w:sz w:val="21"/>
                      <w:szCs w:val="21"/>
                      <w:u w:val="none" w:color="auto"/>
                      <w:vertAlign w:val="superscript"/>
                      <w:lang w:val="en-US" w:eastAsia="zh-CN"/>
                    </w:rPr>
                    <w:t>8</w:t>
                  </w:r>
                  <w:r>
                    <w:rPr>
                      <w:rFonts w:hint="default" w:ascii="Times New Roman" w:hAnsi="Times New Roman" w:eastAsia="宋体" w:cs="Times New Roman"/>
                      <w:color w:val="auto"/>
                      <w:sz w:val="21"/>
                      <w:szCs w:val="21"/>
                      <w:u w:val="none" w:color="auto"/>
                      <w:vertAlign w:val="baseline"/>
                      <w:lang w:val="en-US" w:eastAsia="zh-CN"/>
                    </w:rPr>
                    <w:t>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本项目取值</w:t>
                  </w:r>
                </w:p>
              </w:tc>
              <w:tc>
                <w:tcPr>
                  <w:tcW w:w="1220" w:type="dxa"/>
                  <w:noWrap w:val="0"/>
                  <w:vAlign w:val="center"/>
                </w:tcPr>
                <w:p>
                  <w:pPr>
                    <w:pStyle w:val="43"/>
                    <w:spacing w:before="34" w:line="240" w:lineRule="auto"/>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lang w:val="en-US" w:eastAsia="zh-CN"/>
                    </w:rPr>
                    <w:t>25</w:t>
                  </w:r>
                  <w:r>
                    <w:rPr>
                      <w:rFonts w:hint="default" w:ascii="Times New Roman" w:hAnsi="Times New Roman" w:eastAsia="宋体" w:cs="Times New Roman"/>
                      <w:color w:val="auto"/>
                      <w:sz w:val="21"/>
                      <w:szCs w:val="21"/>
                      <w:u w:val="none" w:color="auto"/>
                      <w:lang w:val="en-US" w:eastAsia="zh-CN"/>
                    </w:rPr>
                    <w:t>0</w:t>
                  </w:r>
                  <w:r>
                    <w:rPr>
                      <w:rFonts w:hint="default" w:ascii="Times New Roman" w:hAnsi="Times New Roman" w:eastAsia="宋体" w:cs="Times New Roman"/>
                      <w:bCs/>
                      <w:color w:val="auto"/>
                      <w:spacing w:val="-10"/>
                      <w:sz w:val="21"/>
                      <w:szCs w:val="21"/>
                      <w:u w:val="none" w:color="auto"/>
                      <w:vertAlign w:val="baseline"/>
                      <w:lang w:val="en-US" w:eastAsia="zh-CN"/>
                    </w:rPr>
                    <w:t>mg/L</w:t>
                  </w:r>
                </w:p>
              </w:tc>
              <w:tc>
                <w:tcPr>
                  <w:tcW w:w="1180" w:type="dxa"/>
                  <w:noWrap w:val="0"/>
                  <w:vAlign w:val="center"/>
                </w:tcPr>
                <w:p>
                  <w:pPr>
                    <w:pStyle w:val="43"/>
                    <w:spacing w:before="34" w:line="240" w:lineRule="auto"/>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lang w:val="en-US" w:eastAsia="zh-CN"/>
                    </w:rPr>
                    <w:t>1</w:t>
                  </w:r>
                  <w:r>
                    <w:rPr>
                      <w:rFonts w:hint="eastAsia" w:ascii="Times New Roman" w:hAnsi="Times New Roman" w:eastAsia="宋体" w:cs="Times New Roman"/>
                      <w:color w:val="auto"/>
                      <w:sz w:val="21"/>
                      <w:szCs w:val="21"/>
                      <w:u w:val="none" w:color="auto"/>
                      <w:lang w:val="en-US" w:eastAsia="zh-CN"/>
                    </w:rPr>
                    <w:t>0</w:t>
                  </w:r>
                  <w:r>
                    <w:rPr>
                      <w:rFonts w:hint="default" w:ascii="Times New Roman" w:hAnsi="Times New Roman" w:eastAsia="宋体" w:cs="Times New Roman"/>
                      <w:color w:val="auto"/>
                      <w:sz w:val="21"/>
                      <w:szCs w:val="21"/>
                      <w:u w:val="none" w:color="auto"/>
                      <w:lang w:val="en-US" w:eastAsia="zh-CN"/>
                    </w:rPr>
                    <w:t>0</w:t>
                  </w:r>
                  <w:r>
                    <w:rPr>
                      <w:rFonts w:hint="default" w:ascii="Times New Roman" w:hAnsi="Times New Roman" w:eastAsia="宋体" w:cs="Times New Roman"/>
                      <w:bCs/>
                      <w:color w:val="auto"/>
                      <w:spacing w:val="-10"/>
                      <w:sz w:val="21"/>
                      <w:szCs w:val="21"/>
                      <w:u w:val="none" w:color="auto"/>
                      <w:vertAlign w:val="baseline"/>
                      <w:lang w:val="en-US" w:eastAsia="zh-CN"/>
                    </w:rPr>
                    <w:t>mg/L</w:t>
                  </w:r>
                </w:p>
              </w:tc>
              <w:tc>
                <w:tcPr>
                  <w:tcW w:w="1209" w:type="dxa"/>
                  <w:noWrap w:val="0"/>
                  <w:vAlign w:val="center"/>
                </w:tcPr>
                <w:p>
                  <w:pPr>
                    <w:pStyle w:val="43"/>
                    <w:spacing w:before="34" w:line="240" w:lineRule="auto"/>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lang w:val="en-US" w:eastAsia="zh-CN"/>
                    </w:rPr>
                    <w:t>8</w:t>
                  </w:r>
                  <w:r>
                    <w:rPr>
                      <w:rFonts w:hint="default" w:ascii="Times New Roman" w:hAnsi="Times New Roman" w:eastAsia="宋体" w:cs="Times New Roman"/>
                      <w:color w:val="auto"/>
                      <w:sz w:val="21"/>
                      <w:szCs w:val="21"/>
                      <w:u w:val="none" w:color="auto"/>
                      <w:lang w:val="en-US" w:eastAsia="zh-CN"/>
                    </w:rPr>
                    <w:t>0</w:t>
                  </w:r>
                  <w:r>
                    <w:rPr>
                      <w:rFonts w:hint="default" w:ascii="Times New Roman" w:hAnsi="Times New Roman" w:eastAsia="宋体" w:cs="Times New Roman"/>
                      <w:bCs/>
                      <w:color w:val="auto"/>
                      <w:spacing w:val="-10"/>
                      <w:sz w:val="21"/>
                      <w:szCs w:val="21"/>
                      <w:u w:val="none" w:color="auto"/>
                      <w:vertAlign w:val="baseline"/>
                      <w:lang w:val="en-US" w:eastAsia="zh-CN"/>
                    </w:rPr>
                    <w:t>mg/L</w:t>
                  </w:r>
                </w:p>
              </w:tc>
              <w:tc>
                <w:tcPr>
                  <w:tcW w:w="1025" w:type="dxa"/>
                  <w:noWrap w:val="0"/>
                  <w:vAlign w:val="center"/>
                </w:tcPr>
                <w:p>
                  <w:pPr>
                    <w:pStyle w:val="43"/>
                    <w:spacing w:before="34" w:line="240" w:lineRule="auto"/>
                    <w:ind w:left="191" w:leftChars="0" w:right="1" w:rightChars="0" w:hanging="191" w:hangingChars="91"/>
                    <w:jc w:val="center"/>
                    <w:rPr>
                      <w:rFonts w:hint="default" w:ascii="Times New Roman" w:hAnsi="Times New Roman" w:eastAsia="宋体" w:cs="Times New Roman"/>
                      <w:bCs/>
                      <w:color w:val="auto"/>
                      <w:spacing w:val="-10"/>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lang w:val="en-US" w:eastAsia="zh-CN"/>
                    </w:rPr>
                    <w:t>30</w:t>
                  </w:r>
                  <w:r>
                    <w:rPr>
                      <w:rFonts w:hint="default" w:ascii="Times New Roman" w:hAnsi="Times New Roman" w:eastAsia="宋体" w:cs="Times New Roman"/>
                      <w:bCs/>
                      <w:color w:val="auto"/>
                      <w:spacing w:val="-10"/>
                      <w:sz w:val="21"/>
                      <w:szCs w:val="21"/>
                      <w:u w:val="none" w:color="auto"/>
                      <w:vertAlign w:val="baseline"/>
                      <w:lang w:val="en-US" w:eastAsia="zh-CN"/>
                    </w:rPr>
                    <w:t>mg/L</w:t>
                  </w:r>
                </w:p>
              </w:tc>
              <w:tc>
                <w:tcPr>
                  <w:tcW w:w="1903" w:type="dxa"/>
                  <w:noWrap w:val="0"/>
                  <w:vAlign w:val="center"/>
                </w:tcPr>
                <w:p>
                  <w:pPr>
                    <w:pStyle w:val="43"/>
                    <w:spacing w:line="276" w:lineRule="exact"/>
                    <w:ind w:left="191" w:leftChars="0" w:right="0" w:rightChars="0" w:hanging="191" w:hangingChars="91"/>
                    <w:jc w:val="center"/>
                    <w:rPr>
                      <w:rFonts w:hint="default" w:ascii="Times New Roman" w:hAnsi="Times New Roman" w:eastAsia="宋体" w:cs="Times New Roman"/>
                      <w:bCs/>
                      <w:color w:val="auto"/>
                      <w:spacing w:val="-10"/>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lang w:val="en-US" w:eastAsia="zh-CN"/>
                    </w:rPr>
                    <w:t>1.6</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10</w:t>
                  </w:r>
                  <w:r>
                    <w:rPr>
                      <w:rFonts w:hint="default" w:ascii="Times New Roman" w:hAnsi="Times New Roman" w:eastAsia="宋体" w:cs="Times New Roman"/>
                      <w:color w:val="auto"/>
                      <w:sz w:val="21"/>
                      <w:szCs w:val="21"/>
                      <w:u w:val="none" w:color="auto"/>
                      <w:vertAlign w:val="superscript"/>
                      <w:lang w:val="en-US" w:eastAsia="zh-CN"/>
                    </w:rPr>
                    <w:t>8</w:t>
                  </w:r>
                  <w:r>
                    <w:rPr>
                      <w:rFonts w:hint="default" w:ascii="Times New Roman" w:hAnsi="Times New Roman" w:eastAsia="宋体" w:cs="Times New Roman"/>
                      <w:color w:val="auto"/>
                      <w:sz w:val="21"/>
                      <w:szCs w:val="21"/>
                      <w:u w:val="none" w:color="auto"/>
                      <w:vertAlign w:val="baseline"/>
                      <w:lang w:val="en-US" w:eastAsia="zh-CN"/>
                    </w:rPr>
                    <w:t>个/L</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Times New Roman" w:hAnsi="Times New Roman" w:eastAsia="宋体" w:cs="Times New Roman"/>
                <w:bCs/>
                <w:color w:val="auto"/>
                <w:spacing w:val="-10"/>
                <w:sz w:val="24"/>
                <w:szCs w:val="24"/>
                <w:u w:val="none" w:color="auto"/>
                <w:lang w:eastAsia="zh-CN"/>
              </w:rPr>
            </w:pPr>
            <w:r>
              <w:rPr>
                <w:rFonts w:hint="default" w:ascii="Times New Roman" w:hAnsi="Times New Roman" w:eastAsia="宋体" w:cs="Times New Roman"/>
                <w:bCs/>
                <w:color w:val="auto"/>
                <w:spacing w:val="-10"/>
                <w:sz w:val="24"/>
                <w:szCs w:val="24"/>
                <w:u w:val="none" w:color="auto"/>
              </w:rPr>
              <w:t>本项目污水处理</w:t>
            </w:r>
            <w:r>
              <w:rPr>
                <w:rFonts w:hint="eastAsia" w:ascii="Times New Roman" w:hAnsi="Times New Roman" w:eastAsia="宋体" w:cs="Times New Roman"/>
                <w:bCs/>
                <w:color w:val="auto"/>
                <w:spacing w:val="-10"/>
                <w:sz w:val="24"/>
                <w:szCs w:val="24"/>
                <w:u w:val="none" w:color="auto"/>
                <w:lang w:val="en-US" w:eastAsia="zh-CN"/>
              </w:rPr>
              <w:t>采用A/O处理</w:t>
            </w:r>
            <w:r>
              <w:rPr>
                <w:rFonts w:hint="default" w:ascii="Times New Roman" w:hAnsi="Times New Roman" w:eastAsia="宋体" w:cs="Times New Roman"/>
                <w:bCs/>
                <w:color w:val="auto"/>
                <w:spacing w:val="-10"/>
                <w:sz w:val="24"/>
                <w:szCs w:val="24"/>
                <w:u w:val="none" w:color="auto"/>
              </w:rPr>
              <w:t>工艺</w:t>
            </w:r>
            <w:r>
              <w:rPr>
                <w:rFonts w:hint="eastAsia" w:ascii="Times New Roman" w:hAnsi="Times New Roman" w:eastAsia="宋体" w:cs="Times New Roman"/>
                <w:bCs/>
                <w:color w:val="auto"/>
                <w:spacing w:val="-10"/>
                <w:sz w:val="24"/>
                <w:szCs w:val="24"/>
                <w:u w:val="none" w:color="auto"/>
                <w:lang w:eastAsia="zh-CN"/>
              </w:rPr>
              <w:t>，</w:t>
            </w:r>
            <w:r>
              <w:rPr>
                <w:rFonts w:hint="eastAsia" w:ascii="Times New Roman" w:hAnsi="Times New Roman" w:eastAsia="宋体" w:cs="Times New Roman"/>
                <w:bCs/>
                <w:color w:val="auto"/>
                <w:spacing w:val="-10"/>
                <w:sz w:val="24"/>
                <w:szCs w:val="24"/>
                <w:u w:val="none" w:color="auto"/>
                <w:lang w:val="en-US" w:eastAsia="zh-CN"/>
              </w:rPr>
              <w:t>具体</w:t>
            </w:r>
            <w:r>
              <w:rPr>
                <w:rFonts w:hint="default" w:ascii="Times New Roman" w:hAnsi="Times New Roman" w:eastAsia="宋体" w:cs="Times New Roman"/>
                <w:bCs/>
                <w:color w:val="auto"/>
                <w:spacing w:val="-10"/>
                <w:sz w:val="24"/>
                <w:szCs w:val="24"/>
                <w:u w:val="none" w:color="auto"/>
              </w:rPr>
              <w:t>如下</w:t>
            </w:r>
            <w:r>
              <w:rPr>
                <w:rFonts w:hint="eastAsia" w:ascii="Times New Roman" w:hAnsi="Times New Roman" w:eastAsia="宋体" w:cs="Times New Roman"/>
                <w:bCs/>
                <w:color w:val="auto"/>
                <w:spacing w:val="-10"/>
                <w:sz w:val="24"/>
                <w:szCs w:val="24"/>
                <w:u w:val="none" w:color="auto"/>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jc w:val="both"/>
              <w:textAlignment w:val="auto"/>
              <w:rPr>
                <w:rFonts w:hint="default" w:ascii="Times New Roman" w:hAnsi="Times New Roman" w:eastAsia="宋体" w:cs="Times New Roman"/>
                <w:bCs/>
                <w:color w:val="auto"/>
                <w:spacing w:val="-10"/>
                <w:sz w:val="24"/>
                <w:szCs w:val="24"/>
                <w:u w:val="none" w:color="auto"/>
                <w:lang w:val="en-US" w:eastAsia="zh-CN"/>
              </w:rPr>
            </w:pPr>
            <w:r>
              <w:rPr>
                <w:rFonts w:hint="eastAsia" w:ascii="Times New Roman" w:hAnsi="Times New Roman" w:eastAsia="宋体" w:cs="Times New Roman"/>
                <w:bCs/>
                <w:color w:val="auto"/>
                <w:spacing w:val="-10"/>
                <w:sz w:val="24"/>
                <w:szCs w:val="24"/>
                <w:u w:val="none" w:color="auto"/>
                <w:bdr w:val="single" w:color="auto" w:sz="4" w:space="0"/>
                <w:lang w:val="en-US" w:eastAsia="zh-CN"/>
              </w:rPr>
              <w:t xml:space="preserve">调节池  </w:t>
            </w:r>
            <w:r>
              <w:rPr>
                <w:rFonts w:hint="eastAsia" w:ascii="Times New Roman" w:hAnsi="Times New Roman" w:eastAsia="宋体" w:cs="Times New Roman"/>
                <w:bCs/>
                <w:color w:val="auto"/>
                <w:spacing w:val="-10"/>
                <w:sz w:val="24"/>
                <w:szCs w:val="24"/>
                <w:u w:val="none" w:color="auto"/>
                <w:lang w:val="en-US" w:eastAsia="zh-CN"/>
              </w:rPr>
              <w:t xml:space="preserve"> </w:t>
            </w:r>
            <w:r>
              <w:rPr>
                <w:rFonts w:hint="eastAsia" w:ascii="Times New Roman" w:hAnsi="Times New Roman" w:eastAsia="宋体" w:cs="Times New Roman"/>
                <w:bCs/>
                <w:color w:val="auto"/>
                <w:spacing w:val="-10"/>
                <w:sz w:val="28"/>
                <w:szCs w:val="28"/>
                <w:u w:val="none" w:color="auto"/>
                <w:lang w:val="en-US" w:eastAsia="zh-CN"/>
              </w:rPr>
              <w:t>→</w:t>
            </w:r>
            <w:r>
              <w:rPr>
                <w:rFonts w:hint="eastAsia" w:ascii="Times New Roman" w:hAnsi="Times New Roman" w:eastAsia="宋体" w:cs="Times New Roman"/>
                <w:bCs/>
                <w:color w:val="auto"/>
                <w:spacing w:val="-10"/>
                <w:sz w:val="24"/>
                <w:szCs w:val="24"/>
                <w:u w:val="none" w:color="auto"/>
                <w:lang w:val="en-US" w:eastAsia="zh-CN"/>
              </w:rPr>
              <w:t xml:space="preserve"> </w:t>
            </w:r>
            <w:r>
              <w:rPr>
                <w:rFonts w:hint="eastAsia" w:ascii="Times New Roman" w:hAnsi="Times New Roman" w:eastAsia="宋体" w:cs="Times New Roman"/>
                <w:bCs/>
                <w:color w:val="auto"/>
                <w:spacing w:val="-10"/>
                <w:sz w:val="24"/>
                <w:szCs w:val="24"/>
                <w:u w:val="none" w:color="auto"/>
                <w:bdr w:val="single" w:color="auto" w:sz="4" w:space="0"/>
                <w:lang w:val="en-US" w:eastAsia="zh-CN"/>
              </w:rPr>
              <w:t xml:space="preserve">厌氧池  </w:t>
            </w:r>
            <w:r>
              <w:rPr>
                <w:rFonts w:hint="eastAsia" w:ascii="Times New Roman" w:hAnsi="Times New Roman" w:eastAsia="宋体" w:cs="Times New Roman"/>
                <w:bCs/>
                <w:color w:val="auto"/>
                <w:spacing w:val="-10"/>
                <w:sz w:val="28"/>
                <w:szCs w:val="28"/>
                <w:u w:val="none" w:color="auto"/>
                <w:lang w:val="en-US" w:eastAsia="zh-CN"/>
              </w:rPr>
              <w:t xml:space="preserve">  → </w:t>
            </w:r>
            <w:r>
              <w:rPr>
                <w:rFonts w:hint="eastAsia" w:ascii="Times New Roman" w:hAnsi="Times New Roman" w:eastAsia="宋体" w:cs="Times New Roman"/>
                <w:bCs/>
                <w:color w:val="auto"/>
                <w:spacing w:val="-10"/>
                <w:sz w:val="24"/>
                <w:szCs w:val="24"/>
                <w:u w:val="none" w:color="auto"/>
                <w:bdr w:val="single" w:color="auto" w:sz="4" w:space="0"/>
                <w:lang w:val="en-US" w:eastAsia="zh-CN"/>
              </w:rPr>
              <w:t xml:space="preserve">好氧池  </w:t>
            </w:r>
            <w:r>
              <w:rPr>
                <w:rFonts w:hint="eastAsia" w:ascii="Times New Roman" w:hAnsi="Times New Roman" w:eastAsia="宋体" w:cs="Times New Roman"/>
                <w:bCs/>
                <w:color w:val="auto"/>
                <w:spacing w:val="-10"/>
                <w:sz w:val="24"/>
                <w:szCs w:val="24"/>
                <w:u w:val="none" w:color="auto"/>
                <w:lang w:val="en-US" w:eastAsia="zh-CN"/>
              </w:rPr>
              <w:t xml:space="preserve"> </w:t>
            </w:r>
            <w:r>
              <w:rPr>
                <w:rFonts w:hint="eastAsia" w:ascii="Times New Roman" w:hAnsi="Times New Roman" w:eastAsia="宋体" w:cs="Times New Roman"/>
                <w:bCs/>
                <w:color w:val="auto"/>
                <w:spacing w:val="-10"/>
                <w:sz w:val="28"/>
                <w:szCs w:val="28"/>
                <w:u w:val="none" w:color="auto"/>
                <w:lang w:val="en-US" w:eastAsia="zh-CN"/>
              </w:rPr>
              <w:t xml:space="preserve">→ </w:t>
            </w:r>
            <w:r>
              <w:rPr>
                <w:rFonts w:hint="eastAsia" w:ascii="Times New Roman" w:hAnsi="Times New Roman" w:eastAsia="宋体" w:cs="Times New Roman"/>
                <w:bCs/>
                <w:color w:val="auto"/>
                <w:spacing w:val="-10"/>
                <w:sz w:val="24"/>
                <w:szCs w:val="24"/>
                <w:u w:val="none" w:color="auto"/>
                <w:bdr w:val="single" w:color="auto" w:sz="4" w:space="0"/>
                <w:lang w:val="en-US" w:eastAsia="zh-CN"/>
              </w:rPr>
              <w:t xml:space="preserve">沉淀池  </w:t>
            </w:r>
            <w:r>
              <w:rPr>
                <w:rFonts w:hint="eastAsia" w:ascii="Times New Roman" w:hAnsi="Times New Roman" w:eastAsia="宋体" w:cs="Times New Roman"/>
                <w:bCs/>
                <w:color w:val="auto"/>
                <w:spacing w:val="-10"/>
                <w:sz w:val="24"/>
                <w:szCs w:val="24"/>
                <w:u w:val="none" w:color="auto"/>
                <w:lang w:val="en-US" w:eastAsia="zh-CN"/>
              </w:rPr>
              <w:t xml:space="preserve"> </w:t>
            </w:r>
            <w:r>
              <w:rPr>
                <w:rFonts w:hint="eastAsia" w:ascii="Times New Roman" w:hAnsi="Times New Roman" w:eastAsia="宋体" w:cs="Times New Roman"/>
                <w:bCs/>
                <w:color w:val="auto"/>
                <w:spacing w:val="-10"/>
                <w:sz w:val="28"/>
                <w:szCs w:val="28"/>
                <w:u w:val="none" w:color="auto"/>
                <w:lang w:val="en-US" w:eastAsia="zh-CN"/>
              </w:rPr>
              <w:t xml:space="preserve">→ </w:t>
            </w:r>
            <w:r>
              <w:rPr>
                <w:rFonts w:hint="eastAsia" w:ascii="Times New Roman" w:hAnsi="Times New Roman" w:eastAsia="宋体" w:cs="Times New Roman"/>
                <w:bCs/>
                <w:color w:val="auto"/>
                <w:spacing w:val="-10"/>
                <w:sz w:val="24"/>
                <w:szCs w:val="24"/>
                <w:u w:val="none" w:color="auto"/>
                <w:bdr w:val="single" w:color="auto" w:sz="4" w:space="0"/>
                <w:lang w:val="en-US" w:eastAsia="zh-CN"/>
              </w:rPr>
              <w:t xml:space="preserve">消毒池  </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Cs/>
                <w:color w:val="auto"/>
                <w:spacing w:val="-10"/>
                <w:sz w:val="24"/>
                <w:szCs w:val="24"/>
                <w:u w:val="none" w:color="auto"/>
              </w:rPr>
            </w:pPr>
            <w:r>
              <w:rPr>
                <w:rFonts w:hint="default" w:ascii="Times New Roman" w:hAnsi="Times New Roman" w:eastAsia="宋体" w:cs="Times New Roman"/>
                <w:bCs/>
                <w:color w:val="auto"/>
                <w:spacing w:val="-10"/>
                <w:sz w:val="24"/>
                <w:szCs w:val="24"/>
                <w:u w:val="none" w:color="auto"/>
              </w:rPr>
              <w:t>图4-2污水处理工艺流程图</w:t>
            </w:r>
          </w:p>
          <w:p>
            <w:pPr>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pacing w:val="-8"/>
                <w:sz w:val="24"/>
                <w:szCs w:val="24"/>
                <w:u w:val="none" w:color="auto"/>
              </w:rPr>
              <w:t>调节池：医疗</w:t>
            </w:r>
            <w:r>
              <w:rPr>
                <w:rFonts w:hint="default" w:ascii="Times New Roman" w:hAnsi="Times New Roman" w:eastAsia="宋体" w:cs="Times New Roman"/>
                <w:bCs/>
                <w:color w:val="auto"/>
                <w:spacing w:val="-10"/>
                <w:sz w:val="24"/>
                <w:szCs w:val="24"/>
                <w:u w:val="none" w:color="auto"/>
              </w:rPr>
              <w:t>废水</w:t>
            </w:r>
            <w:r>
              <w:rPr>
                <w:rFonts w:hint="default" w:ascii="Times New Roman" w:hAnsi="Times New Roman" w:eastAsia="宋体" w:cs="Times New Roman"/>
                <w:color w:val="auto"/>
                <w:spacing w:val="-8"/>
                <w:sz w:val="24"/>
                <w:szCs w:val="24"/>
                <w:u w:val="none" w:color="auto"/>
              </w:rPr>
              <w:t>进入调节池进行水量、水质、pH</w:t>
            </w:r>
            <w:r>
              <w:rPr>
                <w:rFonts w:hint="default" w:ascii="Times New Roman" w:hAnsi="Times New Roman" w:eastAsia="宋体" w:cs="Times New Roman"/>
                <w:color w:val="auto"/>
                <w:sz w:val="24"/>
                <w:szCs w:val="24"/>
                <w:u w:val="none" w:color="auto"/>
              </w:rPr>
              <w:t>值的调节均化，保证后续生化处理系统水量、水质、pH值的均衡、稳定。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厌氧</w:t>
            </w:r>
            <w:r>
              <w:rPr>
                <w:rFonts w:hint="default" w:ascii="Times New Roman" w:hAnsi="Times New Roman" w:eastAsia="宋体" w:cs="Times New Roman"/>
                <w:color w:val="auto"/>
                <w:sz w:val="24"/>
                <w:szCs w:val="24"/>
                <w:u w:val="none" w:color="auto"/>
              </w:rPr>
              <w:t>池：充分利用池内高效生物填料作为细菌载体，靠兼氧微生物将污水中难溶解有机物转化为可溶解性有机物，将大分子有机物水解成小分子有机物，以利于后续O级生物处理池进一步氧化分解，同时通过回流的硝态氮在硝化菌的作用下，可进行部分硝化和反硝化，去除氨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好氧池</w:t>
            </w:r>
            <w:r>
              <w:rPr>
                <w:rFonts w:hint="default" w:ascii="Times New Roman" w:hAnsi="Times New Roman" w:eastAsia="宋体" w:cs="Times New Roman"/>
                <w:color w:val="auto"/>
                <w:sz w:val="24"/>
                <w:szCs w:val="24"/>
                <w:u w:val="none" w:color="auto"/>
              </w:rPr>
              <w:t>：污水自流至生物池进行生化处理，生物池分为三级，停留时间为8h，填料为新型弹性填料，易结膜，不堵塞。好氧池内设微孔曝气，由风机向水中充氧，池内充氧良好，溶解氧控制在2.5mg/L。</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pacing w:val="-2"/>
                <w:sz w:val="24"/>
                <w:szCs w:val="24"/>
                <w:u w:val="none" w:color="auto"/>
              </w:rPr>
              <w:t>沉淀池：生化后的污水流到沉淀池</w:t>
            </w:r>
            <w:r>
              <w:rPr>
                <w:rFonts w:hint="default" w:ascii="Times New Roman" w:hAnsi="Times New Roman" w:eastAsia="宋体" w:cs="Times New Roman"/>
                <w:color w:val="auto"/>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消毒池：消毒池内设置导流管，避免污水短流，消毒采用</w:t>
            </w:r>
            <w:r>
              <w:rPr>
                <w:rFonts w:hint="eastAsia" w:ascii="Times New Roman" w:hAnsi="Times New Roman" w:eastAsia="宋体" w:cs="Times New Roman"/>
                <w:color w:val="auto"/>
                <w:sz w:val="24"/>
                <w:szCs w:val="24"/>
                <w:u w:val="none" w:color="auto"/>
                <w:lang w:val="en-US" w:eastAsia="zh-CN"/>
              </w:rPr>
              <w:t>自动</w:t>
            </w:r>
            <w:r>
              <w:rPr>
                <w:rFonts w:hint="default" w:ascii="Times New Roman" w:hAnsi="Times New Roman" w:eastAsia="宋体" w:cs="Times New Roman"/>
                <w:color w:val="auto"/>
                <w:sz w:val="24"/>
                <w:szCs w:val="24"/>
                <w:u w:val="none" w:color="auto"/>
              </w:rPr>
              <w:t>投加消毒液剂，每天或每周（根据实际用量）由人工将消毒药剂</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lang w:val="en-US" w:eastAsia="zh-CN"/>
              </w:rPr>
              <w:t>二氧化氯</w:t>
            </w:r>
            <w:r>
              <w:rPr>
                <w:rFonts w:hint="eastAsia"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投加到消毒装置内。</w:t>
            </w:r>
            <w:r>
              <w:rPr>
                <w:rFonts w:hint="eastAsia" w:ascii="Times New Roman" w:hAnsi="Times New Roman" w:eastAsia="宋体" w:cs="Times New Roman"/>
                <w:color w:val="auto"/>
                <w:sz w:val="24"/>
                <w:szCs w:val="24"/>
                <w:u w:val="none" w:color="auto"/>
                <w:lang w:val="en-US" w:eastAsia="zh-CN"/>
              </w:rPr>
              <w:t>本项目使用的二氧化氯消毒剂具有强烈的氧化作用，不产生有机氯化物（THMs），投放简单方便，不受pH影响的优点。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医院废水污染物产排情况见表4-</w:t>
            </w:r>
            <w:r>
              <w:rPr>
                <w:rFonts w:hint="eastAsia" w:cs="Times New Roman"/>
                <w:color w:val="auto"/>
                <w:sz w:val="24"/>
                <w:szCs w:val="24"/>
                <w:u w:val="none" w:color="auto"/>
                <w:lang w:val="en-US" w:eastAsia="zh-CN"/>
              </w:rPr>
              <w:t>4</w:t>
            </w:r>
            <w:r>
              <w:rPr>
                <w:rFonts w:hint="default" w:ascii="Times New Roman" w:hAnsi="Times New Roman" w:eastAsia="宋体" w:cs="Times New Roman"/>
                <w:color w:val="auto"/>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表4-</w:t>
            </w:r>
            <w:r>
              <w:rPr>
                <w:rFonts w:hint="eastAsia" w:cs="Times New Roman"/>
                <w:color w:val="auto"/>
                <w:sz w:val="24"/>
                <w:szCs w:val="24"/>
                <w:highlight w:val="none"/>
                <w:u w:val="none" w:color="auto"/>
                <w:lang w:val="en-US" w:eastAsia="zh-CN"/>
              </w:rPr>
              <w:t>4</w:t>
            </w:r>
            <w:r>
              <w:rPr>
                <w:rFonts w:hint="eastAsia" w:ascii="Times New Roman" w:hAnsi="Times New Roman" w:eastAsia="宋体" w:cs="Times New Roman"/>
                <w:color w:val="auto"/>
                <w:sz w:val="24"/>
                <w:szCs w:val="24"/>
                <w:highlight w:val="none"/>
                <w:u w:val="none" w:color="auto"/>
                <w:lang w:val="en-US" w:eastAsia="zh-CN"/>
              </w:rPr>
              <w:t>医院</w:t>
            </w:r>
            <w:r>
              <w:rPr>
                <w:rFonts w:hint="default" w:ascii="Times New Roman" w:hAnsi="Times New Roman" w:eastAsia="宋体" w:cs="Times New Roman"/>
                <w:color w:val="auto"/>
                <w:sz w:val="24"/>
                <w:szCs w:val="24"/>
                <w:highlight w:val="none"/>
                <w:u w:val="none" w:color="auto"/>
              </w:rPr>
              <w:t>废水主要污染物因子产排污情况一览表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4"/>
              <w:gridCol w:w="984"/>
              <w:gridCol w:w="1250"/>
              <w:gridCol w:w="1400"/>
              <w:gridCol w:w="1004"/>
              <w:gridCol w:w="1027"/>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1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污染物种类</w:t>
                  </w:r>
                </w:p>
              </w:tc>
              <w:tc>
                <w:tcPr>
                  <w:tcW w:w="98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废水总量</w:t>
                  </w:r>
                </w:p>
              </w:tc>
              <w:tc>
                <w:tcPr>
                  <w:tcW w:w="12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产生浓度</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产生量</w:t>
                  </w:r>
                </w:p>
              </w:tc>
              <w:tc>
                <w:tcPr>
                  <w:tcW w:w="10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处理效率</w:t>
                  </w:r>
                </w:p>
              </w:tc>
              <w:tc>
                <w:tcPr>
                  <w:tcW w:w="102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排放浓度</w:t>
                  </w:r>
                </w:p>
              </w:tc>
              <w:tc>
                <w:tcPr>
                  <w:tcW w:w="117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COD</w:t>
                  </w:r>
                  <w:r>
                    <w:rPr>
                      <w:rFonts w:hint="eastAsia" w:ascii="Times New Roman" w:hAnsi="Times New Roman" w:eastAsia="宋体" w:cs="Times New Roman"/>
                      <w:bCs/>
                      <w:color w:val="auto"/>
                      <w:spacing w:val="-10"/>
                      <w:sz w:val="21"/>
                      <w:szCs w:val="21"/>
                      <w:highlight w:val="none"/>
                      <w:u w:val="none" w:color="auto"/>
                      <w:vertAlign w:val="subscript"/>
                      <w:lang w:val="en-US" w:eastAsia="zh-CN"/>
                    </w:rPr>
                    <w:t>Cr</w:t>
                  </w:r>
                </w:p>
              </w:tc>
              <w:tc>
                <w:tcPr>
                  <w:tcW w:w="98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cs="Times New Roman"/>
                      <w:bCs/>
                      <w:color w:val="auto"/>
                      <w:spacing w:val="-10"/>
                      <w:sz w:val="21"/>
                      <w:szCs w:val="21"/>
                      <w:highlight w:val="none"/>
                      <w:u w:val="none" w:color="auto"/>
                      <w:vertAlign w:val="baseline"/>
                      <w:lang w:val="en-US" w:eastAsia="zh-CN"/>
                    </w:rPr>
                    <w:t>6461.23</w:t>
                  </w:r>
                  <w:r>
                    <w:rPr>
                      <w:rFonts w:hint="eastAsia" w:ascii="Times New Roman" w:hAnsi="Times New Roman" w:eastAsia="宋体" w:cs="Times New Roman"/>
                      <w:bCs/>
                      <w:color w:val="auto"/>
                      <w:spacing w:val="-10"/>
                      <w:sz w:val="21"/>
                      <w:szCs w:val="21"/>
                      <w:highlight w:val="none"/>
                      <w:u w:val="none" w:color="auto"/>
                      <w:vertAlign w:val="baseline"/>
                      <w:lang w:val="en-US" w:eastAsia="zh-CN"/>
                    </w:rPr>
                    <w:t>t/a</w:t>
                  </w:r>
                </w:p>
              </w:tc>
              <w:tc>
                <w:tcPr>
                  <w:tcW w:w="12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u w:val="none" w:color="auto"/>
                      <w:vertAlign w:val="baseline"/>
                      <w:lang w:val="en-US" w:eastAsia="zh-CN" w:bidi="ar-SA"/>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250mg/L</w:t>
                  </w:r>
                </w:p>
              </w:tc>
              <w:tc>
                <w:tcPr>
                  <w:tcW w:w="1400"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1.61t/a</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02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220mg/L</w:t>
                  </w:r>
                </w:p>
              </w:tc>
              <w:tc>
                <w:tcPr>
                  <w:tcW w:w="1177"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1.42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BOD</w:t>
                  </w:r>
                  <w:r>
                    <w:rPr>
                      <w:rFonts w:hint="eastAsia" w:ascii="Times New Roman" w:hAnsi="Times New Roman" w:eastAsia="宋体" w:cs="Times New Roman"/>
                      <w:bCs/>
                      <w:color w:val="auto"/>
                      <w:spacing w:val="-10"/>
                      <w:sz w:val="21"/>
                      <w:szCs w:val="21"/>
                      <w:highlight w:val="none"/>
                      <w:u w:val="none" w:color="auto"/>
                      <w:vertAlign w:val="subscript"/>
                      <w:lang w:val="en-US" w:eastAsia="zh-CN"/>
                    </w:rPr>
                    <w:t>5</w:t>
                  </w:r>
                </w:p>
              </w:tc>
              <w:tc>
                <w:tcPr>
                  <w:tcW w:w="98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p>
              </w:tc>
              <w:tc>
                <w:tcPr>
                  <w:tcW w:w="12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u w:val="none" w:color="auto"/>
                      <w:vertAlign w:val="baseline"/>
                      <w:lang w:val="en-US" w:eastAsia="zh-CN" w:bidi="ar-SA"/>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130mg/L</w:t>
                  </w:r>
                </w:p>
              </w:tc>
              <w:tc>
                <w:tcPr>
                  <w:tcW w:w="1400"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0.84t/a</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23%</w:t>
                  </w:r>
                </w:p>
              </w:tc>
              <w:tc>
                <w:tcPr>
                  <w:tcW w:w="102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100mg/L</w:t>
                  </w:r>
                </w:p>
              </w:tc>
              <w:tc>
                <w:tcPr>
                  <w:tcW w:w="1177"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0.65t/a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SS</w:t>
                  </w:r>
                </w:p>
              </w:tc>
              <w:tc>
                <w:tcPr>
                  <w:tcW w:w="98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p>
              </w:tc>
              <w:tc>
                <w:tcPr>
                  <w:tcW w:w="12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u w:val="none" w:color="auto"/>
                      <w:vertAlign w:val="baseline"/>
                      <w:lang w:val="en-US" w:eastAsia="zh-CN" w:bidi="ar-SA"/>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80mg/L</w:t>
                  </w:r>
                </w:p>
              </w:tc>
              <w:tc>
                <w:tcPr>
                  <w:tcW w:w="1400"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0.52t/a</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02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60mg/L</w:t>
                  </w:r>
                </w:p>
              </w:tc>
              <w:tc>
                <w:tcPr>
                  <w:tcW w:w="1177"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0.39t/a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氨氮</w:t>
                  </w:r>
                </w:p>
              </w:tc>
              <w:tc>
                <w:tcPr>
                  <w:tcW w:w="98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p>
              </w:tc>
              <w:tc>
                <w:tcPr>
                  <w:tcW w:w="12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u w:val="none" w:color="auto"/>
                      <w:vertAlign w:val="baseline"/>
                      <w:lang w:val="en-US" w:eastAsia="zh-CN" w:bidi="ar-SA"/>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40mg/L</w:t>
                  </w:r>
                </w:p>
              </w:tc>
              <w:tc>
                <w:tcPr>
                  <w:tcW w:w="1400"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0.26t/a</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12.50%</w:t>
                  </w:r>
                </w:p>
              </w:tc>
              <w:tc>
                <w:tcPr>
                  <w:tcW w:w="102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35mg/L</w:t>
                  </w:r>
                </w:p>
              </w:tc>
              <w:tc>
                <w:tcPr>
                  <w:tcW w:w="1177"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0.23t/a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粪大肠菌群</w:t>
                  </w:r>
                </w:p>
              </w:tc>
              <w:tc>
                <w:tcPr>
                  <w:tcW w:w="98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p>
              </w:tc>
              <w:tc>
                <w:tcPr>
                  <w:tcW w:w="12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highlight w:val="none"/>
                      <w:u w:val="none" w:color="auto"/>
                      <w:vertAlign w:val="baseline"/>
                      <w:lang w:val="en-US" w:eastAsia="zh-CN" w:bidi="ar-SA"/>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1.6×10</w:t>
                  </w:r>
                  <w:r>
                    <w:rPr>
                      <w:rFonts w:hint="eastAsia" w:ascii="Times New Roman" w:hAnsi="Times New Roman" w:eastAsia="宋体" w:cs="Times New Roman"/>
                      <w:bCs/>
                      <w:color w:val="auto"/>
                      <w:spacing w:val="-10"/>
                      <w:sz w:val="21"/>
                      <w:szCs w:val="21"/>
                      <w:highlight w:val="none"/>
                      <w:u w:val="none" w:color="auto"/>
                      <w:vertAlign w:val="superscript"/>
                      <w:lang w:val="en-US" w:eastAsia="zh-CN"/>
                    </w:rPr>
                    <w:t>8</w:t>
                  </w:r>
                  <w:r>
                    <w:rPr>
                      <w:rFonts w:hint="eastAsia" w:ascii="Times New Roman" w:hAnsi="Times New Roman" w:eastAsia="宋体" w:cs="Times New Roman"/>
                      <w:bCs/>
                      <w:color w:val="auto"/>
                      <w:spacing w:val="-10"/>
                      <w:sz w:val="21"/>
                      <w:szCs w:val="21"/>
                      <w:highlight w:val="none"/>
                      <w:u w:val="none" w:color="auto"/>
                      <w:vertAlign w:val="baseline"/>
                      <w:lang w:val="en-US" w:eastAsia="zh-CN"/>
                    </w:rPr>
                    <w:t>个/L</w:t>
                  </w:r>
                </w:p>
              </w:tc>
              <w:tc>
                <w:tcPr>
                  <w:tcW w:w="1400" w:type="dxa"/>
                  <w:noWrap w:val="0"/>
                  <w:vAlign w:val="center"/>
                </w:tcPr>
                <w:p>
                  <w:pPr>
                    <w:keepNext w:val="0"/>
                    <w:keepLines w:val="0"/>
                    <w:widowControl/>
                    <w:suppressLineNumbers w:val="0"/>
                    <w:jc w:val="center"/>
                    <w:textAlignment w:val="center"/>
                    <w:rPr>
                      <w:rFonts w:hint="eastAsia" w:ascii="Times New Roman" w:hAnsi="Times New Roman" w:eastAsia="宋体" w:cs="Times New Roman"/>
                      <w:bCs/>
                      <w:color w:val="auto"/>
                      <w:spacing w:val="-10"/>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r>
                    <w:rPr>
                      <w:rStyle w:val="53"/>
                      <w:color w:val="auto"/>
                      <w:lang w:val="en-US" w:eastAsia="zh-CN" w:bidi="ar"/>
                    </w:rPr>
                    <w:t>×</w:t>
                  </w:r>
                  <w:r>
                    <w:rPr>
                      <w:rStyle w:val="54"/>
                      <w:rFonts w:eastAsia="宋体"/>
                      <w:color w:val="auto"/>
                      <w:lang w:val="en-US" w:eastAsia="zh-CN" w:bidi="ar"/>
                    </w:rPr>
                    <w:t>10</w:t>
                  </w:r>
                  <w:r>
                    <w:rPr>
                      <w:rFonts w:hint="default" w:ascii="Times New Roman" w:hAnsi="Times New Roman" w:eastAsia="宋体" w:cs="Times New Roman"/>
                      <w:i w:val="0"/>
                      <w:iCs w:val="0"/>
                      <w:color w:val="auto"/>
                      <w:kern w:val="0"/>
                      <w:sz w:val="21"/>
                      <w:szCs w:val="21"/>
                      <w:u w:val="none"/>
                      <w:vertAlign w:val="superscript"/>
                      <w:lang w:val="en-US" w:eastAsia="zh-CN" w:bidi="ar"/>
                    </w:rPr>
                    <w:t>1</w:t>
                  </w:r>
                  <w:r>
                    <w:rPr>
                      <w:rFonts w:hint="eastAsia" w:cs="Times New Roman"/>
                      <w:i w:val="0"/>
                      <w:iCs w:val="0"/>
                      <w:color w:val="auto"/>
                      <w:kern w:val="0"/>
                      <w:sz w:val="21"/>
                      <w:szCs w:val="21"/>
                      <w:u w:val="none"/>
                      <w:vertAlign w:val="superscript"/>
                      <w:lang w:val="en-US" w:eastAsia="zh-CN" w:bidi="ar"/>
                    </w:rPr>
                    <w:t>5</w:t>
                  </w:r>
                  <w:r>
                    <w:rPr>
                      <w:rStyle w:val="53"/>
                      <w:color w:val="auto"/>
                      <w:lang w:val="en-US" w:eastAsia="zh-CN" w:bidi="ar"/>
                    </w:rPr>
                    <w:t>个</w:t>
                  </w:r>
                  <w:r>
                    <w:rPr>
                      <w:rStyle w:val="54"/>
                      <w:rFonts w:eastAsia="宋体"/>
                      <w:color w:val="auto"/>
                      <w:lang w:val="en-US" w:eastAsia="zh-CN" w:bidi="ar"/>
                    </w:rPr>
                    <w:t>/a</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99.99%</w:t>
                  </w:r>
                </w:p>
              </w:tc>
              <w:tc>
                <w:tcPr>
                  <w:tcW w:w="102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5000</w:t>
                  </w:r>
                  <w:r>
                    <w:rPr>
                      <w:rStyle w:val="53"/>
                      <w:color w:val="auto"/>
                      <w:lang w:val="en-US" w:eastAsia="zh-CN" w:bidi="ar"/>
                    </w:rPr>
                    <w:t>个</w:t>
                  </w:r>
                  <w:r>
                    <w:rPr>
                      <w:rStyle w:val="54"/>
                      <w:rFonts w:eastAsia="宋体"/>
                      <w:color w:val="auto"/>
                      <w:lang w:val="en-US" w:eastAsia="zh-CN" w:bidi="ar"/>
                    </w:rPr>
                    <w:t>/L</w:t>
                  </w:r>
                </w:p>
              </w:tc>
              <w:tc>
                <w:tcPr>
                  <w:tcW w:w="1177" w:type="dxa"/>
                  <w:noWrap w:val="0"/>
                  <w:vAlign w:val="center"/>
                </w:tcPr>
                <w:p>
                  <w:pPr>
                    <w:keepNext w:val="0"/>
                    <w:keepLines w:val="0"/>
                    <w:widowControl/>
                    <w:suppressLineNumbers w:val="0"/>
                    <w:jc w:val="center"/>
                    <w:textAlignment w:val="center"/>
                    <w:rPr>
                      <w:rFonts w:hint="eastAsia"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3.2</w:t>
                  </w:r>
                  <w:r>
                    <w:rPr>
                      <w:rStyle w:val="53"/>
                      <w:color w:val="auto"/>
                      <w:lang w:val="en-US" w:eastAsia="zh-CN" w:bidi="ar"/>
                    </w:rPr>
                    <w:t>×</w:t>
                  </w:r>
                  <w:r>
                    <w:rPr>
                      <w:rStyle w:val="54"/>
                      <w:rFonts w:eastAsia="宋体"/>
                      <w:color w:val="auto"/>
                      <w:lang w:val="en-US" w:eastAsia="zh-CN" w:bidi="ar"/>
                    </w:rPr>
                    <w:t>10</w:t>
                  </w:r>
                  <w:r>
                    <w:rPr>
                      <w:rFonts w:hint="default" w:ascii="Times New Roman" w:hAnsi="Times New Roman" w:eastAsia="宋体" w:cs="Times New Roman"/>
                      <w:i w:val="0"/>
                      <w:iCs w:val="0"/>
                      <w:color w:val="auto"/>
                      <w:kern w:val="0"/>
                      <w:sz w:val="21"/>
                      <w:szCs w:val="21"/>
                      <w:u w:val="none"/>
                      <w:vertAlign w:val="superscript"/>
                      <w:lang w:val="en-US" w:eastAsia="zh-CN" w:bidi="ar"/>
                    </w:rPr>
                    <w:t>7</w:t>
                  </w:r>
                  <w:r>
                    <w:rPr>
                      <w:rStyle w:val="53"/>
                      <w:color w:val="auto"/>
                      <w:lang w:val="en-US" w:eastAsia="zh-CN" w:bidi="ar"/>
                    </w:rPr>
                    <w:t>个</w:t>
                  </w:r>
                  <w:r>
                    <w:rPr>
                      <w:rStyle w:val="54"/>
                      <w:rFonts w:eastAsia="宋体"/>
                      <w:color w:val="auto"/>
                      <w:lang w:val="en-US" w:eastAsia="zh-CN" w:bidi="ar"/>
                    </w:rPr>
                    <w:t>/a</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highlight w:val="none"/>
                <w:u w:val="none" w:color="auto"/>
                <w:lang w:val="en-US" w:eastAsia="zh-CN"/>
              </w:rPr>
            </w:pPr>
            <w:r>
              <w:rPr>
                <w:rFonts w:hint="eastAsia" w:ascii="Times New Roman" w:hAnsi="Times New Roman" w:eastAsia="宋体" w:cs="Times New Roman"/>
                <w:b/>
                <w:bCs/>
                <w:color w:val="auto"/>
                <w:kern w:val="0"/>
                <w:sz w:val="24"/>
                <w:szCs w:val="24"/>
                <w:highlight w:val="none"/>
                <w:u w:val="none" w:color="auto"/>
                <w:lang w:eastAsia="zh-CN"/>
              </w:rPr>
              <w:t>（</w:t>
            </w:r>
            <w:r>
              <w:rPr>
                <w:rFonts w:hint="eastAsia" w:ascii="Times New Roman" w:hAnsi="Times New Roman" w:eastAsia="宋体" w:cs="Times New Roman"/>
                <w:b/>
                <w:bCs/>
                <w:color w:val="auto"/>
                <w:kern w:val="0"/>
                <w:sz w:val="24"/>
                <w:szCs w:val="24"/>
                <w:highlight w:val="none"/>
                <w:u w:val="none" w:color="auto"/>
                <w:lang w:val="en-US" w:eastAsia="zh-CN"/>
              </w:rPr>
              <w:t>2</w:t>
            </w:r>
            <w:r>
              <w:rPr>
                <w:rFonts w:hint="eastAsia" w:ascii="Times New Roman" w:hAnsi="Times New Roman" w:eastAsia="宋体" w:cs="Times New Roman"/>
                <w:b/>
                <w:bCs/>
                <w:color w:val="auto"/>
                <w:kern w:val="0"/>
                <w:sz w:val="24"/>
                <w:szCs w:val="24"/>
                <w:highlight w:val="none"/>
                <w:u w:val="none" w:color="auto"/>
                <w:lang w:eastAsia="zh-CN"/>
              </w:rPr>
              <w:t>）</w:t>
            </w:r>
            <w:r>
              <w:rPr>
                <w:rFonts w:hint="default" w:ascii="Times New Roman" w:hAnsi="Times New Roman" w:eastAsia="宋体" w:cs="Times New Roman"/>
                <w:b/>
                <w:bCs/>
                <w:color w:val="auto"/>
                <w:kern w:val="0"/>
                <w:sz w:val="24"/>
                <w:szCs w:val="24"/>
                <w:highlight w:val="none"/>
                <w:u w:val="none" w:color="auto"/>
              </w:rPr>
              <w:t>废水产生</w:t>
            </w:r>
            <w:r>
              <w:rPr>
                <w:rFonts w:hint="eastAsia" w:ascii="Times New Roman" w:hAnsi="Times New Roman" w:eastAsia="宋体" w:cs="Times New Roman"/>
                <w:b/>
                <w:bCs/>
                <w:color w:val="auto"/>
                <w:kern w:val="0"/>
                <w:sz w:val="24"/>
                <w:szCs w:val="24"/>
                <w:highlight w:val="none"/>
                <w:u w:val="none" w:color="auto"/>
                <w:lang w:val="en-US" w:eastAsia="zh-CN"/>
              </w:rPr>
              <w:t>及排放实际监测情况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lang w:val="en-US" w:eastAsia="zh-CN"/>
              </w:rPr>
              <w:t>根据湖南山水检测</w:t>
            </w:r>
            <w:r>
              <w:rPr>
                <w:rFonts w:hint="default" w:ascii="Times New Roman" w:hAnsi="Times New Roman" w:eastAsia="宋体" w:cs="Times New Roman"/>
                <w:color w:val="auto"/>
                <w:sz w:val="24"/>
                <w:szCs w:val="24"/>
                <w:highlight w:val="none"/>
                <w:u w:val="none" w:color="auto"/>
              </w:rPr>
              <w:t>有限公司</w:t>
            </w:r>
            <w:r>
              <w:rPr>
                <w:rFonts w:hint="eastAsia" w:ascii="Times New Roman" w:hAnsi="Times New Roman" w:eastAsia="宋体" w:cs="Times New Roman"/>
                <w:color w:val="auto"/>
                <w:sz w:val="24"/>
                <w:szCs w:val="24"/>
                <w:highlight w:val="none"/>
                <w:u w:val="none" w:color="auto"/>
                <w:lang w:val="en-US" w:eastAsia="zh-CN"/>
              </w:rPr>
              <w:t>于</w:t>
            </w:r>
            <w:r>
              <w:rPr>
                <w:rFonts w:hint="default" w:ascii="Times New Roman" w:hAnsi="Times New Roman" w:eastAsia="宋体" w:cs="Times New Roman"/>
                <w:color w:val="auto"/>
                <w:sz w:val="24"/>
                <w:szCs w:val="24"/>
                <w:highlight w:val="none"/>
                <w:u w:val="none" w:color="auto"/>
              </w:rPr>
              <w:t>202</w:t>
            </w:r>
            <w:r>
              <w:rPr>
                <w:rFonts w:hint="eastAsia" w:ascii="Times New Roman" w:hAnsi="Times New Roman" w:eastAsia="宋体" w:cs="Times New Roman"/>
                <w:color w:val="auto"/>
                <w:sz w:val="24"/>
                <w:szCs w:val="24"/>
                <w:highlight w:val="none"/>
                <w:u w:val="none" w:color="auto"/>
                <w:lang w:val="en-US" w:eastAsia="zh-CN"/>
              </w:rPr>
              <w:t>3</w:t>
            </w:r>
            <w:r>
              <w:rPr>
                <w:rFonts w:hint="default" w:ascii="Times New Roman" w:hAnsi="Times New Roman" w:eastAsia="宋体" w:cs="Times New Roman"/>
                <w:color w:val="auto"/>
                <w:sz w:val="24"/>
                <w:szCs w:val="24"/>
                <w:highlight w:val="none"/>
                <w:u w:val="none" w:color="auto"/>
              </w:rPr>
              <w:t>年月</w:t>
            </w:r>
            <w:r>
              <w:rPr>
                <w:rFonts w:hint="eastAsia" w:ascii="Times New Roman" w:hAnsi="Times New Roman" w:eastAsia="宋体" w:cs="Times New Roman"/>
                <w:color w:val="auto"/>
                <w:sz w:val="24"/>
                <w:szCs w:val="24"/>
                <w:highlight w:val="none"/>
                <w:u w:val="none" w:color="auto"/>
                <w:lang w:val="en-US" w:eastAsia="zh-CN"/>
              </w:rPr>
              <w:t>10</w:t>
            </w:r>
            <w:r>
              <w:rPr>
                <w:rFonts w:hint="default" w:ascii="Times New Roman" w:hAnsi="Times New Roman" w:eastAsia="宋体" w:cs="Times New Roman"/>
                <w:color w:val="auto"/>
                <w:sz w:val="24"/>
                <w:szCs w:val="24"/>
                <w:highlight w:val="none"/>
                <w:u w:val="none" w:color="auto"/>
              </w:rPr>
              <w:t>日</w:t>
            </w:r>
            <w:r>
              <w:rPr>
                <w:rFonts w:hint="eastAsia" w:ascii="Times New Roman" w:hAnsi="Times New Roman" w:eastAsia="宋体" w:cs="Times New Roman"/>
                <w:color w:val="auto"/>
                <w:sz w:val="24"/>
                <w:szCs w:val="24"/>
                <w:highlight w:val="none"/>
                <w:u w:val="none" w:color="auto"/>
                <w:lang w:val="en-US" w:eastAsia="zh-CN"/>
              </w:rPr>
              <w:t>对</w:t>
            </w:r>
            <w:r>
              <w:rPr>
                <w:rFonts w:hint="default" w:ascii="Times New Roman" w:hAnsi="Times New Roman" w:eastAsia="宋体" w:cs="Times New Roman"/>
                <w:color w:val="auto"/>
                <w:spacing w:val="-2"/>
                <w:sz w:val="24"/>
                <w:szCs w:val="24"/>
                <w:highlight w:val="none"/>
                <w:u w:val="none" w:color="auto"/>
              </w:rPr>
              <w:t>现有</w:t>
            </w:r>
            <w:r>
              <w:rPr>
                <w:rFonts w:hint="eastAsia" w:ascii="Times New Roman" w:hAnsi="Times New Roman" w:eastAsia="宋体" w:cs="Times New Roman"/>
                <w:color w:val="auto"/>
                <w:spacing w:val="-2"/>
                <w:sz w:val="24"/>
                <w:szCs w:val="24"/>
                <w:highlight w:val="none"/>
                <w:u w:val="none" w:color="auto"/>
                <w:lang w:eastAsia="zh-CN"/>
              </w:rPr>
              <w:t>地埋式污水处理系统</w:t>
            </w:r>
            <w:r>
              <w:rPr>
                <w:rFonts w:hint="eastAsia" w:ascii="Times New Roman" w:hAnsi="Times New Roman" w:eastAsia="宋体" w:cs="Times New Roman"/>
                <w:color w:val="auto"/>
                <w:spacing w:val="-2"/>
                <w:sz w:val="24"/>
                <w:szCs w:val="24"/>
                <w:highlight w:val="none"/>
                <w:u w:val="none" w:color="auto"/>
                <w:lang w:val="en-US" w:eastAsia="zh-CN"/>
              </w:rPr>
              <w:t>的</w:t>
            </w:r>
            <w:r>
              <w:rPr>
                <w:rFonts w:hint="default" w:ascii="Times New Roman" w:hAnsi="Times New Roman" w:eastAsia="宋体" w:cs="Times New Roman"/>
                <w:color w:val="auto"/>
                <w:spacing w:val="-2"/>
                <w:sz w:val="24"/>
                <w:szCs w:val="24"/>
                <w:highlight w:val="none"/>
                <w:u w:val="none" w:color="auto"/>
              </w:rPr>
              <w:t>废水</w:t>
            </w:r>
            <w:r>
              <w:rPr>
                <w:rFonts w:hint="eastAsia" w:ascii="Times New Roman" w:hAnsi="Times New Roman" w:eastAsia="宋体" w:cs="Times New Roman"/>
                <w:color w:val="auto"/>
                <w:spacing w:val="-2"/>
                <w:sz w:val="24"/>
                <w:szCs w:val="24"/>
                <w:highlight w:val="none"/>
                <w:u w:val="none" w:color="auto"/>
                <w:lang w:val="en-US" w:eastAsia="zh-CN"/>
              </w:rPr>
              <w:t>进行监测，</w:t>
            </w:r>
            <w:r>
              <w:rPr>
                <w:rFonts w:hint="default" w:ascii="Times New Roman" w:hAnsi="Times New Roman" w:eastAsia="宋体" w:cs="Times New Roman"/>
                <w:color w:val="auto"/>
                <w:spacing w:val="-2"/>
                <w:sz w:val="24"/>
                <w:szCs w:val="24"/>
                <w:highlight w:val="none"/>
                <w:u w:val="none" w:color="auto"/>
              </w:rPr>
              <w:t>监测数据如下：</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表4-</w:t>
            </w:r>
            <w:r>
              <w:rPr>
                <w:rFonts w:hint="eastAsia" w:cs="Times New Roman"/>
                <w:color w:val="auto"/>
                <w:sz w:val="24"/>
                <w:szCs w:val="24"/>
                <w:highlight w:val="none"/>
                <w:u w:val="none" w:color="auto"/>
                <w:lang w:val="en-US" w:eastAsia="zh-CN"/>
              </w:rPr>
              <w:t>5</w:t>
            </w:r>
            <w:r>
              <w:rPr>
                <w:rFonts w:hint="default" w:ascii="Times New Roman" w:hAnsi="Times New Roman" w:eastAsia="宋体" w:cs="Times New Roman"/>
                <w:color w:val="auto"/>
                <w:sz w:val="24"/>
                <w:szCs w:val="24"/>
                <w:highlight w:val="none"/>
                <w:u w:val="none" w:color="auto"/>
              </w:rPr>
              <w:t>现有项目废水主要污染因子排污情况一览表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88"/>
              <w:gridCol w:w="1449"/>
              <w:gridCol w:w="1090"/>
              <w:gridCol w:w="1091"/>
              <w:gridCol w:w="109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采样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日期</w:t>
                  </w:r>
                </w:p>
              </w:tc>
              <w:tc>
                <w:tcPr>
                  <w:tcW w:w="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检测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点位</w:t>
                  </w:r>
                </w:p>
              </w:tc>
              <w:tc>
                <w:tcPr>
                  <w:tcW w:w="9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样品</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状态</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检测指标</w:t>
                  </w:r>
                </w:p>
              </w:tc>
              <w:tc>
                <w:tcPr>
                  <w:tcW w:w="28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检测结果（mg/L，有标注除外）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9月10日</w:t>
                  </w:r>
                </w:p>
              </w:tc>
              <w:tc>
                <w:tcPr>
                  <w:tcW w:w="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废水处理设施进</w:t>
                  </w:r>
                  <w:r>
                    <w:rPr>
                      <w:rFonts w:hint="eastAsia" w:ascii="Times New Roman" w:hAnsi="Times New Roman" w:eastAsia="宋体" w:cs="Times New Roman"/>
                      <w:color w:val="auto"/>
                      <w:sz w:val="21"/>
                      <w:szCs w:val="21"/>
                      <w:highlight w:val="none"/>
                      <w:u w:val="none" w:color="auto"/>
                      <w:vertAlign w:val="baseline"/>
                      <w:lang w:val="en-US" w:eastAsia="zh-CN"/>
                    </w:rPr>
                    <w:t>水</w:t>
                  </w:r>
                  <w:r>
                    <w:rPr>
                      <w:rFonts w:hint="default" w:ascii="Times New Roman" w:hAnsi="Times New Roman" w:eastAsia="宋体" w:cs="Times New Roman"/>
                      <w:color w:val="auto"/>
                      <w:sz w:val="21"/>
                      <w:szCs w:val="21"/>
                      <w:highlight w:val="none"/>
                      <w:u w:val="none" w:color="auto"/>
                      <w:vertAlign w:val="baseline"/>
                    </w:rPr>
                    <w:t>口</w:t>
                  </w:r>
                </w:p>
              </w:tc>
              <w:tc>
                <w:tcPr>
                  <w:tcW w:w="9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淡</w:t>
                  </w:r>
                  <w:r>
                    <w:rPr>
                      <w:rFonts w:hint="default" w:ascii="Times New Roman" w:hAnsi="Times New Roman" w:eastAsia="宋体" w:cs="Times New Roman"/>
                      <w:color w:val="auto"/>
                      <w:sz w:val="21"/>
                      <w:szCs w:val="21"/>
                      <w:highlight w:val="none"/>
                      <w:u w:val="none" w:color="auto"/>
                      <w:vertAlign w:val="baseline"/>
                    </w:rPr>
                    <w:t>黄色、</w:t>
                  </w:r>
                  <w:r>
                    <w:rPr>
                      <w:rFonts w:hint="eastAsia" w:ascii="Times New Roman" w:hAnsi="Times New Roman" w:eastAsia="宋体" w:cs="Times New Roman"/>
                      <w:color w:val="auto"/>
                      <w:sz w:val="21"/>
                      <w:szCs w:val="21"/>
                      <w:highlight w:val="none"/>
                      <w:u w:val="none" w:color="auto"/>
                      <w:vertAlign w:val="baseline"/>
                      <w:lang w:val="en-US" w:eastAsia="zh-CN"/>
                    </w:rPr>
                    <w:t>微</w:t>
                  </w:r>
                  <w:r>
                    <w:rPr>
                      <w:rFonts w:hint="default" w:ascii="Times New Roman" w:hAnsi="Times New Roman" w:eastAsia="宋体" w:cs="Times New Roman"/>
                      <w:color w:val="auto"/>
                      <w:sz w:val="21"/>
                      <w:szCs w:val="21"/>
                      <w:highlight w:val="none"/>
                      <w:u w:val="none" w:color="auto"/>
                      <w:vertAlign w:val="baseline"/>
                    </w:rPr>
                    <w:t>臭</w:t>
                  </w: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少量浮油</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pH</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（无量纲）</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7.15</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7.10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rPr>
                    <w:t>粪大肠菌群</w:t>
                  </w:r>
                  <w:r>
                    <w:rPr>
                      <w:rFonts w:hint="eastAsia" w:ascii="Times New Roman" w:hAnsi="Times New Roman" w:eastAsia="宋体" w:cs="Times New Roman"/>
                      <w:color w:val="auto"/>
                      <w:sz w:val="21"/>
                      <w:szCs w:val="21"/>
                      <w:highlight w:val="none"/>
                      <w:u w:val="none" w:color="auto"/>
                      <w:vertAlign w:val="baseline"/>
                      <w:lang w:eastAsia="zh-CN"/>
                    </w:rPr>
                    <w:t>（MPN/L）</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1400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2200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化学需氧量</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210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212</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五日生化需氧量</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52.5</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53.0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悬浮物</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52</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47</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氨氮</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59.1</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58.2</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9月10日</w:t>
                  </w:r>
                </w:p>
              </w:tc>
              <w:tc>
                <w:tcPr>
                  <w:tcW w:w="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废水处理设施</w:t>
                  </w:r>
                  <w:r>
                    <w:rPr>
                      <w:rFonts w:hint="eastAsia" w:ascii="Times New Roman" w:hAnsi="Times New Roman" w:eastAsia="宋体" w:cs="Times New Roman"/>
                      <w:color w:val="auto"/>
                      <w:sz w:val="21"/>
                      <w:szCs w:val="21"/>
                      <w:highlight w:val="none"/>
                      <w:u w:val="none" w:color="auto"/>
                      <w:vertAlign w:val="baseline"/>
                      <w:lang w:val="en-US" w:eastAsia="zh-CN"/>
                    </w:rPr>
                    <w:t>总排放</w:t>
                  </w:r>
                  <w:r>
                    <w:rPr>
                      <w:rFonts w:hint="default" w:ascii="Times New Roman" w:hAnsi="Times New Roman" w:eastAsia="宋体" w:cs="Times New Roman"/>
                      <w:color w:val="auto"/>
                      <w:sz w:val="21"/>
                      <w:szCs w:val="21"/>
                      <w:highlight w:val="none"/>
                      <w:u w:val="none" w:color="auto"/>
                      <w:vertAlign w:val="baseline"/>
                    </w:rPr>
                    <w:t>口</w:t>
                  </w:r>
                </w:p>
              </w:tc>
              <w:tc>
                <w:tcPr>
                  <w:tcW w:w="9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无</w:t>
                  </w:r>
                  <w:r>
                    <w:rPr>
                      <w:rFonts w:hint="default" w:ascii="Times New Roman" w:hAnsi="Times New Roman" w:eastAsia="宋体" w:cs="Times New Roman"/>
                      <w:color w:val="auto"/>
                      <w:sz w:val="21"/>
                      <w:szCs w:val="21"/>
                      <w:highlight w:val="none"/>
                      <w:u w:val="none" w:color="auto"/>
                      <w:vertAlign w:val="baseline"/>
                    </w:rPr>
                    <w:t>色、</w:t>
                  </w:r>
                  <w:r>
                    <w:rPr>
                      <w:rFonts w:hint="eastAsia" w:ascii="Times New Roman" w:hAnsi="Times New Roman" w:eastAsia="宋体" w:cs="Times New Roman"/>
                      <w:color w:val="auto"/>
                      <w:sz w:val="21"/>
                      <w:szCs w:val="21"/>
                      <w:highlight w:val="none"/>
                      <w:u w:val="none" w:color="auto"/>
                      <w:vertAlign w:val="baseline"/>
                      <w:lang w:val="en-US" w:eastAsia="zh-CN"/>
                    </w:rPr>
                    <w:t>微弱气味</w:t>
                  </w:r>
                  <w:r>
                    <w:rPr>
                      <w:rFonts w:hint="eastAsia" w:ascii="Times New Roman" w:hAnsi="Times New Roman" w:eastAsia="宋体" w:cs="Times New Roman"/>
                      <w:color w:val="auto"/>
                      <w:sz w:val="21"/>
                      <w:szCs w:val="21"/>
                      <w:highlight w:val="none"/>
                      <w:u w:val="none" w:color="auto"/>
                      <w:vertAlign w:val="baseline"/>
                      <w:lang w:eastAsia="zh-CN"/>
                    </w:rPr>
                    <w:t>、</w:t>
                  </w:r>
                  <w:r>
                    <w:rPr>
                      <w:rFonts w:hint="eastAsia" w:ascii="Times New Roman" w:hAnsi="Times New Roman" w:eastAsia="宋体" w:cs="Times New Roman"/>
                      <w:color w:val="auto"/>
                      <w:sz w:val="21"/>
                      <w:szCs w:val="21"/>
                      <w:highlight w:val="none"/>
                      <w:u w:val="none" w:color="auto"/>
                      <w:vertAlign w:val="baseline"/>
                      <w:lang w:val="en-US" w:eastAsia="zh-CN"/>
                    </w:rPr>
                    <w:t>无浮油</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pH</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（无量纲）</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7.70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7.50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粪大肠菌群</w:t>
                  </w:r>
                  <w:r>
                    <w:rPr>
                      <w:rFonts w:hint="eastAsia" w:ascii="Times New Roman" w:hAnsi="Times New Roman" w:eastAsia="宋体" w:cs="Times New Roman"/>
                      <w:color w:val="auto"/>
                      <w:sz w:val="21"/>
                      <w:szCs w:val="21"/>
                      <w:highlight w:val="none"/>
                      <w:u w:val="none" w:color="auto"/>
                      <w:vertAlign w:val="baseline"/>
                      <w:lang w:eastAsia="zh-CN"/>
                    </w:rPr>
                    <w:t>（MPN/L）</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1300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2400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化学需氧量</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29</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32</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五日生化需氧量</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7.2</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8.0</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悬浮物</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18</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17</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default" w:ascii="Times New Roman" w:hAnsi="Times New Roman" w:eastAsia="宋体" w:cs="Times New Roman"/>
                      <w:color w:val="auto"/>
                      <w:sz w:val="21"/>
                      <w:szCs w:val="21"/>
                      <w:highlight w:val="none"/>
                      <w:u w:val="none" w:color="auto"/>
                      <w:vertAlign w:val="baseline"/>
                    </w:rPr>
                    <w:t>氨氮</w:t>
                  </w:r>
                </w:p>
              </w:tc>
              <w:tc>
                <w:tcPr>
                  <w:tcW w:w="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14.7</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7.33</w:t>
                  </w:r>
                </w:p>
              </w:tc>
              <w:tc>
                <w:tcPr>
                  <w:tcW w:w="9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10.2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rPr>
              <w:t>根</w:t>
            </w:r>
            <w:r>
              <w:rPr>
                <w:rFonts w:hint="default" w:ascii="Times New Roman" w:hAnsi="Times New Roman" w:eastAsia="宋体" w:cs="Times New Roman"/>
                <w:color w:val="auto"/>
                <w:sz w:val="24"/>
                <w:szCs w:val="24"/>
                <w:highlight w:val="none"/>
                <w:u w:val="none" w:color="auto"/>
                <w:lang w:val="en-US" w:eastAsia="zh-CN"/>
              </w:rPr>
              <w:t>据监测结果可知，</w:t>
            </w:r>
            <w:r>
              <w:rPr>
                <w:rFonts w:hint="eastAsia" w:ascii="Times New Roman" w:hAnsi="Times New Roman" w:eastAsia="宋体" w:cs="Times New Roman"/>
                <w:color w:val="auto"/>
                <w:sz w:val="24"/>
                <w:szCs w:val="24"/>
                <w:highlight w:val="none"/>
                <w:u w:val="none" w:color="auto"/>
                <w:lang w:val="en-US" w:eastAsia="zh-CN"/>
              </w:rPr>
              <w:t>地埋式污水处理站处理后</w:t>
            </w:r>
            <w:r>
              <w:rPr>
                <w:rFonts w:hint="default" w:ascii="Times New Roman" w:hAnsi="Times New Roman" w:eastAsia="宋体" w:cs="Times New Roman"/>
                <w:color w:val="auto"/>
                <w:sz w:val="24"/>
                <w:szCs w:val="24"/>
                <w:highlight w:val="none"/>
                <w:u w:val="none" w:color="auto"/>
                <w:lang w:val="en-US" w:eastAsia="zh-CN"/>
              </w:rPr>
              <w:t>的废水能够满足</w:t>
            </w:r>
            <w:r>
              <w:rPr>
                <w:rFonts w:hint="eastAsia" w:ascii="Times New Roman" w:hAnsi="Times New Roman" w:eastAsia="宋体" w:cs="Times New Roman"/>
                <w:color w:val="auto"/>
                <w:sz w:val="24"/>
                <w:szCs w:val="24"/>
                <w:highlight w:val="none"/>
                <w:u w:val="none" w:color="auto"/>
                <w:lang w:val="en-US" w:eastAsia="zh-CN"/>
              </w:rPr>
              <w:t>本报告表提出的水污染物排放限值的要求</w:t>
            </w:r>
            <w:r>
              <w:rPr>
                <w:rFonts w:hint="default" w:ascii="Times New Roman" w:hAnsi="Times New Roman" w:eastAsia="宋体" w:cs="Times New Roman"/>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综上所述，本项目废水理论计算和实际监测数据都能满足本报告表提出的水污染物排放限值的要求</w:t>
            </w:r>
            <w:r>
              <w:rPr>
                <w:rFonts w:hint="default" w:ascii="Times New Roman" w:hAnsi="Times New Roman" w:eastAsia="宋体" w:cs="Times New Roman"/>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3</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rPr>
              <w:t>水环境影响分析</w:t>
            </w:r>
          </w:p>
          <w:p>
            <w:pPr>
              <w:pStyle w:val="43"/>
              <w:keepNext w:val="0"/>
              <w:keepLines w:val="0"/>
              <w:pageBreakBefore w:val="0"/>
              <w:kinsoku/>
              <w:wordWrap/>
              <w:overflowPunct/>
              <w:topLinePunct w:val="0"/>
              <w:autoSpaceDE/>
              <w:autoSpaceDN/>
              <w:bidi w:val="0"/>
              <w:spacing w:line="360" w:lineRule="auto"/>
              <w:ind w:left="103" w:right="101" w:firstLine="48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本项目产生的废水经</w:t>
            </w:r>
            <w:r>
              <w:rPr>
                <w:rFonts w:hint="eastAsia" w:ascii="Times New Roman" w:hAnsi="Times New Roman" w:eastAsia="宋体" w:cs="Times New Roman"/>
                <w:color w:val="auto"/>
                <w:sz w:val="24"/>
                <w:szCs w:val="24"/>
                <w:u w:val="none" w:color="auto"/>
                <w:lang w:val="en-US" w:eastAsia="zh-CN"/>
              </w:rPr>
              <w:t>地埋式污水处理站后经污水</w:t>
            </w:r>
            <w:r>
              <w:rPr>
                <w:rFonts w:hint="default" w:ascii="Times New Roman" w:hAnsi="Times New Roman" w:eastAsia="宋体" w:cs="Times New Roman"/>
                <w:color w:val="auto"/>
                <w:sz w:val="24"/>
                <w:szCs w:val="24"/>
                <w:u w:val="none" w:color="auto"/>
              </w:rPr>
              <w:t>管网进入</w:t>
            </w:r>
            <w:r>
              <w:rPr>
                <w:rFonts w:hint="eastAsia" w:ascii="Times New Roman" w:hAnsi="Times New Roman" w:eastAsia="宋体" w:cs="Times New Roman"/>
                <w:color w:val="auto"/>
                <w:sz w:val="24"/>
                <w:szCs w:val="24"/>
                <w:u w:val="none" w:color="auto"/>
                <w:lang w:eastAsia="zh-CN"/>
              </w:rPr>
              <w:t>湘阴县东塘镇污水处理厂</w:t>
            </w:r>
            <w:r>
              <w:rPr>
                <w:rFonts w:hint="default" w:ascii="Times New Roman" w:hAnsi="Times New Roman" w:eastAsia="宋体" w:cs="Times New Roman"/>
                <w:color w:val="auto"/>
                <w:spacing w:val="-2"/>
                <w:sz w:val="24"/>
                <w:szCs w:val="24"/>
                <w:u w:val="none" w:color="auto"/>
              </w:rPr>
              <w:t>进</w:t>
            </w:r>
            <w:r>
              <w:rPr>
                <w:rFonts w:hint="eastAsia" w:ascii="Times New Roman" w:hAnsi="Times New Roman" w:eastAsia="宋体" w:cs="Times New Roman"/>
                <w:color w:val="auto"/>
                <w:spacing w:val="-2"/>
                <w:sz w:val="24"/>
                <w:szCs w:val="24"/>
                <w:u w:val="none" w:color="auto"/>
                <w:lang w:val="en-US" w:eastAsia="zh-CN"/>
              </w:rPr>
              <w:t>一步处理，</w:t>
            </w:r>
            <w:r>
              <w:rPr>
                <w:rFonts w:hint="default" w:ascii="Times New Roman" w:hAnsi="Times New Roman" w:eastAsia="宋体" w:cs="Times New Roman"/>
                <w:color w:val="auto"/>
                <w:sz w:val="24"/>
                <w:szCs w:val="24"/>
                <w:u w:val="none" w:color="auto"/>
              </w:rPr>
              <w:t>对周边水环境影响较小。</w:t>
            </w:r>
          </w:p>
          <w:p>
            <w:pPr>
              <w:pStyle w:val="43"/>
              <w:keepNext w:val="0"/>
              <w:keepLines w:val="0"/>
              <w:pageBreakBefore w:val="0"/>
              <w:kinsoku/>
              <w:wordWrap/>
              <w:overflowPunct/>
              <w:topLinePunct w:val="0"/>
              <w:autoSpaceDE/>
              <w:autoSpaceDN/>
              <w:bidi w:val="0"/>
              <w:spacing w:line="360" w:lineRule="auto"/>
              <w:ind w:right="101"/>
              <w:jc w:val="both"/>
              <w:textAlignment w:val="auto"/>
              <w:rPr>
                <w:rFonts w:hint="eastAsia" w:ascii="Times New Roman" w:hAnsi="Times New Roman" w:eastAsia="宋体" w:cs="Times New Roman"/>
                <w:b/>
                <w:bCs/>
                <w:color w:val="auto"/>
                <w:kern w:val="0"/>
                <w:sz w:val="24"/>
                <w:szCs w:val="24"/>
                <w:u w:val="none" w:color="auto"/>
                <w:lang w:val="en-US" w:eastAsia="zh-CN" w:bidi="ar-SA"/>
              </w:rPr>
            </w:pPr>
            <w:r>
              <w:rPr>
                <w:rFonts w:hint="eastAsia" w:ascii="Times New Roman" w:hAnsi="Times New Roman" w:eastAsia="宋体" w:cs="Times New Roman"/>
                <w:b/>
                <w:bCs/>
                <w:color w:val="auto"/>
                <w:kern w:val="0"/>
                <w:sz w:val="24"/>
                <w:szCs w:val="24"/>
                <w:u w:val="none" w:color="auto"/>
                <w:lang w:val="en-US" w:eastAsia="zh-CN" w:bidi="ar-SA"/>
              </w:rPr>
              <w:t>（4）废水处理设施可行性分析</w:t>
            </w:r>
          </w:p>
          <w:p>
            <w:pPr>
              <w:pStyle w:val="43"/>
              <w:keepNext w:val="0"/>
              <w:keepLines w:val="0"/>
              <w:pageBreakBefore w:val="0"/>
              <w:kinsoku/>
              <w:wordWrap/>
              <w:overflowPunct/>
              <w:topLinePunct w:val="0"/>
              <w:autoSpaceDE/>
              <w:autoSpaceDN/>
              <w:bidi w:val="0"/>
              <w:spacing w:line="360" w:lineRule="auto"/>
              <w:ind w:left="103" w:right="101" w:firstLine="480"/>
              <w:jc w:val="both"/>
              <w:textAlignment w:val="auto"/>
              <w:rPr>
                <w:rFonts w:hint="eastAsia" w:ascii="Times New Roman" w:hAnsi="Times New Roman" w:eastAsia="宋体" w:cs="Times New Roman"/>
                <w:color w:val="auto"/>
                <w:spacing w:val="-3"/>
                <w:sz w:val="24"/>
                <w:szCs w:val="24"/>
                <w:u w:val="single" w:color="auto"/>
                <w:lang w:val="en-US" w:eastAsia="zh-CN"/>
              </w:rPr>
            </w:pPr>
            <w:r>
              <w:rPr>
                <w:rFonts w:hint="eastAsia" w:ascii="Times New Roman" w:hAnsi="Times New Roman" w:eastAsia="宋体" w:cs="Times New Roman"/>
                <w:color w:val="auto"/>
                <w:sz w:val="24"/>
                <w:szCs w:val="24"/>
                <w:u w:val="single" w:color="auto"/>
                <w:lang w:val="en-US" w:eastAsia="zh-CN"/>
              </w:rPr>
              <w:t>本项目废水量约</w:t>
            </w:r>
            <w:r>
              <w:rPr>
                <w:rFonts w:hint="eastAsia" w:cs="Times New Roman"/>
                <w:color w:val="auto"/>
                <w:sz w:val="24"/>
                <w:szCs w:val="24"/>
                <w:u w:val="single" w:color="auto"/>
                <w:lang w:val="en-US" w:eastAsia="zh-CN"/>
              </w:rPr>
              <w:t>17.702</w:t>
            </w:r>
            <w:r>
              <w:rPr>
                <w:rFonts w:hint="eastAsia" w:ascii="Times New Roman" w:hAnsi="Times New Roman" w:eastAsia="宋体" w:cs="Times New Roman"/>
                <w:color w:val="auto"/>
                <w:sz w:val="24"/>
                <w:szCs w:val="24"/>
                <w:u w:val="single" w:color="auto"/>
                <w:lang w:val="en-US" w:eastAsia="zh-CN"/>
              </w:rPr>
              <w:t>m</w:t>
            </w:r>
            <w:r>
              <w:rPr>
                <w:rFonts w:hint="eastAsia" w:ascii="Times New Roman" w:hAnsi="Times New Roman" w:eastAsia="宋体" w:cs="Times New Roman"/>
                <w:color w:val="auto"/>
                <w:spacing w:val="-3"/>
                <w:sz w:val="24"/>
                <w:szCs w:val="24"/>
                <w:u w:val="single" w:color="auto"/>
                <w:vertAlign w:val="superscript"/>
                <w:lang w:val="en-US" w:eastAsia="zh-CN"/>
              </w:rPr>
              <w:t>3</w:t>
            </w:r>
            <w:r>
              <w:rPr>
                <w:rFonts w:hint="eastAsia" w:ascii="Times New Roman" w:hAnsi="Times New Roman" w:eastAsia="宋体" w:cs="Times New Roman"/>
                <w:color w:val="auto"/>
                <w:spacing w:val="-3"/>
                <w:sz w:val="24"/>
                <w:szCs w:val="24"/>
                <w:u w:val="single" w:color="auto"/>
                <w:lang w:val="en-US" w:eastAsia="zh-CN"/>
              </w:rPr>
              <w:t>/d，经化粪池处理后进入一体化污水处理设施处理。本项目一体化污水处理设施调节池最大容量为9m</w:t>
            </w:r>
            <w:r>
              <w:rPr>
                <w:rFonts w:hint="eastAsia" w:ascii="Times New Roman" w:hAnsi="Times New Roman" w:eastAsia="宋体" w:cs="Times New Roman"/>
                <w:color w:val="auto"/>
                <w:spacing w:val="-3"/>
                <w:sz w:val="24"/>
                <w:szCs w:val="24"/>
                <w:u w:val="single" w:color="auto"/>
                <w:vertAlign w:val="superscript"/>
                <w:lang w:val="en-US" w:eastAsia="zh-CN"/>
              </w:rPr>
              <w:t>3</w:t>
            </w:r>
            <w:r>
              <w:rPr>
                <w:rFonts w:hint="eastAsia" w:ascii="Times New Roman" w:hAnsi="Times New Roman" w:eastAsia="宋体" w:cs="Times New Roman"/>
                <w:color w:val="auto"/>
                <w:spacing w:val="-3"/>
                <w:sz w:val="24"/>
                <w:szCs w:val="24"/>
                <w:u w:val="single" w:color="auto"/>
                <w:lang w:val="en-US" w:eastAsia="zh-CN"/>
              </w:rPr>
              <w:t>（长3m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高3m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宽1m），厌氧池最大容量为9m3（长3m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高3m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宽1m），好氧池最大容量为18m3（长3m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高3m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宽2m），沉淀池最大容量为9m</w:t>
            </w:r>
            <w:r>
              <w:rPr>
                <w:rFonts w:hint="eastAsia" w:ascii="Times New Roman" w:hAnsi="Times New Roman" w:eastAsia="宋体" w:cs="Times New Roman"/>
                <w:color w:val="auto"/>
                <w:spacing w:val="-3"/>
                <w:sz w:val="24"/>
                <w:szCs w:val="24"/>
                <w:u w:val="single" w:color="auto"/>
                <w:vertAlign w:val="superscript"/>
                <w:lang w:val="en-US" w:eastAsia="zh-CN"/>
              </w:rPr>
              <w:t>3</w:t>
            </w:r>
            <w:r>
              <w:rPr>
                <w:rFonts w:hint="eastAsia" w:ascii="Times New Roman" w:hAnsi="Times New Roman" w:eastAsia="宋体" w:cs="Times New Roman"/>
                <w:color w:val="auto"/>
                <w:spacing w:val="-3"/>
                <w:sz w:val="24"/>
                <w:szCs w:val="24"/>
                <w:u w:val="single" w:color="auto"/>
                <w:lang w:val="en-US" w:eastAsia="zh-CN"/>
              </w:rPr>
              <w:t>（长3m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高3m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宽1m），消毒池最大容量为2.5m</w:t>
            </w:r>
            <w:r>
              <w:rPr>
                <w:rFonts w:hint="eastAsia" w:ascii="Times New Roman" w:hAnsi="Times New Roman" w:eastAsia="宋体" w:cs="Times New Roman"/>
                <w:color w:val="auto"/>
                <w:spacing w:val="-3"/>
                <w:sz w:val="24"/>
                <w:szCs w:val="24"/>
                <w:u w:val="single" w:color="auto"/>
                <w:vertAlign w:val="superscript"/>
                <w:lang w:val="en-US" w:eastAsia="zh-CN"/>
              </w:rPr>
              <w:t>3</w:t>
            </w:r>
            <w:r>
              <w:rPr>
                <w:rFonts w:hint="eastAsia" w:ascii="Times New Roman" w:hAnsi="Times New Roman" w:eastAsia="宋体" w:cs="Times New Roman"/>
                <w:color w:val="auto"/>
                <w:spacing w:val="-3"/>
                <w:sz w:val="24"/>
                <w:szCs w:val="24"/>
                <w:u w:val="single" w:color="auto"/>
                <w:lang w:val="en-US" w:eastAsia="zh-CN"/>
              </w:rPr>
              <w:t>（长1m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高2.5m</w:t>
            </w:r>
            <w:r>
              <w:rPr>
                <w:rFonts w:hint="default" w:ascii="Times New Roman" w:hAnsi="Times New Roman" w:eastAsia="宋体" w:cs="Times New Roman"/>
                <w:color w:val="auto"/>
                <w:spacing w:val="-3"/>
                <w:sz w:val="24"/>
                <w:szCs w:val="24"/>
                <w:u w:val="single" w:color="auto"/>
                <w:lang w:val="en-US" w:eastAsia="zh-CN"/>
              </w:rPr>
              <w:t>×</w:t>
            </w:r>
            <w:r>
              <w:rPr>
                <w:rFonts w:hint="eastAsia" w:ascii="Times New Roman" w:hAnsi="Times New Roman" w:eastAsia="宋体" w:cs="Times New Roman"/>
                <w:color w:val="auto"/>
                <w:spacing w:val="-3"/>
                <w:sz w:val="24"/>
                <w:szCs w:val="24"/>
                <w:u w:val="single" w:color="auto"/>
                <w:lang w:val="en-US" w:eastAsia="zh-CN"/>
              </w:rPr>
              <w:t>宽1m），总停留时间为6-8h，污水处理站废水经污水处理系统处理后排入东塘镇污水处理厂，</w:t>
            </w:r>
            <w:r>
              <w:rPr>
                <w:rFonts w:hint="eastAsia" w:cs="Times New Roman"/>
                <w:color w:val="auto"/>
                <w:sz w:val="24"/>
                <w:szCs w:val="24"/>
                <w:u w:val="single" w:color="auto"/>
                <w:lang w:val="en-US" w:eastAsia="zh-CN"/>
              </w:rPr>
              <w:t>通过沟渠排入三汊港南湖，最终排入湘江</w:t>
            </w:r>
            <w:r>
              <w:rPr>
                <w:rFonts w:hint="eastAsia" w:ascii="Times New Roman" w:hAnsi="Times New Roman" w:eastAsia="宋体" w:cs="Times New Roman"/>
                <w:color w:val="auto"/>
                <w:spacing w:val="-3"/>
                <w:sz w:val="24"/>
                <w:szCs w:val="24"/>
                <w:u w:val="single" w:color="auto"/>
                <w:lang w:val="en-US" w:eastAsia="zh-CN"/>
              </w:rPr>
              <w:t>。</w:t>
            </w:r>
          </w:p>
          <w:p>
            <w:pPr>
              <w:pStyle w:val="43"/>
              <w:keepNext w:val="0"/>
              <w:keepLines w:val="0"/>
              <w:pageBreakBefore w:val="0"/>
              <w:kinsoku/>
              <w:wordWrap/>
              <w:overflowPunct/>
              <w:topLinePunct w:val="0"/>
              <w:autoSpaceDE/>
              <w:autoSpaceDN/>
              <w:bidi w:val="0"/>
              <w:spacing w:line="360" w:lineRule="auto"/>
              <w:ind w:left="103" w:right="101" w:firstLine="480"/>
              <w:jc w:val="both"/>
              <w:textAlignment w:val="auto"/>
              <w:rPr>
                <w:rFonts w:hint="eastAsia"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pacing w:val="-3"/>
                <w:sz w:val="24"/>
                <w:szCs w:val="24"/>
                <w:u w:val="single" w:color="auto"/>
                <w:lang w:eastAsia="zh-CN"/>
              </w:rPr>
              <w:t>根据《医院污水处理工程技术规范》（HJ2029-2013）12.4.1规定：医院污水处理工程设置应急事故池，以贮存处理系统事故或其他突发事件时医院污水。非传染病医院污水处理工程应急事故池容积不小于日排放量的30%。</w:t>
            </w:r>
            <w:r>
              <w:rPr>
                <w:rFonts w:hint="eastAsia" w:ascii="Times New Roman" w:hAnsi="Times New Roman" w:eastAsia="宋体" w:cs="Times New Roman"/>
                <w:color w:val="auto"/>
                <w:spacing w:val="-3"/>
                <w:sz w:val="24"/>
                <w:szCs w:val="24"/>
                <w:u w:val="single" w:color="auto"/>
                <w:lang w:val="en-US" w:eastAsia="zh-CN"/>
              </w:rPr>
              <w:t>医</w:t>
            </w:r>
            <w:r>
              <w:rPr>
                <w:rFonts w:hint="eastAsia"/>
                <w:color w:val="auto"/>
                <w:spacing w:val="-3"/>
                <w:sz w:val="24"/>
                <w:u w:val="single" w:color="auto"/>
              </w:rPr>
              <w:t>院</w:t>
            </w:r>
            <w:r>
              <w:rPr>
                <w:color w:val="auto"/>
                <w:spacing w:val="-3"/>
                <w:sz w:val="24"/>
                <w:u w:val="single" w:color="auto"/>
              </w:rPr>
              <w:t>污水产生量为</w:t>
            </w:r>
            <w:r>
              <w:rPr>
                <w:rFonts w:hint="eastAsia"/>
                <w:color w:val="auto"/>
                <w:spacing w:val="-3"/>
                <w:sz w:val="24"/>
                <w:u w:val="single" w:color="auto"/>
                <w:lang w:val="en-US" w:eastAsia="zh-CN"/>
              </w:rPr>
              <w:t>17.702</w:t>
            </w:r>
            <w:r>
              <w:rPr>
                <w:color w:val="auto"/>
                <w:spacing w:val="-3"/>
                <w:sz w:val="24"/>
                <w:u w:val="single" w:color="auto"/>
              </w:rPr>
              <w:t>m</w:t>
            </w:r>
            <w:r>
              <w:rPr>
                <w:color w:val="auto"/>
                <w:spacing w:val="-3"/>
                <w:sz w:val="24"/>
                <w:u w:val="single" w:color="auto"/>
                <w:vertAlign w:val="superscript"/>
              </w:rPr>
              <w:t>3</w:t>
            </w:r>
            <w:r>
              <w:rPr>
                <w:color w:val="auto"/>
                <w:spacing w:val="-3"/>
                <w:sz w:val="24"/>
                <w:u w:val="single" w:color="auto"/>
              </w:rPr>
              <w:t>/d，不设传染病房，因此，为满足需求，应急事</w:t>
            </w:r>
            <w:r>
              <w:rPr>
                <w:rStyle w:val="27"/>
                <w:color w:val="auto"/>
                <w:u w:val="single" w:color="auto"/>
              </w:rPr>
              <w:t>故池设计容积不小于</w:t>
            </w:r>
            <w:r>
              <w:rPr>
                <w:rStyle w:val="27"/>
                <w:rFonts w:hint="eastAsia"/>
                <w:color w:val="auto"/>
                <w:u w:val="single" w:color="auto"/>
                <w:lang w:val="en-US" w:eastAsia="zh-CN"/>
              </w:rPr>
              <w:t>5.3</w:t>
            </w:r>
            <w:r>
              <w:rPr>
                <w:rStyle w:val="27"/>
                <w:color w:val="auto"/>
                <w:u w:val="single" w:color="auto"/>
              </w:rPr>
              <w:t>m3，</w:t>
            </w:r>
            <w:r>
              <w:rPr>
                <w:rStyle w:val="27"/>
                <w:rFonts w:hint="eastAsia"/>
                <w:color w:val="auto"/>
                <w:u w:val="single" w:color="auto"/>
                <w:lang w:val="en-US" w:eastAsia="zh-CN"/>
              </w:rPr>
              <w:t>环评要求医院新建事故应急池，最大容量为12m</w:t>
            </w:r>
            <w:r>
              <w:rPr>
                <w:rStyle w:val="27"/>
                <w:rFonts w:hint="eastAsia"/>
                <w:color w:val="auto"/>
                <w:u w:val="single" w:color="auto"/>
                <w:vertAlign w:val="superscript"/>
                <w:lang w:val="en-US" w:eastAsia="zh-CN"/>
              </w:rPr>
              <w:t>3</w:t>
            </w:r>
            <w:r>
              <w:rPr>
                <w:rStyle w:val="27"/>
                <w:rFonts w:hint="eastAsia"/>
                <w:color w:val="auto"/>
                <w:u w:val="single" w:color="auto"/>
                <w:lang w:val="en-US" w:eastAsia="zh-CN"/>
              </w:rPr>
              <w:t>（长3m</w:t>
            </w:r>
            <w:r>
              <w:rPr>
                <w:rStyle w:val="27"/>
                <w:rFonts w:hint="default"/>
                <w:color w:val="auto"/>
                <w:u w:val="single" w:color="auto"/>
                <w:lang w:val="en-US" w:eastAsia="zh-CN"/>
              </w:rPr>
              <w:t>×</w:t>
            </w:r>
            <w:r>
              <w:rPr>
                <w:rStyle w:val="27"/>
                <w:rFonts w:hint="eastAsia"/>
                <w:color w:val="auto"/>
                <w:u w:val="single" w:color="auto"/>
                <w:lang w:val="en-US" w:eastAsia="zh-CN"/>
              </w:rPr>
              <w:t>高3m</w:t>
            </w:r>
            <w:r>
              <w:rPr>
                <w:rStyle w:val="27"/>
                <w:rFonts w:hint="default"/>
                <w:color w:val="auto"/>
                <w:u w:val="single" w:color="auto"/>
                <w:lang w:val="en-US" w:eastAsia="zh-CN"/>
              </w:rPr>
              <w:t>×</w:t>
            </w:r>
            <w:r>
              <w:rPr>
                <w:rStyle w:val="27"/>
                <w:rFonts w:hint="eastAsia"/>
                <w:color w:val="auto"/>
                <w:u w:val="single" w:color="auto"/>
                <w:lang w:val="en-US" w:eastAsia="zh-CN"/>
              </w:rPr>
              <w:t>宽2m），可以满足事故</w:t>
            </w:r>
            <w:r>
              <w:rPr>
                <w:rFonts w:hint="eastAsia" w:cs="Times New Roman"/>
                <w:color w:val="auto"/>
                <w:sz w:val="24"/>
                <w:szCs w:val="24"/>
                <w:u w:val="single" w:color="auto"/>
                <w:vertAlign w:val="baseline"/>
                <w:lang w:val="en-US" w:eastAsia="zh-CN"/>
              </w:rPr>
              <w:t>要求</w:t>
            </w:r>
            <w:r>
              <w:rPr>
                <w:color w:val="auto"/>
                <w:spacing w:val="-3"/>
                <w:sz w:val="24"/>
                <w:u w:val="single" w:color="auto"/>
              </w:rPr>
              <w:t>。</w:t>
            </w:r>
          </w:p>
          <w:p>
            <w:pPr>
              <w:pStyle w:val="43"/>
              <w:keepNext w:val="0"/>
              <w:keepLines w:val="0"/>
              <w:pageBreakBefore w:val="0"/>
              <w:kinsoku/>
              <w:wordWrap/>
              <w:overflowPunct/>
              <w:topLinePunct w:val="0"/>
              <w:autoSpaceDE/>
              <w:autoSpaceDN/>
              <w:bidi w:val="0"/>
              <w:spacing w:line="360" w:lineRule="auto"/>
              <w:ind w:left="103" w:right="101" w:firstLine="480"/>
              <w:jc w:val="both"/>
              <w:textAlignment w:val="auto"/>
              <w:rPr>
                <w:rFonts w:hint="eastAsia" w:ascii="Times New Roman" w:hAnsi="Times New Roman" w:eastAsia="宋体" w:cs="Times New Roman"/>
                <w:color w:val="auto"/>
                <w:sz w:val="24"/>
                <w:szCs w:val="24"/>
                <w:u w:val="single" w:color="auto"/>
                <w:lang w:val="en-US" w:eastAsia="zh-CN"/>
              </w:rPr>
            </w:pPr>
            <w:r>
              <w:rPr>
                <w:rFonts w:hint="eastAsia" w:ascii="Times New Roman" w:hAnsi="Times New Roman" w:eastAsia="宋体" w:cs="Times New Roman"/>
                <w:color w:val="auto"/>
                <w:sz w:val="24"/>
                <w:szCs w:val="24"/>
                <w:u w:val="single" w:color="auto"/>
                <w:lang w:val="en-US" w:eastAsia="zh-CN"/>
              </w:rPr>
              <w:t>根据《医疗机构水污染物排放标准》（GB18466-2005）宜采用一级处理或一级强化处理+消毒工艺。本项目废水治理技术可行性参照表详见下表。</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highlight w:val="none"/>
                <w:u w:val="single" w:color="auto"/>
              </w:rPr>
              <w:t>表4-</w:t>
            </w:r>
            <w:r>
              <w:rPr>
                <w:rFonts w:hint="eastAsia" w:cs="Times New Roman"/>
                <w:color w:val="auto"/>
                <w:sz w:val="24"/>
                <w:szCs w:val="24"/>
                <w:highlight w:val="none"/>
                <w:u w:val="single" w:color="auto"/>
                <w:lang w:val="en-US" w:eastAsia="zh-CN"/>
              </w:rPr>
              <w:t>6</w:t>
            </w:r>
            <w:r>
              <w:rPr>
                <w:rFonts w:hint="default" w:ascii="Times New Roman" w:hAnsi="Times New Roman" w:eastAsia="宋体" w:cs="Times New Roman"/>
                <w:color w:val="auto"/>
                <w:sz w:val="24"/>
                <w:szCs w:val="24"/>
                <w:highlight w:val="none"/>
                <w:u w:val="single" w:color="auto"/>
              </w:rPr>
              <w:t>废水</w:t>
            </w:r>
            <w:r>
              <w:rPr>
                <w:rFonts w:hint="eastAsia" w:ascii="Times New Roman" w:hAnsi="Times New Roman" w:eastAsia="宋体" w:cs="Times New Roman"/>
                <w:color w:val="auto"/>
                <w:sz w:val="24"/>
                <w:szCs w:val="24"/>
                <w:u w:val="single" w:color="auto"/>
                <w:lang w:val="en-US" w:eastAsia="zh-CN"/>
              </w:rPr>
              <w:t>治理技术可行性参照情况</w:t>
            </w:r>
            <w:r>
              <w:rPr>
                <w:rFonts w:hint="default" w:ascii="Times New Roman" w:hAnsi="Times New Roman" w:eastAsia="宋体" w:cs="Times New Roman"/>
                <w:color w:val="auto"/>
                <w:sz w:val="24"/>
                <w:szCs w:val="24"/>
                <w:u w:val="single" w:color="auto"/>
              </w:rPr>
              <w:t>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680"/>
              <w:gridCol w:w="3804"/>
              <w:gridCol w:w="1349"/>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污水类别</w:t>
                  </w:r>
                </w:p>
              </w:tc>
              <w:tc>
                <w:tcPr>
                  <w:tcW w:w="428"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排放去向</w:t>
                  </w:r>
                </w:p>
              </w:tc>
              <w:tc>
                <w:tcPr>
                  <w:tcW w:w="2394"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可行性技术</w:t>
                  </w:r>
                </w:p>
              </w:tc>
              <w:tc>
                <w:tcPr>
                  <w:tcW w:w="849"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本项目废水处理技术</w:t>
                  </w:r>
                </w:p>
              </w:tc>
              <w:tc>
                <w:tcPr>
                  <w:tcW w:w="900"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本项目是否为可行性技术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医疗废水</w:t>
                  </w:r>
                </w:p>
              </w:tc>
              <w:tc>
                <w:tcPr>
                  <w:tcW w:w="428"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东塘镇污水处理厂</w:t>
                  </w:r>
                </w:p>
              </w:tc>
              <w:tc>
                <w:tcPr>
                  <w:tcW w:w="2394"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default" w:ascii="Times New Roman" w:hAnsi="Times New Roman" w:eastAsia="宋体" w:cs="Times New Roman"/>
                      <w:bCs/>
                      <w:color w:val="auto"/>
                      <w:spacing w:val="-10"/>
                      <w:sz w:val="21"/>
                      <w:szCs w:val="21"/>
                      <w:u w:val="single" w:color="auto"/>
                      <w:vertAlign w:val="baseline"/>
                      <w:lang w:val="en-US" w:eastAsia="zh-CN"/>
                    </w:rPr>
                    <w:t>一级处理/一级强化处理+消毒工艺。</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Cs/>
                      <w:color w:val="auto"/>
                      <w:spacing w:val="-10"/>
                      <w:sz w:val="21"/>
                      <w:szCs w:val="21"/>
                      <w:u w:val="single" w:color="auto"/>
                      <w:vertAlign w:val="baseline"/>
                      <w:lang w:val="en-US" w:eastAsia="zh-CN"/>
                    </w:rPr>
                  </w:pPr>
                  <w:r>
                    <w:rPr>
                      <w:rFonts w:hint="default" w:ascii="Times New Roman" w:hAnsi="Times New Roman" w:eastAsia="宋体" w:cs="Times New Roman"/>
                      <w:bCs/>
                      <w:color w:val="auto"/>
                      <w:spacing w:val="-10"/>
                      <w:sz w:val="21"/>
                      <w:szCs w:val="21"/>
                      <w:u w:val="single" w:color="auto"/>
                      <w:vertAlign w:val="baseline"/>
                      <w:lang w:val="en-US" w:eastAsia="zh-CN"/>
                    </w:rPr>
                    <w:t xml:space="preserve">一级处理包括： 筛滤法； </w:t>
                  </w:r>
                  <w:r>
                    <w:rPr>
                      <w:rFonts w:hint="eastAsia" w:ascii="Times New Roman" w:hAnsi="Times New Roman" w:eastAsia="宋体" w:cs="Times New Roman"/>
                      <w:bCs/>
                      <w:color w:val="auto"/>
                      <w:spacing w:val="-10"/>
                      <w:sz w:val="21"/>
                      <w:szCs w:val="21"/>
                      <w:u w:val="single" w:color="auto"/>
                      <w:vertAlign w:val="baseline"/>
                      <w:lang w:val="en-US" w:eastAsia="zh-CN"/>
                    </w:rPr>
                    <w:t>沉淀法；气浮法； 预曝气法。</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一级强化处理包括： 化学混凝处理、 机械过滤或不完全生物处理。</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消毒工艺：加氯消毒，臭氧法消毒，次氯酸钠法、二氧化氯法消毒、紫外线消毒</w:t>
                  </w:r>
                  <w:r>
                    <w:rPr>
                      <w:rFonts w:ascii="宋体" w:hAnsi="宋体" w:eastAsia="宋体" w:cs="宋体"/>
                      <w:b w:val="0"/>
                      <w:bCs w:val="0"/>
                      <w:i w:val="0"/>
                      <w:iCs w:val="0"/>
                      <w:color w:val="auto"/>
                      <w:kern w:val="0"/>
                      <w:sz w:val="22"/>
                      <w:szCs w:val="22"/>
                      <w:u w:val="single" w:color="auto"/>
                      <w:lang w:val="en-US" w:eastAsia="zh-CN" w:bidi="ar"/>
                    </w:rPr>
                    <w:t>等</w:t>
                  </w:r>
                </w:p>
              </w:tc>
              <w:tc>
                <w:tcPr>
                  <w:tcW w:w="849"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厌氧+好氧+沉淀+二氧化氯消毒</w:t>
                  </w:r>
                </w:p>
              </w:tc>
              <w:tc>
                <w:tcPr>
                  <w:tcW w:w="900"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single" w:color="auto"/>
                      <w:vertAlign w:val="baseline"/>
                      <w:lang w:val="en-US" w:eastAsia="zh-CN"/>
                    </w:rPr>
                  </w:pPr>
                  <w:r>
                    <w:rPr>
                      <w:rFonts w:hint="eastAsia" w:ascii="Times New Roman" w:hAnsi="Times New Roman" w:eastAsia="宋体" w:cs="Times New Roman"/>
                      <w:bCs/>
                      <w:color w:val="auto"/>
                      <w:spacing w:val="-10"/>
                      <w:sz w:val="21"/>
                      <w:szCs w:val="21"/>
                      <w:u w:val="single" w:color="auto"/>
                      <w:vertAlign w:val="baseline"/>
                      <w:lang w:val="en-US" w:eastAsia="zh-CN"/>
                    </w:rPr>
                    <w:t>是</w:t>
                  </w:r>
                </w:p>
              </w:tc>
            </w:tr>
          </w:tbl>
          <w:p>
            <w:pPr>
              <w:pStyle w:val="43"/>
              <w:keepNext w:val="0"/>
              <w:keepLines w:val="0"/>
              <w:pageBreakBefore w:val="0"/>
              <w:kinsoku/>
              <w:wordWrap/>
              <w:overflowPunct/>
              <w:topLinePunct w:val="0"/>
              <w:autoSpaceDE/>
              <w:autoSpaceDN/>
              <w:bidi w:val="0"/>
              <w:spacing w:line="360" w:lineRule="auto"/>
              <w:ind w:left="103" w:right="101" w:firstLine="480"/>
              <w:jc w:val="both"/>
              <w:textAlignment w:val="auto"/>
              <w:rPr>
                <w:rFonts w:hint="eastAsia" w:ascii="Times New Roman" w:hAnsi="Times New Roman" w:eastAsia="宋体" w:cs="Times New Roman"/>
                <w:color w:val="auto"/>
                <w:sz w:val="24"/>
                <w:szCs w:val="24"/>
                <w:u w:val="single" w:color="auto"/>
                <w:lang w:val="en-US" w:eastAsia="zh-CN"/>
              </w:rPr>
            </w:pPr>
          </w:p>
          <w:p>
            <w:pPr>
              <w:pStyle w:val="43"/>
              <w:keepNext w:val="0"/>
              <w:keepLines w:val="0"/>
              <w:pageBreakBefore w:val="0"/>
              <w:kinsoku/>
              <w:wordWrap/>
              <w:overflowPunct/>
              <w:topLinePunct w:val="0"/>
              <w:autoSpaceDE/>
              <w:autoSpaceDN/>
              <w:bidi w:val="0"/>
              <w:spacing w:line="360" w:lineRule="auto"/>
              <w:ind w:left="103" w:right="101" w:firstLine="480"/>
              <w:jc w:val="both"/>
              <w:textAlignment w:val="auto"/>
              <w:rPr>
                <w:rFonts w:hint="eastAsia" w:ascii="Times New Roman" w:hAnsi="Times New Roman" w:eastAsia="宋体" w:cs="Times New Roman"/>
                <w:color w:val="auto"/>
                <w:sz w:val="24"/>
                <w:szCs w:val="24"/>
                <w:u w:val="single" w:color="auto"/>
                <w:lang w:val="en-US" w:eastAsia="zh-CN"/>
              </w:rPr>
            </w:pPr>
            <w:r>
              <w:rPr>
                <w:rFonts w:hint="eastAsia" w:cs="Times New Roman"/>
                <w:color w:val="auto"/>
                <w:sz w:val="24"/>
                <w:szCs w:val="24"/>
                <w:u w:val="single" w:color="auto"/>
                <w:lang w:val="en-US" w:eastAsia="zh-CN"/>
              </w:rPr>
              <w:t>综上所述</w:t>
            </w:r>
            <w:r>
              <w:rPr>
                <w:rFonts w:hint="eastAsia" w:ascii="Times New Roman" w:hAnsi="Times New Roman" w:eastAsia="宋体" w:cs="Times New Roman"/>
                <w:color w:val="auto"/>
                <w:sz w:val="24"/>
                <w:szCs w:val="24"/>
                <w:u w:val="single" w:color="auto"/>
                <w:lang w:val="en-US" w:eastAsia="zh-CN"/>
              </w:rPr>
              <w:t>，本项目采取的废水处理</w:t>
            </w:r>
            <w:r>
              <w:rPr>
                <w:rFonts w:hint="eastAsia" w:cs="Times New Roman"/>
                <w:color w:val="auto"/>
                <w:sz w:val="24"/>
                <w:szCs w:val="24"/>
                <w:u w:val="single" w:color="auto"/>
                <w:lang w:val="en-US" w:eastAsia="zh-CN"/>
              </w:rPr>
              <w:t>设施及</w:t>
            </w:r>
            <w:r>
              <w:rPr>
                <w:rFonts w:hint="eastAsia" w:ascii="Times New Roman" w:hAnsi="Times New Roman" w:eastAsia="宋体" w:cs="Times New Roman"/>
                <w:color w:val="auto"/>
                <w:sz w:val="24"/>
                <w:szCs w:val="24"/>
                <w:u w:val="single" w:color="auto"/>
                <w:lang w:val="en-US" w:eastAsia="zh-CN"/>
              </w:rPr>
              <w:t>工艺技术可行。</w:t>
            </w:r>
          </w:p>
          <w:p>
            <w:pPr>
              <w:pStyle w:val="43"/>
              <w:keepNext w:val="0"/>
              <w:keepLines w:val="0"/>
              <w:pageBreakBefore w:val="0"/>
              <w:kinsoku/>
              <w:wordWrap/>
              <w:overflowPunct/>
              <w:topLinePunct w:val="0"/>
              <w:autoSpaceDE/>
              <w:autoSpaceDN/>
              <w:bidi w:val="0"/>
              <w:spacing w:line="360" w:lineRule="auto"/>
              <w:ind w:left="103" w:right="101" w:firstLine="480"/>
              <w:jc w:val="both"/>
              <w:textAlignment w:val="auto"/>
              <w:rPr>
                <w:rFonts w:hint="default" w:ascii="Times New Roman" w:hAnsi="Times New Roman" w:eastAsia="宋体" w:cs="Times New Roman"/>
                <w:color w:val="auto"/>
                <w:sz w:val="24"/>
                <w:szCs w:val="24"/>
                <w:u w:val="single" w:color="auto"/>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5</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rPr>
              <w:t>项目依托</w:t>
            </w:r>
            <w:r>
              <w:rPr>
                <w:rFonts w:hint="eastAsia" w:ascii="Times New Roman" w:hAnsi="Times New Roman" w:eastAsia="宋体" w:cs="Times New Roman"/>
                <w:b/>
                <w:bCs/>
                <w:color w:val="auto"/>
                <w:kern w:val="0"/>
                <w:sz w:val="24"/>
                <w:szCs w:val="24"/>
                <w:u w:val="none" w:color="auto"/>
                <w:lang w:eastAsia="zh-CN"/>
              </w:rPr>
              <w:t>湘阴县东塘镇污水处理厂</w:t>
            </w:r>
            <w:r>
              <w:rPr>
                <w:rFonts w:hint="default" w:ascii="Times New Roman" w:hAnsi="Times New Roman" w:eastAsia="宋体" w:cs="Times New Roman"/>
                <w:b/>
                <w:bCs/>
                <w:color w:val="auto"/>
                <w:kern w:val="0"/>
                <w:sz w:val="24"/>
                <w:szCs w:val="24"/>
                <w:u w:val="none" w:color="auto"/>
              </w:rPr>
              <w:t>的可行性分析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lang w:eastAsia="zh-CN"/>
              </w:rPr>
            </w:pPr>
            <w:r>
              <w:rPr>
                <w:rFonts w:hint="eastAsia" w:ascii="Times New Roman" w:hAnsi="Times New Roman" w:eastAsia="宋体" w:cs="Times New Roman"/>
                <w:color w:val="auto"/>
                <w:sz w:val="24"/>
                <w:szCs w:val="24"/>
                <w:highlight w:val="none"/>
                <w:u w:val="single" w:color="auto"/>
                <w:lang w:eastAsia="zh-CN"/>
              </w:rPr>
              <w:t>湘阴县东塘镇污水处理厂</w:t>
            </w:r>
            <w:r>
              <w:rPr>
                <w:rFonts w:hint="default" w:ascii="Times New Roman" w:hAnsi="Times New Roman" w:eastAsia="宋体" w:cs="Times New Roman"/>
                <w:color w:val="auto"/>
                <w:sz w:val="24"/>
                <w:szCs w:val="24"/>
                <w:highlight w:val="none"/>
                <w:u w:val="single" w:color="auto"/>
              </w:rPr>
              <w:t>位于</w:t>
            </w:r>
            <w:r>
              <w:rPr>
                <w:rFonts w:hint="eastAsia" w:ascii="Times New Roman" w:hAnsi="Times New Roman" w:eastAsia="宋体" w:cs="Times New Roman"/>
                <w:color w:val="auto"/>
                <w:sz w:val="24"/>
                <w:szCs w:val="24"/>
                <w:highlight w:val="none"/>
                <w:u w:val="single" w:color="auto"/>
                <w:lang w:eastAsia="zh-CN"/>
              </w:rPr>
              <w:t>东塘中心</w:t>
            </w:r>
            <w:r>
              <w:rPr>
                <w:rFonts w:hint="eastAsia" w:ascii="Times New Roman" w:hAnsi="Times New Roman" w:eastAsia="宋体" w:cs="Times New Roman"/>
                <w:color w:val="auto"/>
                <w:sz w:val="24"/>
                <w:szCs w:val="24"/>
                <w:highlight w:val="none"/>
                <w:u w:val="single" w:color="auto"/>
                <w:lang w:val="en-US" w:eastAsia="zh-CN"/>
              </w:rPr>
              <w:t>卫生院西北侧（坐标E112°96'50.9，N28°77'67.06），服务范围是东塘镇区（纳污面积约为1.2km</w:t>
            </w:r>
            <w:r>
              <w:rPr>
                <w:rFonts w:hint="eastAsia" w:ascii="Times New Roman" w:hAnsi="Times New Roman" w:eastAsia="宋体" w:cs="Times New Roman"/>
                <w:color w:val="auto"/>
                <w:sz w:val="24"/>
                <w:szCs w:val="24"/>
                <w:highlight w:val="none"/>
                <w:u w:val="single" w:color="auto"/>
                <w:vertAlign w:val="superscript"/>
                <w:lang w:val="en-US" w:eastAsia="zh-CN"/>
              </w:rPr>
              <w:t>2</w:t>
            </w:r>
            <w:r>
              <w:rPr>
                <w:rFonts w:hint="eastAsia" w:ascii="Times New Roman" w:hAnsi="Times New Roman" w:eastAsia="宋体" w:cs="Times New Roman"/>
                <w:color w:val="auto"/>
                <w:sz w:val="24"/>
                <w:szCs w:val="24"/>
                <w:highlight w:val="none"/>
                <w:u w:val="single" w:color="auto"/>
                <w:lang w:val="en-US" w:eastAsia="zh-CN"/>
              </w:rPr>
              <w:t>），近期服务人口约6800人，不接纳</w:t>
            </w:r>
            <w:r>
              <w:rPr>
                <w:rFonts w:hint="eastAsia" w:ascii="Times New Roman" w:hAnsi="Times New Roman" w:eastAsia="宋体" w:cs="Times New Roman"/>
                <w:color w:val="auto"/>
                <w:sz w:val="24"/>
                <w:szCs w:val="24"/>
                <w:highlight w:val="none"/>
                <w:u w:val="single" w:color="auto"/>
                <w:lang w:eastAsia="zh-CN"/>
              </w:rPr>
              <w:t>工（企）业生产废水。</w:t>
            </w:r>
            <w:r>
              <w:rPr>
                <w:rFonts w:hint="eastAsia" w:ascii="Times New Roman" w:hAnsi="Times New Roman" w:eastAsia="宋体" w:cs="Times New Roman"/>
                <w:color w:val="auto"/>
                <w:sz w:val="24"/>
                <w:szCs w:val="24"/>
                <w:highlight w:val="none"/>
                <w:u w:val="single" w:color="auto"/>
                <w:lang w:val="en-US" w:eastAsia="zh-CN"/>
              </w:rPr>
              <w:t>污水处理厂近期</w:t>
            </w:r>
            <w:r>
              <w:rPr>
                <w:rFonts w:hint="eastAsia" w:ascii="Times New Roman" w:hAnsi="Times New Roman" w:eastAsia="宋体" w:cs="Times New Roman"/>
                <w:color w:val="auto"/>
                <w:sz w:val="24"/>
                <w:szCs w:val="24"/>
                <w:highlight w:val="none"/>
                <w:u w:val="single" w:color="auto"/>
                <w:lang w:eastAsia="zh-CN"/>
              </w:rPr>
              <w:t>处理规模为</w:t>
            </w:r>
            <w:r>
              <w:rPr>
                <w:rFonts w:hint="eastAsia" w:ascii="Times New Roman" w:hAnsi="Times New Roman" w:eastAsia="宋体" w:cs="Times New Roman"/>
                <w:color w:val="auto"/>
                <w:sz w:val="24"/>
                <w:szCs w:val="24"/>
                <w:highlight w:val="none"/>
                <w:u w:val="single" w:color="auto"/>
                <w:lang w:val="en-US" w:eastAsia="zh-CN"/>
              </w:rPr>
              <w:t>5</w:t>
            </w:r>
            <w:r>
              <w:rPr>
                <w:rFonts w:hint="eastAsia" w:ascii="Times New Roman" w:hAnsi="Times New Roman" w:eastAsia="宋体" w:cs="Times New Roman"/>
                <w:color w:val="auto"/>
                <w:sz w:val="24"/>
                <w:szCs w:val="24"/>
                <w:highlight w:val="none"/>
                <w:u w:val="single" w:color="auto"/>
                <w:lang w:eastAsia="zh-CN"/>
              </w:rPr>
              <w:t>00m</w:t>
            </w:r>
            <w:r>
              <w:rPr>
                <w:rFonts w:hint="eastAsia" w:ascii="Times New Roman" w:hAnsi="Times New Roman" w:eastAsia="宋体" w:cs="Times New Roman"/>
                <w:color w:val="auto"/>
                <w:sz w:val="24"/>
                <w:szCs w:val="24"/>
                <w:highlight w:val="none"/>
                <w:u w:val="single" w:color="auto"/>
                <w:vertAlign w:val="superscript"/>
                <w:lang w:eastAsia="zh-CN"/>
              </w:rPr>
              <w:t>3</w:t>
            </w:r>
            <w:r>
              <w:rPr>
                <w:rFonts w:hint="eastAsia" w:ascii="Times New Roman" w:hAnsi="Times New Roman" w:eastAsia="宋体" w:cs="Times New Roman"/>
                <w:color w:val="auto"/>
                <w:sz w:val="24"/>
                <w:szCs w:val="24"/>
                <w:highlight w:val="none"/>
                <w:u w:val="single" w:color="auto"/>
                <w:lang w:eastAsia="zh-CN"/>
              </w:rPr>
              <w:t>/d</w:t>
            </w:r>
            <w:r>
              <w:rPr>
                <w:rFonts w:hint="eastAsia" w:cs="Times New Roman"/>
                <w:color w:val="auto"/>
                <w:sz w:val="24"/>
                <w:szCs w:val="24"/>
                <w:highlight w:val="none"/>
                <w:u w:val="single" w:color="auto"/>
                <w:lang w:eastAsia="zh-CN"/>
              </w:rPr>
              <w:t>，</w:t>
            </w:r>
            <w:r>
              <w:rPr>
                <w:rFonts w:hint="eastAsia" w:cs="Times New Roman"/>
                <w:color w:val="auto"/>
                <w:sz w:val="24"/>
                <w:szCs w:val="24"/>
                <w:highlight w:val="none"/>
                <w:u w:val="single" w:color="auto"/>
                <w:lang w:val="en-US" w:eastAsia="zh-CN"/>
              </w:rPr>
              <w:t>现污水处理量约430</w:t>
            </w:r>
            <w:r>
              <w:rPr>
                <w:rFonts w:hint="eastAsia" w:ascii="Times New Roman" w:hAnsi="Times New Roman" w:eastAsia="宋体" w:cs="Times New Roman"/>
                <w:color w:val="auto"/>
                <w:sz w:val="24"/>
                <w:szCs w:val="24"/>
                <w:highlight w:val="none"/>
                <w:u w:val="single" w:color="auto"/>
                <w:lang w:eastAsia="zh-CN"/>
              </w:rPr>
              <w:t>m</w:t>
            </w:r>
            <w:r>
              <w:rPr>
                <w:rFonts w:hint="eastAsia" w:ascii="Times New Roman" w:hAnsi="Times New Roman" w:eastAsia="宋体" w:cs="Times New Roman"/>
                <w:color w:val="auto"/>
                <w:sz w:val="24"/>
                <w:szCs w:val="24"/>
                <w:highlight w:val="none"/>
                <w:u w:val="single" w:color="auto"/>
                <w:vertAlign w:val="superscript"/>
                <w:lang w:eastAsia="zh-CN"/>
              </w:rPr>
              <w:t>3</w:t>
            </w:r>
            <w:r>
              <w:rPr>
                <w:rFonts w:hint="eastAsia" w:ascii="Times New Roman" w:hAnsi="Times New Roman" w:eastAsia="宋体" w:cs="Times New Roman"/>
                <w:color w:val="auto"/>
                <w:sz w:val="24"/>
                <w:szCs w:val="24"/>
                <w:highlight w:val="none"/>
                <w:u w:val="single" w:color="auto"/>
                <w:lang w:eastAsia="zh-CN"/>
              </w:rPr>
              <w:t>/d</w:t>
            </w:r>
            <w:r>
              <w:rPr>
                <w:rFonts w:hint="eastAsia" w:cs="Times New Roman"/>
                <w:color w:val="auto"/>
                <w:sz w:val="24"/>
                <w:szCs w:val="24"/>
                <w:highlight w:val="none"/>
                <w:u w:val="single" w:color="auto"/>
                <w:lang w:val="en-US" w:eastAsia="zh-CN"/>
              </w:rPr>
              <w:t>，</w:t>
            </w:r>
            <w:r>
              <w:rPr>
                <w:rFonts w:hint="eastAsia" w:ascii="Times New Roman" w:hAnsi="Times New Roman" w:eastAsia="宋体" w:cs="Times New Roman"/>
                <w:color w:val="auto"/>
                <w:sz w:val="24"/>
                <w:szCs w:val="24"/>
                <w:highlight w:val="none"/>
                <w:u w:val="single" w:color="auto"/>
                <w:lang w:eastAsia="zh-CN"/>
              </w:rPr>
              <w:t>污水处理设施排口设于</w:t>
            </w:r>
            <w:r>
              <w:rPr>
                <w:rFonts w:hint="eastAsia" w:ascii="Times New Roman" w:hAnsi="Times New Roman" w:eastAsia="宋体" w:cs="Times New Roman"/>
                <w:color w:val="auto"/>
                <w:sz w:val="24"/>
                <w:szCs w:val="24"/>
                <w:highlight w:val="none"/>
                <w:u w:val="single" w:color="auto"/>
                <w:lang w:val="en-US" w:eastAsia="zh-CN"/>
              </w:rPr>
              <w:t>东塘周家坝渠道（坐标E112°96'04.859，N28°77'85.20）</w:t>
            </w:r>
            <w:r>
              <w:rPr>
                <w:rFonts w:hint="eastAsia" w:ascii="Times New Roman" w:hAnsi="Times New Roman" w:eastAsia="宋体" w:cs="Times New Roman"/>
                <w:color w:val="auto"/>
                <w:sz w:val="24"/>
                <w:szCs w:val="24"/>
                <w:highlight w:val="none"/>
                <w:u w:val="single" w:color="auto"/>
                <w:lang w:eastAsia="zh-CN"/>
              </w:rPr>
              <w:t>，入河方式为暗管，排放方式为连续，</w:t>
            </w:r>
            <w:r>
              <w:rPr>
                <w:rFonts w:hint="eastAsia" w:cs="Times New Roman"/>
                <w:color w:val="auto"/>
                <w:sz w:val="24"/>
                <w:szCs w:val="24"/>
                <w:u w:val="single" w:color="auto"/>
                <w:lang w:val="en-US" w:eastAsia="zh-CN"/>
              </w:rPr>
              <w:t>通过沟渠排入三汊港南湖，最终排入湘江</w:t>
            </w:r>
            <w:r>
              <w:rPr>
                <w:rFonts w:hint="eastAsia" w:ascii="Times New Roman" w:hAnsi="Times New Roman" w:eastAsia="宋体" w:cs="Times New Roman"/>
                <w:color w:val="auto"/>
                <w:sz w:val="24"/>
                <w:szCs w:val="24"/>
                <w:highlight w:val="none"/>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东塘镇污水处理厂</w:t>
            </w:r>
            <w:r>
              <w:rPr>
                <w:rFonts w:hint="eastAsia" w:ascii="Times New Roman" w:hAnsi="Times New Roman" w:eastAsia="宋体" w:cs="Times New Roman"/>
                <w:color w:val="auto"/>
                <w:sz w:val="24"/>
                <w:szCs w:val="24"/>
                <w:u w:val="single" w:color="auto"/>
                <w:lang w:val="en-US" w:eastAsia="zh-CN"/>
              </w:rPr>
              <w:t>服务人群主要是东塘镇的居民，</w:t>
            </w:r>
            <w:r>
              <w:rPr>
                <w:rFonts w:hint="eastAsia" w:cs="Times New Roman"/>
                <w:color w:val="auto"/>
                <w:sz w:val="24"/>
                <w:szCs w:val="24"/>
                <w:u w:val="single" w:color="auto"/>
                <w:lang w:val="en-US" w:eastAsia="zh-CN"/>
              </w:rPr>
              <w:t>根据东塘镇污水处理厂2024年第一季度4月检测报告（见附件8），东塘镇污水处理厂总排口出水符合《城镇污水处理厂污染物排放标准（含2006年的修改单）》（GB 18918-2002）表1一级A标准。东塘镇污水处理厂总排口出水检测结果见下表。</w:t>
            </w:r>
          </w:p>
          <w:p>
            <w:pPr>
              <w:bidi w:val="0"/>
              <w:jc w:val="center"/>
              <w:rPr>
                <w:rFonts w:hint="default"/>
                <w:color w:val="auto"/>
                <w:lang w:val="en-US" w:eastAsia="zh-CN"/>
              </w:rPr>
            </w:pPr>
            <w:r>
              <w:rPr>
                <w:rFonts w:hint="eastAsia"/>
                <w:color w:val="auto"/>
                <w:lang w:val="en-US" w:eastAsia="zh-CN"/>
              </w:rPr>
              <w:t>表4-7 东塘镇污水处理厂2024年4月出水检测检测结果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135"/>
              <w:gridCol w:w="1135"/>
              <w:gridCol w:w="1135"/>
              <w:gridCol w:w="1135"/>
              <w:gridCol w:w="11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35" w:type="dxa"/>
                  <w:vAlign w:val="center"/>
                </w:tcPr>
                <w:p>
                  <w:pPr>
                    <w:pStyle w:val="55"/>
                    <w:bidi w:val="0"/>
                    <w:jc w:val="center"/>
                    <w:rPr>
                      <w:rFonts w:hint="default"/>
                      <w:b/>
                      <w:bCs/>
                      <w:color w:val="auto"/>
                      <w:lang w:val="en-US" w:eastAsia="zh-CN"/>
                    </w:rPr>
                  </w:pPr>
                  <w:r>
                    <w:rPr>
                      <w:rFonts w:hint="eastAsia"/>
                      <w:b/>
                      <w:bCs/>
                      <w:color w:val="auto"/>
                      <w:lang w:val="en-US" w:eastAsia="zh-CN"/>
                    </w:rPr>
                    <w:t>检测项目</w:t>
                  </w:r>
                </w:p>
              </w:tc>
              <w:tc>
                <w:tcPr>
                  <w:tcW w:w="1135" w:type="dxa"/>
                  <w:vAlign w:val="center"/>
                </w:tcPr>
                <w:p>
                  <w:pPr>
                    <w:pStyle w:val="55"/>
                    <w:bidi w:val="0"/>
                    <w:jc w:val="center"/>
                    <w:rPr>
                      <w:rFonts w:hint="default"/>
                      <w:b/>
                      <w:bCs/>
                      <w:color w:val="auto"/>
                      <w:lang w:val="en-US" w:eastAsia="zh-CN"/>
                    </w:rPr>
                  </w:pPr>
                  <w:r>
                    <w:rPr>
                      <w:rFonts w:hint="eastAsia"/>
                      <w:b/>
                      <w:bCs/>
                      <w:color w:val="auto"/>
                      <w:lang w:val="en-US" w:eastAsia="zh-CN"/>
                    </w:rPr>
                    <w:t>第一次</w:t>
                  </w:r>
                </w:p>
              </w:tc>
              <w:tc>
                <w:tcPr>
                  <w:tcW w:w="1135" w:type="dxa"/>
                  <w:vAlign w:val="center"/>
                </w:tcPr>
                <w:p>
                  <w:pPr>
                    <w:pStyle w:val="55"/>
                    <w:bidi w:val="0"/>
                    <w:jc w:val="center"/>
                    <w:rPr>
                      <w:rFonts w:hint="default"/>
                      <w:b/>
                      <w:bCs/>
                      <w:color w:val="auto"/>
                      <w:lang w:val="en-US" w:eastAsia="zh-CN"/>
                    </w:rPr>
                  </w:pPr>
                  <w:r>
                    <w:rPr>
                      <w:rFonts w:hint="eastAsia"/>
                      <w:b/>
                      <w:bCs/>
                      <w:color w:val="auto"/>
                      <w:lang w:val="en-US" w:eastAsia="zh-CN"/>
                    </w:rPr>
                    <w:t>第二次</w:t>
                  </w:r>
                </w:p>
              </w:tc>
              <w:tc>
                <w:tcPr>
                  <w:tcW w:w="1135" w:type="dxa"/>
                  <w:vAlign w:val="center"/>
                </w:tcPr>
                <w:p>
                  <w:pPr>
                    <w:pStyle w:val="55"/>
                    <w:bidi w:val="0"/>
                    <w:jc w:val="center"/>
                    <w:rPr>
                      <w:rFonts w:hint="default"/>
                      <w:b/>
                      <w:bCs/>
                      <w:color w:val="auto"/>
                      <w:lang w:val="en-US" w:eastAsia="zh-CN"/>
                    </w:rPr>
                  </w:pPr>
                  <w:r>
                    <w:rPr>
                      <w:rFonts w:hint="eastAsia"/>
                      <w:b/>
                      <w:bCs/>
                      <w:color w:val="auto"/>
                      <w:lang w:val="en-US" w:eastAsia="zh-CN"/>
                    </w:rPr>
                    <w:t>第三次</w:t>
                  </w:r>
                </w:p>
              </w:tc>
              <w:tc>
                <w:tcPr>
                  <w:tcW w:w="1135" w:type="dxa"/>
                  <w:vAlign w:val="center"/>
                </w:tcPr>
                <w:p>
                  <w:pPr>
                    <w:pStyle w:val="55"/>
                    <w:bidi w:val="0"/>
                    <w:jc w:val="center"/>
                    <w:rPr>
                      <w:rFonts w:hint="default"/>
                      <w:b/>
                      <w:bCs/>
                      <w:color w:val="auto"/>
                      <w:lang w:val="en-US" w:eastAsia="zh-CN"/>
                    </w:rPr>
                  </w:pPr>
                  <w:r>
                    <w:rPr>
                      <w:rFonts w:hint="eastAsia"/>
                      <w:b/>
                      <w:bCs/>
                      <w:color w:val="auto"/>
                      <w:lang w:val="en-US" w:eastAsia="zh-CN"/>
                    </w:rPr>
                    <w:t>均值</w:t>
                  </w:r>
                </w:p>
              </w:tc>
              <w:tc>
                <w:tcPr>
                  <w:tcW w:w="1135" w:type="dxa"/>
                  <w:vAlign w:val="center"/>
                </w:tcPr>
                <w:p>
                  <w:pPr>
                    <w:pStyle w:val="55"/>
                    <w:bidi w:val="0"/>
                    <w:jc w:val="center"/>
                    <w:rPr>
                      <w:rFonts w:hint="default"/>
                      <w:b/>
                      <w:bCs/>
                      <w:color w:val="auto"/>
                      <w:lang w:val="en-US" w:eastAsia="zh-CN"/>
                    </w:rPr>
                  </w:pPr>
                  <w:r>
                    <w:rPr>
                      <w:rFonts w:hint="eastAsia"/>
                      <w:b/>
                      <w:bCs/>
                      <w:color w:val="auto"/>
                      <w:lang w:val="en-US" w:eastAsia="zh-CN"/>
                    </w:rPr>
                    <w:t>限值</w:t>
                  </w:r>
                </w:p>
              </w:tc>
              <w:tc>
                <w:tcPr>
                  <w:tcW w:w="1135" w:type="dxa"/>
                  <w:vAlign w:val="center"/>
                </w:tcPr>
                <w:p>
                  <w:pPr>
                    <w:pStyle w:val="55"/>
                    <w:bidi w:val="0"/>
                    <w:jc w:val="center"/>
                    <w:rPr>
                      <w:rFonts w:hint="default"/>
                      <w:b/>
                      <w:bCs/>
                      <w:color w:val="auto"/>
                      <w:lang w:val="en-US" w:eastAsia="zh-CN"/>
                    </w:rPr>
                  </w:pPr>
                  <w:r>
                    <w:rPr>
                      <w:rFonts w:hint="eastAsia"/>
                      <w:b/>
                      <w:bCs/>
                      <w:color w:val="auto"/>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Align w:val="center"/>
                </w:tcPr>
                <w:p>
                  <w:pPr>
                    <w:pStyle w:val="55"/>
                    <w:bidi w:val="0"/>
                    <w:jc w:val="center"/>
                    <w:rPr>
                      <w:rFonts w:hint="default"/>
                      <w:color w:val="auto"/>
                      <w:lang w:val="en-US" w:eastAsia="zh-CN"/>
                    </w:rPr>
                  </w:pPr>
                  <w:r>
                    <w:rPr>
                      <w:rFonts w:hint="eastAsia"/>
                      <w:color w:val="auto"/>
                      <w:lang w:val="en-US" w:eastAsia="zh-CN"/>
                    </w:rPr>
                    <w:t>流量</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33.8</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30.1</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30.7</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31.5</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m</w:t>
                  </w:r>
                  <w:r>
                    <w:rPr>
                      <w:rFonts w:hint="eastAsia"/>
                      <w:color w:val="auto"/>
                      <w:vertAlign w:val="superscript"/>
                      <w:lang w:val="en-US" w:eastAsia="zh-CN"/>
                    </w:rPr>
                    <w:t>3</w:t>
                  </w:r>
                  <w:r>
                    <w:rPr>
                      <w:rFonts w:hint="eastAsia"/>
                      <w:color w:val="auto"/>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Align w:val="center"/>
                </w:tcPr>
                <w:p>
                  <w:pPr>
                    <w:pStyle w:val="55"/>
                    <w:bidi w:val="0"/>
                    <w:jc w:val="center"/>
                    <w:rPr>
                      <w:rFonts w:hint="default"/>
                      <w:color w:val="auto"/>
                      <w:lang w:val="en-US" w:eastAsia="zh-CN"/>
                    </w:rPr>
                  </w:pPr>
                  <w:r>
                    <w:rPr>
                      <w:rFonts w:hint="eastAsia"/>
                      <w:color w:val="auto"/>
                      <w:lang w:val="en-US" w:eastAsia="zh-CN"/>
                    </w:rPr>
                    <w:t>水温</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18.2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18.4</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18.6</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18.4</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w:t>
                  </w:r>
                </w:p>
              </w:tc>
              <w:tc>
                <w:tcPr>
                  <w:tcW w:w="1135" w:type="dxa"/>
                  <w:vAlign w:val="center"/>
                </w:tcPr>
                <w:p>
                  <w:pPr>
                    <w:pStyle w:val="55"/>
                    <w:bidi w:val="0"/>
                    <w:jc w:val="center"/>
                    <w:rPr>
                      <w:rFonts w:hint="default"/>
                      <w:color w:val="auto"/>
                      <w:lang w:val="en-US" w:eastAsia="zh-CN"/>
                    </w:rPr>
                  </w:pPr>
                  <w:r>
                    <w:rPr>
                      <w:rFonts w:hint="eastAsia" w:ascii="宋体" w:hAnsi="宋体" w:eastAsia="宋体" w:cs="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pH</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7.2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7.2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7.3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7.2-7.3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6-9</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色度</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30</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悬浮物</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9</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9</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9</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9</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10</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化学需氧量</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9</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9</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10</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9</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50</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BOD5</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2.8</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3.1</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10</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Align w:val="center"/>
                </w:tcPr>
                <w:p>
                  <w:pPr>
                    <w:pStyle w:val="55"/>
                    <w:bidi w:val="0"/>
                    <w:jc w:val="center"/>
                    <w:rPr>
                      <w:rFonts w:hint="default"/>
                      <w:color w:val="auto"/>
                      <w:lang w:val="en-US" w:eastAsia="zh-CN"/>
                    </w:rPr>
                  </w:pPr>
                  <w:r>
                    <w:rPr>
                      <w:rFonts w:hint="eastAsia"/>
                      <w:color w:val="auto"/>
                      <w:lang w:val="en-US" w:eastAsia="zh-CN"/>
                    </w:rPr>
                    <w:t>总磷</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0.10</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0.5</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氨氮</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0.172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0.185</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0.188</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0.182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5</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总氮</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6.23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6.10</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6.27</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6.0</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15</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阴离子表面活性剂</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0.28</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0.27</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0.28</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0.5</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总汞</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0.001</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烷基汞</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不得检出</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总镉</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0.01</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总铬</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4.08*10</w:t>
                  </w:r>
                  <w:r>
                    <w:rPr>
                      <w:rFonts w:hint="eastAsia"/>
                      <w:color w:val="auto"/>
                      <w:vertAlign w:val="superscript"/>
                      <w:lang w:val="en-US" w:eastAsia="zh-CN"/>
                    </w:rPr>
                    <w:t>-3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4.3*10</w:t>
                  </w:r>
                  <w:r>
                    <w:rPr>
                      <w:rFonts w:hint="eastAsia"/>
                      <w:color w:val="auto"/>
                      <w:vertAlign w:val="superscript"/>
                      <w:lang w:val="en-US" w:eastAsia="zh-CN"/>
                    </w:rPr>
                    <w:t>-3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3.92*10</w:t>
                  </w:r>
                  <w:r>
                    <w:rPr>
                      <w:rFonts w:hint="eastAsia"/>
                      <w:color w:val="auto"/>
                      <w:vertAlign w:val="superscript"/>
                      <w:lang w:val="en-US" w:eastAsia="zh-CN"/>
                    </w:rPr>
                    <w:t>-3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4.1*10</w:t>
                  </w:r>
                  <w:r>
                    <w:rPr>
                      <w:rFonts w:hint="eastAsia"/>
                      <w:color w:val="auto"/>
                      <w:vertAlign w:val="superscript"/>
                      <w:lang w:val="en-US" w:eastAsia="zh-CN"/>
                    </w:rPr>
                    <w:t>-3</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六价铬</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0.05</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总砷</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总铅</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0.1</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动植物油</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石油类</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bidi w:val="0"/>
                    <w:jc w:val="center"/>
                    <w:rPr>
                      <w:rFonts w:hint="default"/>
                      <w:color w:val="auto"/>
                      <w:lang w:val="en-US" w:eastAsia="zh-CN"/>
                    </w:rPr>
                  </w:pPr>
                  <w:r>
                    <w:rPr>
                      <w:rFonts w:hint="eastAsia"/>
                      <w:color w:val="auto"/>
                      <w:lang w:val="en-US" w:eastAsia="zh-CN"/>
                    </w:rPr>
                    <w:t>ND</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jc w:val="center"/>
                    <w:rPr>
                      <w:rFonts w:hint="default"/>
                      <w:color w:val="auto"/>
                      <w:lang w:val="en-US" w:eastAsia="zh-CN"/>
                    </w:rPr>
                  </w:pPr>
                  <w:r>
                    <w:rPr>
                      <w:rFonts w:hint="eastAsia"/>
                      <w:color w:val="auto"/>
                      <w:lang w:val="en-US" w:eastAsia="zh-CN"/>
                    </w:rPr>
                    <w:t>粪大肠菌群数</w:t>
                  </w:r>
                </w:p>
              </w:tc>
              <w:tc>
                <w:tcPr>
                  <w:tcW w:w="1135" w:type="dxa"/>
                  <w:vAlign w:val="center"/>
                </w:tcPr>
                <w:p>
                  <w:pPr>
                    <w:pStyle w:val="55"/>
                    <w:bidi w:val="0"/>
                    <w:ind w:firstLine="0" w:firstLineChars="0"/>
                    <w:jc w:val="center"/>
                    <w:rPr>
                      <w:rFonts w:hint="default"/>
                      <w:color w:val="auto"/>
                      <w:lang w:val="en-US" w:eastAsia="zh-CN"/>
                    </w:rPr>
                  </w:pPr>
                  <w:r>
                    <w:rPr>
                      <w:rFonts w:hint="eastAsia"/>
                      <w:color w:val="auto"/>
                      <w:lang w:val="en-US" w:eastAsia="zh-CN"/>
                    </w:rPr>
                    <w:t>4.5*10</w:t>
                  </w:r>
                  <w:r>
                    <w:rPr>
                      <w:rFonts w:hint="eastAsia"/>
                      <w:color w:val="auto"/>
                      <w:vertAlign w:val="superscript"/>
                      <w:lang w:val="en-US" w:eastAsia="zh-CN"/>
                    </w:rPr>
                    <w:t>2</w:t>
                  </w:r>
                </w:p>
              </w:tc>
              <w:tc>
                <w:tcPr>
                  <w:tcW w:w="1135" w:type="dxa"/>
                  <w:vAlign w:val="center"/>
                </w:tcPr>
                <w:p>
                  <w:pPr>
                    <w:pStyle w:val="55"/>
                    <w:bidi w:val="0"/>
                    <w:ind w:firstLine="0" w:firstLineChars="0"/>
                    <w:jc w:val="center"/>
                    <w:rPr>
                      <w:rFonts w:hint="default"/>
                      <w:color w:val="auto"/>
                      <w:lang w:val="en-US" w:eastAsia="zh-CN"/>
                    </w:rPr>
                  </w:pPr>
                  <w:r>
                    <w:rPr>
                      <w:rFonts w:hint="eastAsia"/>
                      <w:color w:val="auto"/>
                      <w:lang w:val="en-US" w:eastAsia="zh-CN"/>
                    </w:rPr>
                    <w:t>4.6*10</w:t>
                  </w:r>
                  <w:r>
                    <w:rPr>
                      <w:rFonts w:hint="eastAsia"/>
                      <w:color w:val="auto"/>
                      <w:vertAlign w:val="superscript"/>
                      <w:lang w:val="en-US" w:eastAsia="zh-CN"/>
                    </w:rPr>
                    <w:t>2</w:t>
                  </w:r>
                </w:p>
              </w:tc>
              <w:tc>
                <w:tcPr>
                  <w:tcW w:w="1135" w:type="dxa"/>
                  <w:vAlign w:val="center"/>
                </w:tcPr>
                <w:p>
                  <w:pPr>
                    <w:pStyle w:val="55"/>
                    <w:bidi w:val="0"/>
                    <w:ind w:firstLine="0" w:firstLineChars="0"/>
                    <w:jc w:val="center"/>
                    <w:rPr>
                      <w:rFonts w:hint="default"/>
                      <w:color w:val="auto"/>
                      <w:lang w:val="en-US" w:eastAsia="zh-CN"/>
                    </w:rPr>
                  </w:pPr>
                  <w:r>
                    <w:rPr>
                      <w:rFonts w:hint="eastAsia"/>
                      <w:color w:val="auto"/>
                      <w:lang w:val="en-US" w:eastAsia="zh-CN"/>
                    </w:rPr>
                    <w:t>6.4*10</w:t>
                  </w:r>
                  <w:r>
                    <w:rPr>
                      <w:rFonts w:hint="eastAsia"/>
                      <w:color w:val="auto"/>
                      <w:vertAlign w:val="superscript"/>
                      <w:lang w:val="en-US" w:eastAsia="zh-CN"/>
                    </w:rPr>
                    <w:t>2</w:t>
                  </w:r>
                </w:p>
              </w:tc>
              <w:tc>
                <w:tcPr>
                  <w:tcW w:w="1135" w:type="dxa"/>
                  <w:vAlign w:val="center"/>
                </w:tcPr>
                <w:p>
                  <w:pPr>
                    <w:pStyle w:val="55"/>
                    <w:bidi w:val="0"/>
                    <w:ind w:firstLine="0" w:firstLineChars="0"/>
                    <w:jc w:val="center"/>
                    <w:rPr>
                      <w:rFonts w:hint="default"/>
                      <w:color w:val="auto"/>
                      <w:lang w:val="en-US" w:eastAsia="zh-CN"/>
                    </w:rPr>
                  </w:pPr>
                  <w:r>
                    <w:rPr>
                      <w:rFonts w:hint="eastAsia"/>
                      <w:color w:val="auto"/>
                      <w:lang w:val="en-US" w:eastAsia="zh-CN"/>
                    </w:rPr>
                    <w:t>5.2*10</w:t>
                  </w:r>
                  <w:r>
                    <w:rPr>
                      <w:rFonts w:hint="eastAsia"/>
                      <w:color w:val="auto"/>
                      <w:vertAlign w:val="superscript"/>
                      <w:lang w:val="en-US" w:eastAsia="zh-CN"/>
                    </w:rPr>
                    <w:t>2</w:t>
                  </w:r>
                </w:p>
              </w:tc>
              <w:tc>
                <w:tcPr>
                  <w:tcW w:w="1135" w:type="dxa"/>
                  <w:vAlign w:val="center"/>
                </w:tcPr>
                <w:p>
                  <w:pPr>
                    <w:pStyle w:val="55"/>
                    <w:bidi w:val="0"/>
                    <w:jc w:val="center"/>
                    <w:rPr>
                      <w:rFonts w:hint="default"/>
                      <w:color w:val="auto"/>
                      <w:lang w:val="en-US" w:eastAsia="zh-CN"/>
                    </w:rPr>
                  </w:pPr>
                  <w:r>
                    <w:rPr>
                      <w:rFonts w:hint="eastAsia"/>
                      <w:color w:val="auto"/>
                      <w:lang w:val="en-US" w:eastAsia="zh-CN"/>
                    </w:rPr>
                    <w:t>1000</w:t>
                  </w:r>
                </w:p>
              </w:tc>
              <w:tc>
                <w:tcPr>
                  <w:tcW w:w="1135" w:type="dxa"/>
                  <w:vAlign w:val="center"/>
                </w:tcPr>
                <w:p>
                  <w:pPr>
                    <w:bidi w:val="0"/>
                    <w:jc w:val="center"/>
                    <w:rPr>
                      <w:rFonts w:hint="default"/>
                      <w:color w:val="auto"/>
                      <w:lang w:val="en-US" w:eastAsia="zh-CN"/>
                    </w:rPr>
                  </w:pPr>
                  <w:r>
                    <w:rPr>
                      <w:rFonts w:hint="eastAsia"/>
                      <w:color w:val="auto"/>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55"/>
                    <w:bidi w:val="0"/>
                    <w:rPr>
                      <w:rFonts w:hint="default"/>
                      <w:color w:val="auto"/>
                      <w:lang w:val="en-US" w:eastAsia="zh-CN"/>
                    </w:rPr>
                  </w:pPr>
                  <w:r>
                    <w:rPr>
                      <w:rFonts w:hint="eastAsia"/>
                      <w:color w:val="auto"/>
                      <w:lang w:val="en-US" w:eastAsia="zh-CN"/>
                    </w:rPr>
                    <w:t>备注</w:t>
                  </w:r>
                </w:p>
              </w:tc>
              <w:tc>
                <w:tcPr>
                  <w:tcW w:w="6810" w:type="dxa"/>
                  <w:gridSpan w:val="6"/>
                  <w:vAlign w:val="center"/>
                </w:tcPr>
                <w:p>
                  <w:pPr>
                    <w:pStyle w:val="55"/>
                    <w:bidi w:val="0"/>
                    <w:rPr>
                      <w:rFonts w:hint="default"/>
                      <w:color w:val="auto"/>
                      <w:lang w:val="en-US" w:eastAsia="zh-CN"/>
                    </w:rPr>
                  </w:pPr>
                  <w:r>
                    <w:rPr>
                      <w:rFonts w:hint="eastAsia"/>
                      <w:color w:val="auto"/>
                      <w:lang w:val="en-US" w:eastAsia="zh-CN"/>
                    </w:rPr>
                    <w:t>限值参考《城镇污水处理厂污染物排放标准（含2006年的修改单）》（GB 18918-2002）表1一级A标准</w:t>
                  </w:r>
                </w:p>
              </w:tc>
            </w:tr>
          </w:tbl>
          <w:p>
            <w:pPr>
              <w:pStyle w:val="10"/>
              <w:rPr>
                <w:rFonts w:hint="default"/>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本项目位于</w:t>
            </w:r>
            <w:r>
              <w:rPr>
                <w:rFonts w:hint="eastAsia" w:ascii="Times New Roman" w:hAnsi="Times New Roman" w:eastAsia="宋体" w:cs="Times New Roman"/>
                <w:color w:val="auto"/>
                <w:sz w:val="24"/>
                <w:szCs w:val="24"/>
                <w:u w:val="single" w:color="auto"/>
                <w:lang w:val="en-US" w:eastAsia="zh-CN"/>
              </w:rPr>
              <w:t>东塘</w:t>
            </w:r>
            <w:r>
              <w:rPr>
                <w:rFonts w:hint="eastAsia" w:ascii="Times New Roman" w:hAnsi="Times New Roman" w:eastAsia="宋体" w:cs="Times New Roman"/>
                <w:color w:val="auto"/>
                <w:sz w:val="24"/>
                <w:szCs w:val="24"/>
                <w:u w:val="single" w:color="auto"/>
                <w:lang w:eastAsia="zh-CN"/>
              </w:rPr>
              <w:t>镇污水处理厂</w:t>
            </w:r>
            <w:r>
              <w:rPr>
                <w:rFonts w:hint="eastAsia" w:ascii="Times New Roman" w:hAnsi="Times New Roman" w:eastAsia="宋体" w:cs="Times New Roman"/>
                <w:color w:val="auto"/>
                <w:sz w:val="24"/>
                <w:szCs w:val="24"/>
                <w:u w:val="single" w:color="auto"/>
                <w:lang w:val="en-US" w:eastAsia="zh-CN"/>
              </w:rPr>
              <w:t>纳污</w:t>
            </w:r>
            <w:r>
              <w:rPr>
                <w:rFonts w:hint="default" w:ascii="Times New Roman" w:hAnsi="Times New Roman" w:eastAsia="宋体" w:cs="Times New Roman"/>
                <w:color w:val="auto"/>
                <w:sz w:val="24"/>
                <w:szCs w:val="24"/>
                <w:u w:val="single" w:color="auto"/>
              </w:rPr>
              <w:t>范围内，污水管网已建成并接通</w:t>
            </w:r>
            <w:r>
              <w:rPr>
                <w:rFonts w:hint="eastAsia" w:ascii="Times New Roman" w:hAnsi="Times New Roman" w:eastAsia="宋体" w:cs="Times New Roman"/>
                <w:color w:val="auto"/>
                <w:sz w:val="24"/>
                <w:szCs w:val="24"/>
                <w:u w:val="single" w:color="auto"/>
                <w:lang w:eastAsia="zh-CN"/>
              </w:rPr>
              <w:t>湘阴县</w:t>
            </w:r>
            <w:r>
              <w:rPr>
                <w:rFonts w:hint="eastAsia" w:ascii="Times New Roman" w:hAnsi="Times New Roman" w:eastAsia="宋体" w:cs="Times New Roman"/>
                <w:color w:val="auto"/>
                <w:sz w:val="24"/>
                <w:szCs w:val="24"/>
                <w:u w:val="single" w:color="auto"/>
                <w:lang w:val="en-US" w:eastAsia="zh-CN"/>
              </w:rPr>
              <w:t>东</w:t>
            </w:r>
            <w:r>
              <w:rPr>
                <w:rFonts w:hint="eastAsia" w:ascii="Times New Roman" w:hAnsi="Times New Roman" w:eastAsia="宋体" w:cs="Times New Roman"/>
                <w:color w:val="auto"/>
                <w:sz w:val="24"/>
                <w:szCs w:val="24"/>
                <w:u w:val="single" w:color="auto"/>
                <w:lang w:eastAsia="zh-CN"/>
              </w:rPr>
              <w:t>塘镇污水处理厂</w:t>
            </w:r>
            <w:r>
              <w:rPr>
                <w:rFonts w:hint="default" w:ascii="Times New Roman" w:hAnsi="Times New Roman" w:eastAsia="宋体" w:cs="Times New Roman"/>
                <w:color w:val="auto"/>
                <w:sz w:val="24"/>
                <w:szCs w:val="24"/>
                <w:u w:val="single" w:color="auto"/>
              </w:rPr>
              <w:t>，</w:t>
            </w:r>
            <w:r>
              <w:rPr>
                <w:rFonts w:hint="eastAsia" w:ascii="Times New Roman" w:hAnsi="Times New Roman" w:eastAsia="宋体" w:cs="Times New Roman"/>
                <w:color w:val="auto"/>
                <w:sz w:val="24"/>
                <w:szCs w:val="24"/>
                <w:u w:val="single" w:color="auto"/>
                <w:lang w:val="en-US" w:eastAsia="zh-CN"/>
              </w:rPr>
              <w:t>医院</w:t>
            </w:r>
            <w:r>
              <w:rPr>
                <w:rFonts w:hint="default" w:ascii="Times New Roman" w:hAnsi="Times New Roman" w:eastAsia="宋体" w:cs="Times New Roman"/>
                <w:color w:val="auto"/>
                <w:sz w:val="24"/>
                <w:szCs w:val="24"/>
                <w:u w:val="single" w:color="auto"/>
              </w:rPr>
              <w:t>污水</w:t>
            </w:r>
            <w:r>
              <w:rPr>
                <w:rFonts w:hint="eastAsia" w:ascii="Times New Roman" w:hAnsi="Times New Roman" w:eastAsia="宋体" w:cs="Times New Roman"/>
                <w:color w:val="auto"/>
                <w:sz w:val="24"/>
                <w:szCs w:val="24"/>
                <w:u w:val="single" w:color="auto"/>
                <w:lang w:val="en-US" w:eastAsia="zh-CN"/>
              </w:rPr>
              <w:t>可</w:t>
            </w:r>
            <w:r>
              <w:rPr>
                <w:rFonts w:hint="default" w:ascii="Times New Roman" w:hAnsi="Times New Roman" w:eastAsia="宋体" w:cs="Times New Roman"/>
                <w:color w:val="auto"/>
                <w:sz w:val="24"/>
                <w:szCs w:val="24"/>
                <w:u w:val="single" w:color="auto"/>
              </w:rPr>
              <w:t>全部</w:t>
            </w:r>
            <w:r>
              <w:rPr>
                <w:rFonts w:hint="eastAsia" w:ascii="Times New Roman" w:hAnsi="Times New Roman" w:eastAsia="宋体" w:cs="Times New Roman"/>
                <w:color w:val="auto"/>
                <w:sz w:val="24"/>
                <w:szCs w:val="24"/>
                <w:u w:val="single" w:color="auto"/>
                <w:lang w:val="en-US" w:eastAsia="zh-CN"/>
              </w:rPr>
              <w:t>排入东塘</w:t>
            </w:r>
            <w:r>
              <w:rPr>
                <w:rFonts w:hint="eastAsia" w:ascii="Times New Roman" w:hAnsi="Times New Roman" w:eastAsia="宋体" w:cs="Times New Roman"/>
                <w:color w:val="auto"/>
                <w:sz w:val="24"/>
                <w:szCs w:val="24"/>
                <w:u w:val="single" w:color="auto"/>
                <w:lang w:eastAsia="zh-CN"/>
              </w:rPr>
              <w:t>镇污水处理厂。</w:t>
            </w:r>
            <w:r>
              <w:rPr>
                <w:rFonts w:hint="default" w:ascii="Times New Roman" w:hAnsi="Times New Roman" w:eastAsia="宋体" w:cs="Times New Roman"/>
                <w:color w:val="auto"/>
                <w:sz w:val="24"/>
                <w:szCs w:val="24"/>
                <w:u w:val="single" w:color="auto"/>
              </w:rPr>
              <w:t>本项目废水</w:t>
            </w:r>
            <w:r>
              <w:rPr>
                <w:rFonts w:hint="eastAsia" w:ascii="Times New Roman" w:hAnsi="Times New Roman" w:eastAsia="宋体" w:cs="Times New Roman"/>
                <w:color w:val="auto"/>
                <w:sz w:val="24"/>
                <w:szCs w:val="24"/>
                <w:u w:val="single" w:color="auto"/>
                <w:lang w:val="en-US" w:eastAsia="zh-CN"/>
              </w:rPr>
              <w:t>理论</w:t>
            </w:r>
            <w:r>
              <w:rPr>
                <w:rFonts w:hint="default" w:ascii="Times New Roman" w:hAnsi="Times New Roman" w:eastAsia="宋体" w:cs="Times New Roman"/>
                <w:color w:val="auto"/>
                <w:sz w:val="24"/>
                <w:szCs w:val="24"/>
                <w:u w:val="single" w:color="auto"/>
              </w:rPr>
              <w:t>排放量为</w:t>
            </w:r>
            <w:r>
              <w:rPr>
                <w:rFonts w:hint="eastAsia" w:cs="Times New Roman"/>
                <w:color w:val="auto"/>
                <w:sz w:val="24"/>
                <w:szCs w:val="24"/>
                <w:highlight w:val="none"/>
                <w:u w:val="single" w:color="auto"/>
                <w:lang w:val="en-US" w:eastAsia="zh-CN"/>
              </w:rPr>
              <w:t>17.702</w:t>
            </w:r>
            <w:r>
              <w:rPr>
                <w:rFonts w:hint="default" w:ascii="Times New Roman" w:hAnsi="Times New Roman" w:eastAsia="宋体" w:cs="Times New Roman"/>
                <w:color w:val="auto"/>
                <w:sz w:val="24"/>
                <w:szCs w:val="24"/>
                <w:highlight w:val="none"/>
                <w:u w:val="single" w:color="auto"/>
              </w:rPr>
              <w:t>m</w:t>
            </w:r>
            <w:r>
              <w:rPr>
                <w:rFonts w:hint="default" w:ascii="Times New Roman" w:hAnsi="Times New Roman" w:eastAsia="宋体" w:cs="Times New Roman"/>
                <w:color w:val="auto"/>
                <w:sz w:val="24"/>
                <w:szCs w:val="24"/>
                <w:highlight w:val="none"/>
                <w:u w:val="single" w:color="auto"/>
                <w:vertAlign w:val="superscript"/>
              </w:rPr>
              <w:t>3</w:t>
            </w:r>
            <w:r>
              <w:rPr>
                <w:rFonts w:hint="default" w:ascii="Times New Roman" w:hAnsi="Times New Roman" w:eastAsia="宋体" w:cs="Times New Roman"/>
                <w:color w:val="auto"/>
                <w:sz w:val="24"/>
                <w:szCs w:val="24"/>
                <w:highlight w:val="none"/>
                <w:u w:val="single" w:color="auto"/>
              </w:rPr>
              <w:t>/d</w:t>
            </w:r>
            <w:r>
              <w:rPr>
                <w:rFonts w:hint="eastAsia"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u w:val="single" w:color="auto"/>
              </w:rPr>
              <w:t>主要污染物为COD</w:t>
            </w:r>
            <w:r>
              <w:rPr>
                <w:rFonts w:hint="default" w:ascii="Times New Roman" w:hAnsi="Times New Roman" w:eastAsia="宋体" w:cs="Times New Roman"/>
                <w:color w:val="auto"/>
                <w:sz w:val="24"/>
                <w:szCs w:val="24"/>
                <w:u w:val="single" w:color="auto"/>
                <w:vertAlign w:val="subscript"/>
              </w:rPr>
              <w:t>Cr</w:t>
            </w:r>
            <w:r>
              <w:rPr>
                <w:rFonts w:hint="default" w:ascii="Times New Roman" w:hAnsi="Times New Roman" w:eastAsia="宋体" w:cs="Times New Roman"/>
                <w:color w:val="auto"/>
                <w:sz w:val="24"/>
                <w:szCs w:val="24"/>
                <w:u w:val="single" w:color="auto"/>
              </w:rPr>
              <w:t>、BOD</w:t>
            </w:r>
            <w:r>
              <w:rPr>
                <w:rFonts w:hint="default" w:ascii="Times New Roman" w:hAnsi="Times New Roman" w:eastAsia="宋体" w:cs="Times New Roman"/>
                <w:color w:val="auto"/>
                <w:sz w:val="24"/>
                <w:szCs w:val="24"/>
                <w:u w:val="single" w:color="auto"/>
                <w:vertAlign w:val="subscript"/>
              </w:rPr>
              <w:t>5</w:t>
            </w:r>
            <w:r>
              <w:rPr>
                <w:rFonts w:hint="default" w:ascii="Times New Roman" w:hAnsi="Times New Roman" w:eastAsia="宋体" w:cs="Times New Roman"/>
                <w:color w:val="auto"/>
                <w:sz w:val="24"/>
                <w:szCs w:val="24"/>
                <w:u w:val="single" w:color="auto"/>
              </w:rPr>
              <w:t>、SS、氨氮</w:t>
            </w:r>
            <w:r>
              <w:rPr>
                <w:rFonts w:hint="eastAsia" w:ascii="Times New Roman" w:hAnsi="Times New Roman" w:eastAsia="宋体" w:cs="Times New Roman"/>
                <w:color w:val="auto"/>
                <w:sz w:val="24"/>
                <w:szCs w:val="24"/>
                <w:u w:val="single" w:color="auto"/>
                <w:lang w:val="en-US" w:eastAsia="zh-CN"/>
              </w:rPr>
              <w:t>等</w:t>
            </w:r>
            <w:r>
              <w:rPr>
                <w:rFonts w:hint="eastAsia" w:eastAsia="宋体" w:cs="Times New Roman"/>
                <w:color w:val="auto"/>
                <w:sz w:val="24"/>
                <w:szCs w:val="24"/>
                <w:u w:val="single" w:color="auto"/>
                <w:lang w:val="en-US" w:eastAsia="zh-CN"/>
              </w:rPr>
              <w:t>，</w:t>
            </w:r>
            <w:r>
              <w:rPr>
                <w:rFonts w:hint="eastAsia" w:ascii="Times New Roman" w:hAnsi="Times New Roman" w:eastAsia="宋体" w:cs="Times New Roman"/>
                <w:color w:val="auto"/>
                <w:sz w:val="24"/>
                <w:szCs w:val="24"/>
                <w:u w:val="single" w:color="auto"/>
                <w:lang w:val="en-US" w:eastAsia="zh-CN"/>
              </w:rPr>
              <w:t>本项目废水量仅为东塘镇污水处理厂处理能了的</w:t>
            </w:r>
            <w:r>
              <w:rPr>
                <w:rFonts w:hint="eastAsia" w:cs="Times New Roman"/>
                <w:color w:val="auto"/>
                <w:sz w:val="24"/>
                <w:szCs w:val="24"/>
                <w:u w:val="single" w:color="auto"/>
                <w:lang w:val="en-US" w:eastAsia="zh-CN"/>
              </w:rPr>
              <w:t>3.5</w:t>
            </w:r>
            <w:r>
              <w:rPr>
                <w:rFonts w:hint="eastAsia" w:ascii="Times New Roman" w:hAnsi="Times New Roman" w:eastAsia="宋体" w:cs="Times New Roman"/>
                <w:color w:val="auto"/>
                <w:sz w:val="24"/>
                <w:szCs w:val="24"/>
                <w:u w:val="single" w:color="auto"/>
                <w:lang w:val="en-US" w:eastAsia="zh-CN"/>
              </w:rPr>
              <w:t>%，</w:t>
            </w:r>
            <w:r>
              <w:rPr>
                <w:rFonts w:hint="eastAsia" w:cs="Times New Roman"/>
                <w:color w:val="auto"/>
                <w:sz w:val="24"/>
                <w:szCs w:val="24"/>
                <w:highlight w:val="none"/>
                <w:u w:val="single" w:color="auto"/>
                <w:lang w:val="en-US" w:eastAsia="zh-CN"/>
              </w:rPr>
              <w:t>现</w:t>
            </w:r>
            <w:r>
              <w:rPr>
                <w:rFonts w:hint="eastAsia" w:ascii="Times New Roman" w:hAnsi="Times New Roman" w:eastAsia="宋体" w:cs="Times New Roman"/>
                <w:color w:val="auto"/>
                <w:sz w:val="24"/>
                <w:szCs w:val="24"/>
                <w:u w:val="single" w:color="auto"/>
                <w:lang w:val="en-US" w:eastAsia="zh-CN"/>
              </w:rPr>
              <w:t>东塘镇污水处理厂</w:t>
            </w:r>
            <w:r>
              <w:rPr>
                <w:rFonts w:hint="eastAsia" w:cs="Times New Roman"/>
                <w:color w:val="auto"/>
                <w:sz w:val="24"/>
                <w:szCs w:val="24"/>
                <w:highlight w:val="none"/>
                <w:u w:val="single" w:color="auto"/>
                <w:lang w:val="en-US" w:eastAsia="zh-CN"/>
              </w:rPr>
              <w:t>污水处理量约430</w:t>
            </w:r>
            <w:r>
              <w:rPr>
                <w:rFonts w:hint="eastAsia" w:ascii="Times New Roman" w:hAnsi="Times New Roman" w:eastAsia="宋体" w:cs="Times New Roman"/>
                <w:color w:val="auto"/>
                <w:sz w:val="24"/>
                <w:szCs w:val="24"/>
                <w:highlight w:val="none"/>
                <w:u w:val="single" w:color="auto"/>
                <w:lang w:eastAsia="zh-CN"/>
              </w:rPr>
              <w:t>m</w:t>
            </w:r>
            <w:r>
              <w:rPr>
                <w:rFonts w:hint="eastAsia" w:ascii="Times New Roman" w:hAnsi="Times New Roman" w:eastAsia="宋体" w:cs="Times New Roman"/>
                <w:color w:val="auto"/>
                <w:sz w:val="24"/>
                <w:szCs w:val="24"/>
                <w:highlight w:val="none"/>
                <w:u w:val="single" w:color="auto"/>
                <w:vertAlign w:val="superscript"/>
                <w:lang w:eastAsia="zh-CN"/>
              </w:rPr>
              <w:t>3</w:t>
            </w:r>
            <w:r>
              <w:rPr>
                <w:rFonts w:hint="eastAsia" w:ascii="Times New Roman" w:hAnsi="Times New Roman" w:eastAsia="宋体" w:cs="Times New Roman"/>
                <w:color w:val="auto"/>
                <w:sz w:val="24"/>
                <w:szCs w:val="24"/>
                <w:highlight w:val="none"/>
                <w:u w:val="single" w:color="auto"/>
                <w:lang w:eastAsia="zh-CN"/>
              </w:rPr>
              <w:t>/d</w:t>
            </w:r>
            <w:r>
              <w:rPr>
                <w:rFonts w:hint="eastAsia" w:cs="Times New Roman"/>
                <w:color w:val="auto"/>
                <w:sz w:val="24"/>
                <w:szCs w:val="24"/>
                <w:highlight w:val="none"/>
                <w:u w:val="single" w:color="auto"/>
                <w:lang w:eastAsia="zh-CN"/>
              </w:rPr>
              <w:t>（</w:t>
            </w:r>
            <w:r>
              <w:rPr>
                <w:rFonts w:hint="eastAsia" w:cs="Times New Roman"/>
                <w:color w:val="auto"/>
                <w:sz w:val="24"/>
                <w:szCs w:val="24"/>
                <w:highlight w:val="none"/>
                <w:u w:val="single" w:color="auto"/>
                <w:lang w:val="en-US" w:eastAsia="zh-CN"/>
              </w:rPr>
              <w:t>已包含卫生院现污水量</w:t>
            </w:r>
            <w:r>
              <w:rPr>
                <w:rFonts w:hint="eastAsia" w:cs="Times New Roman"/>
                <w:color w:val="auto"/>
                <w:sz w:val="24"/>
                <w:szCs w:val="24"/>
                <w:highlight w:val="none"/>
                <w:u w:val="single" w:color="auto"/>
                <w:lang w:eastAsia="zh-CN"/>
              </w:rPr>
              <w:t>）</w:t>
            </w:r>
            <w:r>
              <w:rPr>
                <w:rFonts w:hint="eastAsia" w:cs="Times New Roman"/>
                <w:color w:val="auto"/>
                <w:sz w:val="24"/>
                <w:szCs w:val="24"/>
                <w:highlight w:val="none"/>
                <w:u w:val="single" w:color="auto"/>
                <w:lang w:val="en-US" w:eastAsia="zh-CN"/>
              </w:rPr>
              <w:t>，尚有富足容量接纳本项目新增污水量，</w:t>
            </w:r>
            <w:r>
              <w:rPr>
                <w:rFonts w:hint="eastAsia" w:ascii="Times New Roman" w:hAnsi="Times New Roman" w:eastAsia="宋体" w:cs="Times New Roman"/>
                <w:color w:val="auto"/>
                <w:sz w:val="24"/>
                <w:szCs w:val="24"/>
                <w:u w:val="single" w:color="auto"/>
                <w:lang w:val="en-US" w:eastAsia="zh-CN"/>
              </w:rPr>
              <w:t>且</w:t>
            </w:r>
            <w:r>
              <w:rPr>
                <w:rFonts w:hint="eastAsia" w:cs="Times New Roman"/>
                <w:color w:val="auto"/>
                <w:sz w:val="24"/>
                <w:szCs w:val="24"/>
                <w:u w:val="single" w:color="auto"/>
                <w:lang w:val="en-US" w:eastAsia="zh-CN"/>
              </w:rPr>
              <w:t>本项目</w:t>
            </w:r>
            <w:r>
              <w:rPr>
                <w:rFonts w:hint="eastAsia" w:ascii="Times New Roman" w:hAnsi="Times New Roman" w:eastAsia="宋体" w:cs="Times New Roman"/>
                <w:color w:val="auto"/>
                <w:sz w:val="24"/>
                <w:szCs w:val="24"/>
                <w:u w:val="single" w:color="auto"/>
                <w:lang w:val="en-US" w:eastAsia="zh-CN"/>
              </w:rPr>
              <w:t>主要污染物排放浓度可以达到污水处理厂的进水标准。</w:t>
            </w:r>
            <w:r>
              <w:rPr>
                <w:rFonts w:hint="default" w:ascii="Times New Roman" w:hAnsi="Times New Roman" w:eastAsia="宋体" w:cs="Times New Roman"/>
                <w:color w:val="auto"/>
                <w:sz w:val="24"/>
                <w:szCs w:val="24"/>
                <w:u w:val="single" w:color="auto"/>
              </w:rPr>
              <w:t>因此，本项目污水进入</w:t>
            </w:r>
            <w:r>
              <w:rPr>
                <w:rFonts w:hint="eastAsia" w:ascii="Times New Roman" w:hAnsi="Times New Roman" w:eastAsia="宋体" w:cs="Times New Roman"/>
                <w:color w:val="auto"/>
                <w:sz w:val="24"/>
                <w:szCs w:val="24"/>
                <w:u w:val="single" w:color="auto"/>
                <w:lang w:val="en-US" w:eastAsia="zh-CN"/>
              </w:rPr>
              <w:t>东</w:t>
            </w:r>
            <w:r>
              <w:rPr>
                <w:rFonts w:hint="eastAsia" w:ascii="Times New Roman" w:hAnsi="Times New Roman" w:eastAsia="宋体" w:cs="Times New Roman"/>
                <w:color w:val="auto"/>
                <w:sz w:val="24"/>
                <w:szCs w:val="24"/>
                <w:u w:val="single" w:color="auto"/>
                <w:lang w:eastAsia="zh-CN"/>
              </w:rPr>
              <w:t>塘镇污水处理厂</w:t>
            </w:r>
            <w:r>
              <w:rPr>
                <w:rFonts w:hint="default" w:ascii="Times New Roman" w:hAnsi="Times New Roman" w:eastAsia="宋体" w:cs="Times New Roman"/>
                <w:color w:val="auto"/>
                <w:sz w:val="24"/>
                <w:szCs w:val="24"/>
                <w:u w:val="single" w:color="auto"/>
              </w:rPr>
              <w:t>集中处理是可行的。</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6</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rPr>
              <w:t>建设项目废水排放信息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废水类别、污染物及污染治理设施信息</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表4-</w:t>
            </w:r>
            <w:r>
              <w:rPr>
                <w:rFonts w:hint="eastAsia" w:cs="Times New Roman"/>
                <w:color w:val="auto"/>
                <w:sz w:val="24"/>
                <w:szCs w:val="24"/>
                <w:u w:val="none" w:color="auto"/>
                <w:lang w:val="en-US" w:eastAsia="zh-CN"/>
              </w:rPr>
              <w:t>8</w:t>
            </w:r>
            <w:r>
              <w:rPr>
                <w:rFonts w:hint="default" w:ascii="Times New Roman" w:hAnsi="Times New Roman" w:eastAsia="宋体" w:cs="Times New Roman"/>
                <w:color w:val="auto"/>
                <w:sz w:val="24"/>
                <w:szCs w:val="24"/>
                <w:u w:val="none" w:color="auto"/>
              </w:rPr>
              <w:t>废水类别、污染物及污染治理措施一览表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730"/>
              <w:gridCol w:w="2334"/>
              <w:gridCol w:w="1336"/>
              <w:gridCol w:w="1250"/>
              <w:gridCol w:w="86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序号</w:t>
                  </w:r>
                </w:p>
              </w:tc>
              <w:tc>
                <w:tcPr>
                  <w:tcW w:w="7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废水类别</w:t>
                  </w:r>
                </w:p>
              </w:tc>
              <w:tc>
                <w:tcPr>
                  <w:tcW w:w="233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污染物种类</w:t>
                  </w:r>
                </w:p>
              </w:tc>
              <w:tc>
                <w:tcPr>
                  <w:tcW w:w="133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污染治理设施名称</w:t>
                  </w:r>
                </w:p>
              </w:tc>
              <w:tc>
                <w:tcPr>
                  <w:tcW w:w="12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污染治理设施工艺</w:t>
                  </w:r>
                </w:p>
              </w:tc>
              <w:tc>
                <w:tcPr>
                  <w:tcW w:w="8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排放口编号</w:t>
                  </w:r>
                </w:p>
              </w:tc>
              <w:tc>
                <w:tcPr>
                  <w:tcW w:w="9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1</w:t>
                  </w:r>
                </w:p>
              </w:tc>
              <w:tc>
                <w:tcPr>
                  <w:tcW w:w="7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医疗废水</w:t>
                  </w:r>
                </w:p>
              </w:tc>
              <w:tc>
                <w:tcPr>
                  <w:tcW w:w="233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COD</w:t>
                  </w:r>
                  <w:r>
                    <w:rPr>
                      <w:rFonts w:hint="default" w:ascii="Times New Roman" w:hAnsi="Times New Roman" w:eastAsia="宋体" w:cs="Times New Roman"/>
                      <w:bCs/>
                      <w:color w:val="auto"/>
                      <w:spacing w:val="-10"/>
                      <w:sz w:val="21"/>
                      <w:szCs w:val="21"/>
                      <w:u w:val="none" w:color="auto"/>
                      <w:vertAlign w:val="subscript"/>
                      <w:lang w:val="en-US" w:eastAsia="zh-CN"/>
                    </w:rPr>
                    <w:t>Cr</w:t>
                  </w:r>
                  <w:r>
                    <w:rPr>
                      <w:rFonts w:hint="default" w:ascii="Times New Roman" w:hAnsi="Times New Roman" w:eastAsia="宋体" w:cs="Times New Roman"/>
                      <w:bCs/>
                      <w:color w:val="auto"/>
                      <w:spacing w:val="-10"/>
                      <w:sz w:val="21"/>
                      <w:szCs w:val="21"/>
                      <w:u w:val="none" w:color="auto"/>
                      <w:vertAlign w:val="baseline"/>
                      <w:lang w:val="en-US" w:eastAsia="zh-CN"/>
                    </w:rPr>
                    <w:t>、BOD</w:t>
                  </w:r>
                  <w:r>
                    <w:rPr>
                      <w:rFonts w:hint="default" w:ascii="Times New Roman" w:hAnsi="Times New Roman" w:eastAsia="宋体" w:cs="Times New Roman"/>
                      <w:bCs/>
                      <w:color w:val="auto"/>
                      <w:spacing w:val="-10"/>
                      <w:sz w:val="21"/>
                      <w:szCs w:val="21"/>
                      <w:u w:val="none" w:color="auto"/>
                      <w:vertAlign w:val="subscript"/>
                      <w:lang w:val="en-US" w:eastAsia="zh-CN"/>
                    </w:rPr>
                    <w:t>5</w:t>
                  </w:r>
                  <w:r>
                    <w:rPr>
                      <w:rFonts w:hint="default" w:ascii="Times New Roman" w:hAnsi="Times New Roman" w:eastAsia="宋体" w:cs="Times New Roman"/>
                      <w:bCs/>
                      <w:color w:val="auto"/>
                      <w:spacing w:val="-10"/>
                      <w:sz w:val="21"/>
                      <w:szCs w:val="21"/>
                      <w:u w:val="none" w:color="auto"/>
                      <w:vertAlign w:val="baseline"/>
                      <w:lang w:val="en-US" w:eastAsia="zh-CN"/>
                    </w:rPr>
                    <w:t>、SS、氨氮、粪大肠菌群等</w:t>
                  </w:r>
                </w:p>
              </w:tc>
              <w:tc>
                <w:tcPr>
                  <w:tcW w:w="133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eastAsia" w:ascii="Times New Roman" w:hAnsi="Times New Roman" w:eastAsia="宋体" w:cs="Times New Roman"/>
                      <w:bCs/>
                      <w:color w:val="auto"/>
                      <w:spacing w:val="-10"/>
                      <w:sz w:val="21"/>
                      <w:szCs w:val="21"/>
                      <w:u w:val="none" w:color="auto"/>
                      <w:vertAlign w:val="baseline"/>
                      <w:lang w:val="en-US" w:eastAsia="zh-CN"/>
                    </w:rPr>
                    <w:t>地埋式污水处理站</w:t>
                  </w:r>
                </w:p>
              </w:tc>
              <w:tc>
                <w:tcPr>
                  <w:tcW w:w="12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eastAsia" w:ascii="Times New Roman" w:hAnsi="Times New Roman" w:eastAsia="宋体" w:cs="Times New Roman"/>
                      <w:bCs/>
                      <w:color w:val="auto"/>
                      <w:spacing w:val="-10"/>
                      <w:sz w:val="21"/>
                      <w:szCs w:val="21"/>
                      <w:u w:val="none" w:color="auto"/>
                      <w:vertAlign w:val="baseline"/>
                      <w:lang w:val="en-US" w:eastAsia="zh-CN"/>
                    </w:rPr>
                    <w:t>A/O工艺</w:t>
                  </w:r>
                </w:p>
              </w:tc>
              <w:tc>
                <w:tcPr>
                  <w:tcW w:w="8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highlight w:val="none"/>
                      <w:u w:val="none" w:color="auto"/>
                      <w:vertAlign w:val="baseline"/>
                      <w:lang w:val="en-US" w:eastAsia="zh-CN"/>
                    </w:rPr>
                    <w:t>DW001</w:t>
                  </w:r>
                </w:p>
              </w:tc>
              <w:tc>
                <w:tcPr>
                  <w:tcW w:w="9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一般排放口</w:t>
                  </w:r>
                </w:p>
              </w:tc>
            </w:tr>
          </w:tbl>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废水</w:t>
            </w:r>
            <w:r>
              <w:rPr>
                <w:rFonts w:hint="default" w:ascii="Times New Roman" w:hAnsi="Times New Roman" w:eastAsia="宋体" w:cs="Times New Roman"/>
                <w:color w:val="auto"/>
                <w:kern w:val="0"/>
                <w:sz w:val="24"/>
                <w:szCs w:val="24"/>
                <w:u w:val="none" w:color="auto"/>
              </w:rPr>
              <w:t>污染物</w:t>
            </w:r>
            <w:r>
              <w:rPr>
                <w:rFonts w:hint="default" w:ascii="Times New Roman" w:hAnsi="Times New Roman" w:eastAsia="宋体" w:cs="Times New Roman"/>
                <w:color w:val="auto"/>
                <w:sz w:val="24"/>
                <w:szCs w:val="24"/>
                <w:u w:val="none" w:color="auto"/>
              </w:rPr>
              <w:t>排放信息</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表4-</w:t>
            </w:r>
            <w:r>
              <w:rPr>
                <w:rFonts w:hint="eastAsia" w:cs="Times New Roman"/>
                <w:color w:val="auto"/>
                <w:sz w:val="24"/>
                <w:szCs w:val="24"/>
                <w:u w:val="none" w:color="auto"/>
                <w:lang w:val="en-US" w:eastAsia="zh-CN"/>
              </w:rPr>
              <w:t>9</w:t>
            </w:r>
            <w:r>
              <w:rPr>
                <w:rFonts w:hint="default" w:ascii="Times New Roman" w:hAnsi="Times New Roman" w:eastAsia="宋体" w:cs="Times New Roman"/>
                <w:color w:val="auto"/>
                <w:sz w:val="24"/>
                <w:szCs w:val="24"/>
                <w:u w:val="none" w:color="auto"/>
              </w:rPr>
              <w:t>废水排放口基本情况</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2"/>
              <w:gridCol w:w="5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2"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排放口编号</w:t>
                  </w:r>
                </w:p>
              </w:tc>
              <w:tc>
                <w:tcPr>
                  <w:tcW w:w="5434"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yellow"/>
                      <w:u w:val="none" w:color="auto"/>
                      <w:vertAlign w:val="baseline"/>
                      <w:lang w:val="en-US" w:eastAsia="zh-CN"/>
                    </w:rPr>
                  </w:pPr>
                  <w:r>
                    <w:rPr>
                      <w:rFonts w:hint="default" w:ascii="Times New Roman" w:hAnsi="Times New Roman" w:eastAsia="宋体" w:cs="Times New Roman"/>
                      <w:bCs/>
                      <w:color w:val="auto"/>
                      <w:spacing w:val="-10"/>
                      <w:sz w:val="21"/>
                      <w:szCs w:val="21"/>
                      <w:highlight w:val="none"/>
                      <w:u w:val="none" w:color="auto"/>
                      <w:vertAlign w:val="baseline"/>
                      <w:lang w:val="en-US" w:eastAsia="zh-CN"/>
                    </w:rPr>
                    <w:t>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2"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bCs/>
                      <w:color w:val="auto"/>
                      <w:spacing w:val="-10"/>
                      <w:sz w:val="21"/>
                      <w:szCs w:val="21"/>
                      <w:highlight w:val="none"/>
                      <w:u w:val="none" w:color="auto"/>
                      <w:vertAlign w:val="baseline"/>
                      <w:lang w:val="en-US" w:eastAsia="zh-CN"/>
                    </w:rPr>
                    <w:t>排放口地理坐标</w:t>
                  </w:r>
                </w:p>
              </w:tc>
              <w:tc>
                <w:tcPr>
                  <w:tcW w:w="5434"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bCs/>
                      <w:color w:val="auto"/>
                      <w:spacing w:val="-10"/>
                      <w:sz w:val="21"/>
                      <w:szCs w:val="21"/>
                      <w:highlight w:val="none"/>
                      <w:u w:val="none" w:color="auto"/>
                      <w:vertAlign w:val="baseline"/>
                      <w:lang w:val="en-US" w:eastAsia="zh-CN"/>
                    </w:rPr>
                    <w:t>东经112°5</w:t>
                  </w:r>
                  <w:r>
                    <w:rPr>
                      <w:rFonts w:hint="eastAsia" w:ascii="Times New Roman" w:hAnsi="Times New Roman" w:eastAsia="宋体" w:cs="Times New Roman"/>
                      <w:bCs/>
                      <w:color w:val="auto"/>
                      <w:spacing w:val="-10"/>
                      <w:sz w:val="21"/>
                      <w:szCs w:val="21"/>
                      <w:highlight w:val="none"/>
                      <w:u w:val="none" w:color="auto"/>
                      <w:vertAlign w:val="baseline"/>
                      <w:lang w:val="en-US" w:eastAsia="zh-CN"/>
                    </w:rPr>
                    <w:t>7</w:t>
                  </w:r>
                  <w:r>
                    <w:rPr>
                      <w:rFonts w:hint="default" w:ascii="Times New Roman" w:hAnsi="Times New Roman" w:eastAsia="宋体" w:cs="Times New Roman"/>
                      <w:bCs/>
                      <w:color w:val="auto"/>
                      <w:spacing w:val="-10"/>
                      <w:sz w:val="21"/>
                      <w:szCs w:val="21"/>
                      <w:highlight w:val="none"/>
                      <w:u w:val="none" w:color="auto"/>
                      <w:vertAlign w:val="baseline"/>
                      <w:lang w:val="en-US" w:eastAsia="zh-CN"/>
                    </w:rPr>
                    <w:t>′</w:t>
                  </w:r>
                  <w:r>
                    <w:rPr>
                      <w:rFonts w:hint="eastAsia" w:ascii="Times New Roman" w:hAnsi="Times New Roman" w:eastAsia="宋体" w:cs="Times New Roman"/>
                      <w:bCs/>
                      <w:color w:val="auto"/>
                      <w:spacing w:val="-10"/>
                      <w:sz w:val="21"/>
                      <w:szCs w:val="21"/>
                      <w:highlight w:val="none"/>
                      <w:u w:val="none" w:color="auto"/>
                      <w:vertAlign w:val="baseline"/>
                      <w:lang w:val="en-US" w:eastAsia="zh-CN"/>
                    </w:rPr>
                    <w:t>46.275</w:t>
                  </w:r>
                  <w:r>
                    <w:rPr>
                      <w:rFonts w:hint="default" w:ascii="Times New Roman" w:hAnsi="Times New Roman" w:eastAsia="宋体" w:cs="Times New Roman"/>
                      <w:bCs/>
                      <w:color w:val="auto"/>
                      <w:spacing w:val="-10"/>
                      <w:sz w:val="21"/>
                      <w:szCs w:val="21"/>
                      <w:highlight w:val="none"/>
                      <w:u w:val="none" w:color="auto"/>
                      <w:vertAlign w:val="baseline"/>
                      <w:lang w:val="en-US" w:eastAsia="zh-CN"/>
                    </w:rPr>
                    <w:t>″，北纬28°</w:t>
                  </w:r>
                  <w:r>
                    <w:rPr>
                      <w:rFonts w:hint="eastAsia" w:ascii="Times New Roman" w:hAnsi="Times New Roman" w:eastAsia="宋体" w:cs="Times New Roman"/>
                      <w:bCs/>
                      <w:color w:val="auto"/>
                      <w:spacing w:val="-10"/>
                      <w:sz w:val="21"/>
                      <w:szCs w:val="21"/>
                      <w:highlight w:val="none"/>
                      <w:u w:val="none" w:color="auto"/>
                      <w:vertAlign w:val="baseline"/>
                      <w:lang w:val="en-US" w:eastAsia="zh-CN"/>
                    </w:rPr>
                    <w:t>46</w:t>
                  </w:r>
                  <w:r>
                    <w:rPr>
                      <w:rFonts w:hint="default" w:ascii="Times New Roman" w:hAnsi="Times New Roman" w:eastAsia="宋体" w:cs="Times New Roman"/>
                      <w:bCs/>
                      <w:color w:val="auto"/>
                      <w:spacing w:val="-10"/>
                      <w:sz w:val="21"/>
                      <w:szCs w:val="21"/>
                      <w:highlight w:val="none"/>
                      <w:u w:val="none" w:color="auto"/>
                      <w:vertAlign w:val="baseline"/>
                      <w:lang w:val="en-US" w:eastAsia="zh-CN"/>
                    </w:rPr>
                    <w:t>′</w:t>
                  </w:r>
                  <w:r>
                    <w:rPr>
                      <w:rFonts w:hint="eastAsia" w:ascii="Times New Roman" w:hAnsi="Times New Roman" w:eastAsia="宋体" w:cs="Times New Roman"/>
                      <w:bCs/>
                      <w:color w:val="auto"/>
                      <w:spacing w:val="-10"/>
                      <w:sz w:val="21"/>
                      <w:szCs w:val="21"/>
                      <w:highlight w:val="none"/>
                      <w:u w:val="none" w:color="auto"/>
                      <w:vertAlign w:val="baseline"/>
                      <w:lang w:val="en-US" w:eastAsia="zh-CN"/>
                    </w:rPr>
                    <w:t>40.183</w:t>
                  </w:r>
                  <w:r>
                    <w:rPr>
                      <w:rFonts w:hint="default" w:ascii="Times New Roman" w:hAnsi="Times New Roman" w:eastAsia="宋体" w:cs="Times New Roman"/>
                      <w:bCs/>
                      <w:color w:val="auto"/>
                      <w:spacing w:val="-10"/>
                      <w:sz w:val="21"/>
                      <w:szCs w:val="21"/>
                      <w:highlight w:val="none"/>
                      <w:u w:val="non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2"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废水排放量</w:t>
                  </w:r>
                </w:p>
              </w:tc>
              <w:tc>
                <w:tcPr>
                  <w:tcW w:w="5434"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yellow"/>
                      <w:u w:val="none" w:color="auto"/>
                      <w:vertAlign w:val="baseline"/>
                      <w:lang w:val="en-US" w:eastAsia="zh-CN"/>
                    </w:rPr>
                  </w:pPr>
                  <w:r>
                    <w:rPr>
                      <w:rFonts w:hint="eastAsia" w:cs="Times New Roman"/>
                      <w:bCs/>
                      <w:color w:val="auto"/>
                      <w:spacing w:val="-10"/>
                      <w:sz w:val="21"/>
                      <w:szCs w:val="21"/>
                      <w:highlight w:val="none"/>
                      <w:u w:val="none" w:color="auto"/>
                      <w:vertAlign w:val="baseline"/>
                      <w:lang w:val="en-US" w:eastAsia="zh-CN"/>
                    </w:rPr>
                    <w:t>17.702</w:t>
                  </w:r>
                  <w:r>
                    <w:rPr>
                      <w:rFonts w:hint="default" w:ascii="Times New Roman" w:hAnsi="Times New Roman" w:eastAsia="宋体" w:cs="Times New Roman"/>
                      <w:bCs/>
                      <w:color w:val="auto"/>
                      <w:spacing w:val="-10"/>
                      <w:sz w:val="21"/>
                      <w:szCs w:val="21"/>
                      <w:highlight w:val="none"/>
                      <w:u w:val="none" w:color="auto"/>
                      <w:vertAlign w:val="baseline"/>
                      <w:lang w:val="en-US" w:eastAsia="zh-CN"/>
                    </w:rPr>
                    <w:t>m</w:t>
                  </w:r>
                  <w:r>
                    <w:rPr>
                      <w:rFonts w:hint="default" w:ascii="Times New Roman" w:hAnsi="Times New Roman" w:eastAsia="宋体" w:cs="Times New Roman"/>
                      <w:bCs/>
                      <w:color w:val="auto"/>
                      <w:spacing w:val="-10"/>
                      <w:sz w:val="21"/>
                      <w:szCs w:val="21"/>
                      <w:highlight w:val="none"/>
                      <w:u w:val="none" w:color="auto"/>
                      <w:vertAlign w:val="superscript"/>
                      <w:lang w:val="en-US" w:eastAsia="zh-CN"/>
                    </w:rPr>
                    <w:t>3</w:t>
                  </w:r>
                  <w:r>
                    <w:rPr>
                      <w:rFonts w:hint="default" w:ascii="Times New Roman" w:hAnsi="Times New Roman" w:eastAsia="宋体" w:cs="Times New Roman"/>
                      <w:bCs/>
                      <w:color w:val="auto"/>
                      <w:spacing w:val="-10"/>
                      <w:sz w:val="21"/>
                      <w:szCs w:val="21"/>
                      <w:highlight w:val="none"/>
                      <w:u w:val="none" w:color="auto"/>
                      <w:vertAlign w:val="baseli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512"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排放去向</w:t>
                  </w:r>
                </w:p>
              </w:tc>
              <w:tc>
                <w:tcPr>
                  <w:tcW w:w="5434"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bCs/>
                      <w:color w:val="auto"/>
                      <w:spacing w:val="-10"/>
                      <w:sz w:val="21"/>
                      <w:szCs w:val="21"/>
                      <w:highlight w:val="none"/>
                      <w:u w:val="none" w:color="auto"/>
                      <w:vertAlign w:val="baseline"/>
                      <w:lang w:val="en-US" w:eastAsia="zh-CN"/>
                    </w:rPr>
                    <w:t>进入</w:t>
                  </w:r>
                  <w:r>
                    <w:rPr>
                      <w:rFonts w:hint="eastAsia" w:ascii="Times New Roman" w:hAnsi="Times New Roman" w:eastAsia="宋体" w:cs="Times New Roman"/>
                      <w:bCs/>
                      <w:color w:val="auto"/>
                      <w:spacing w:val="-10"/>
                      <w:sz w:val="21"/>
                      <w:szCs w:val="21"/>
                      <w:highlight w:val="none"/>
                      <w:u w:val="none" w:color="auto"/>
                      <w:vertAlign w:val="baseline"/>
                      <w:lang w:val="en-US" w:eastAsia="zh-CN"/>
                    </w:rPr>
                    <w:t>东塘镇</w:t>
                  </w:r>
                  <w:r>
                    <w:rPr>
                      <w:rFonts w:hint="default" w:ascii="Times New Roman" w:hAnsi="Times New Roman" w:eastAsia="宋体" w:cs="Times New Roman"/>
                      <w:bCs/>
                      <w:color w:val="auto"/>
                      <w:spacing w:val="-10"/>
                      <w:sz w:val="21"/>
                      <w:szCs w:val="21"/>
                      <w:highlight w:val="none"/>
                      <w:u w:val="none" w:color="auto"/>
                      <w:vertAlign w:val="baseline"/>
                      <w:lang w:val="en-US" w:eastAsia="zh-CN"/>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2"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排放规律</w:t>
                  </w:r>
                </w:p>
              </w:tc>
              <w:tc>
                <w:tcPr>
                  <w:tcW w:w="5434"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bCs/>
                      <w:color w:val="auto"/>
                      <w:spacing w:val="-10"/>
                      <w:sz w:val="21"/>
                      <w:szCs w:val="21"/>
                      <w:highlight w:val="none"/>
                      <w:u w:val="none" w:color="auto"/>
                      <w:vertAlign w:val="baseline"/>
                      <w:lang w:val="en-US" w:eastAsia="zh-CN"/>
                    </w:rPr>
                    <w:t>间接排放，排放期间流量稳定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2"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受纳污水处理厂名称</w:t>
                  </w:r>
                </w:p>
              </w:tc>
              <w:tc>
                <w:tcPr>
                  <w:tcW w:w="5434"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eastAsia" w:ascii="Times New Roman" w:hAnsi="Times New Roman" w:eastAsia="宋体" w:cs="Times New Roman"/>
                      <w:bCs/>
                      <w:color w:val="auto"/>
                      <w:spacing w:val="-10"/>
                      <w:sz w:val="21"/>
                      <w:szCs w:val="21"/>
                      <w:highlight w:val="none"/>
                      <w:u w:val="none" w:color="auto"/>
                      <w:vertAlign w:val="baseline"/>
                      <w:lang w:val="en-US" w:eastAsia="zh-CN"/>
                    </w:rPr>
                    <w:t>湘阴县东塘镇污水处理厂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2"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u w:val="none" w:color="auto"/>
                      <w:vertAlign w:val="baseline"/>
                      <w:lang w:val="en-US" w:eastAsia="zh-CN"/>
                    </w:rPr>
                  </w:pPr>
                  <w:r>
                    <w:rPr>
                      <w:rFonts w:hint="default" w:ascii="Times New Roman" w:hAnsi="Times New Roman" w:eastAsia="宋体" w:cs="Times New Roman"/>
                      <w:bCs/>
                      <w:color w:val="auto"/>
                      <w:spacing w:val="-10"/>
                      <w:sz w:val="21"/>
                      <w:szCs w:val="21"/>
                      <w:u w:val="none" w:color="auto"/>
                      <w:vertAlign w:val="baseline"/>
                      <w:lang w:val="en-US" w:eastAsia="zh-CN"/>
                    </w:rPr>
                    <w:t>污水处理厂出水水质标准</w:t>
                  </w:r>
                </w:p>
              </w:tc>
              <w:tc>
                <w:tcPr>
                  <w:tcW w:w="5434" w:type="dxa"/>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bCs/>
                      <w:color w:val="auto"/>
                      <w:spacing w:val="-10"/>
                      <w:sz w:val="21"/>
                      <w:szCs w:val="21"/>
                      <w:highlight w:val="none"/>
                      <w:u w:val="none" w:color="auto"/>
                      <w:vertAlign w:val="baseline"/>
                      <w:lang w:val="en-US" w:eastAsia="zh-CN"/>
                    </w:rPr>
                    <w:t>《城镇污水处理厂污染物排放标准》（GB18918-2002）一级标</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sz w:val="21"/>
                      <w:szCs w:val="21"/>
                      <w:highlight w:val="none"/>
                      <w:u w:val="none" w:color="auto"/>
                      <w:vertAlign w:val="baseline"/>
                      <w:lang w:val="en-US" w:eastAsia="zh-CN"/>
                    </w:rPr>
                  </w:pPr>
                  <w:r>
                    <w:rPr>
                      <w:rFonts w:hint="default" w:ascii="Times New Roman" w:hAnsi="Times New Roman" w:eastAsia="宋体" w:cs="Times New Roman"/>
                      <w:bCs/>
                      <w:color w:val="auto"/>
                      <w:spacing w:val="-10"/>
                      <w:sz w:val="21"/>
                      <w:szCs w:val="21"/>
                      <w:highlight w:val="none"/>
                      <w:u w:val="none" w:color="auto"/>
                      <w:vertAlign w:val="baseline"/>
                      <w:lang w:val="en-US" w:eastAsia="zh-CN"/>
                    </w:rPr>
                    <w:t>准的A标准</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b/>
                <w:bCs/>
                <w:color w:val="auto"/>
                <w:kern w:val="0"/>
                <w:sz w:val="24"/>
                <w:szCs w:val="24"/>
                <w:u w:val="none" w:color="auto"/>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eastAsia" w:ascii="Times New Roman" w:hAnsi="Times New Roman" w:eastAsia="宋体" w:cs="Times New Roman"/>
                <w:b/>
                <w:bCs/>
                <w:color w:val="auto"/>
                <w:kern w:val="0"/>
                <w:sz w:val="24"/>
                <w:szCs w:val="24"/>
                <w:u w:val="none" w:color="auto"/>
                <w:lang w:eastAsia="zh-CN"/>
              </w:rPr>
              <w:t>（</w:t>
            </w:r>
            <w:r>
              <w:rPr>
                <w:rFonts w:hint="eastAsia" w:cs="Times New Roman"/>
                <w:b/>
                <w:bCs/>
                <w:color w:val="auto"/>
                <w:kern w:val="0"/>
                <w:sz w:val="24"/>
                <w:szCs w:val="24"/>
                <w:u w:val="none" w:color="auto"/>
                <w:lang w:val="en-US" w:eastAsia="zh-CN"/>
              </w:rPr>
              <w:t>7</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rPr>
              <w:t>自行监测计划</w:t>
            </w:r>
          </w:p>
          <w:p>
            <w:pPr>
              <w:pStyle w:val="10"/>
              <w:bidi w:val="0"/>
              <w:rPr>
                <w:rFonts w:hint="eastAsia"/>
                <w:color w:val="auto"/>
                <w:lang w:eastAsia="zh-CN"/>
              </w:rPr>
            </w:pPr>
            <w:r>
              <w:rPr>
                <w:rFonts w:hint="eastAsia"/>
                <w:color w:val="auto"/>
              </w:rPr>
              <w:t>根据</w:t>
            </w:r>
            <w:r>
              <w:rPr>
                <w:rFonts w:hint="default"/>
                <w:color w:val="auto"/>
                <w:lang w:val="en-US" w:eastAsia="zh-CN"/>
              </w:rPr>
              <w:t>《固定污染源排污许可分类管理名录</w:t>
            </w:r>
            <w:r>
              <w:rPr>
                <w:rFonts w:hint="default"/>
                <w:color w:val="auto"/>
              </w:rPr>
              <w:t>》（</w:t>
            </w:r>
            <w:r>
              <w:rPr>
                <w:rFonts w:hint="eastAsia"/>
                <w:color w:val="auto"/>
                <w:lang w:val="en-US" w:eastAsia="zh-CN"/>
              </w:rPr>
              <w:t>2019版</w:t>
            </w:r>
            <w:r>
              <w:rPr>
                <w:rFonts w:hint="default"/>
                <w:color w:val="auto"/>
              </w:rPr>
              <w:t>）</w:t>
            </w:r>
            <w:r>
              <w:rPr>
                <w:rFonts w:hint="eastAsia"/>
                <w:color w:val="auto"/>
                <w:lang w:val="en-US" w:eastAsia="zh-CN"/>
              </w:rPr>
              <w:t>管理要求</w:t>
            </w:r>
            <w:r>
              <w:rPr>
                <w:rFonts w:hint="eastAsia"/>
                <w:color w:val="auto"/>
                <w:lang w:eastAsia="zh-CN"/>
              </w:rPr>
              <w:t>，床位100 张以下</w:t>
            </w:r>
            <w:r>
              <w:rPr>
                <w:rFonts w:hint="eastAsia" w:eastAsia="宋体" w:cs="Times New Roman"/>
                <w:color w:val="auto"/>
                <w:sz w:val="24"/>
                <w:szCs w:val="24"/>
                <w:highlight w:val="none"/>
                <w:u w:val="none" w:color="auto"/>
                <w:lang w:val="en-US" w:eastAsia="zh-CN"/>
              </w:rPr>
              <w:t>乡镇医院</w:t>
            </w:r>
            <w:r>
              <w:rPr>
                <w:rFonts w:hint="eastAsia"/>
                <w:color w:val="auto"/>
                <w:lang w:val="en-US" w:eastAsia="zh-CN"/>
              </w:rPr>
              <w:t>进行登记管理，未对废水污染源监测进行要求</w:t>
            </w:r>
            <w:r>
              <w:rPr>
                <w:rFonts w:hint="eastAsia"/>
                <w:color w:val="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eastAsia" w:ascii="Times New Roman" w:hAnsi="Times New Roman" w:eastAsia="宋体" w:cs="Times New Roman"/>
                <w:b/>
                <w:bCs/>
                <w:color w:val="auto"/>
                <w:kern w:val="0"/>
                <w:sz w:val="24"/>
                <w:szCs w:val="24"/>
                <w:u w:val="none" w:color="auto"/>
                <w:lang w:val="en-US" w:eastAsia="zh-CN"/>
              </w:rPr>
              <w:t xml:space="preserve">3 </w:t>
            </w:r>
            <w:r>
              <w:rPr>
                <w:rFonts w:hint="default" w:ascii="Times New Roman" w:hAnsi="Times New Roman" w:eastAsia="宋体" w:cs="Times New Roman"/>
                <w:b/>
                <w:bCs/>
                <w:color w:val="auto"/>
                <w:kern w:val="0"/>
                <w:sz w:val="24"/>
                <w:szCs w:val="24"/>
                <w:u w:val="none" w:color="auto"/>
              </w:rPr>
              <w:t>运营期噪声</w:t>
            </w:r>
          </w:p>
          <w:p>
            <w:pPr>
              <w:pStyle w:val="43"/>
              <w:keepNext w:val="0"/>
              <w:keepLines w:val="0"/>
              <w:pageBreakBefore w:val="0"/>
              <w:kinsoku/>
              <w:wordWrap/>
              <w:overflowPunct/>
              <w:topLinePunct w:val="0"/>
              <w:autoSpaceDE/>
              <w:autoSpaceDN/>
              <w:bidi w:val="0"/>
              <w:spacing w:line="360" w:lineRule="auto"/>
              <w:ind w:left="103" w:right="102" w:firstLine="480"/>
              <w:jc w:val="both"/>
              <w:textAlignment w:val="auto"/>
              <w:rPr>
                <w:rFonts w:hint="eastAsia" w:ascii="Times New Roman" w:hAnsi="Times New Roman" w:eastAsia="宋体" w:cs="Times New Roman"/>
                <w:color w:val="auto"/>
                <w:sz w:val="24"/>
                <w:szCs w:val="24"/>
                <w:highlight w:val="yellow"/>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主要噪声有医疗设备噪声、空调室外机噪声、配电设备噪声、污水处理系统噪声及人员活动噪声等。</w:t>
            </w:r>
            <w:r>
              <w:rPr>
                <w:rFonts w:hint="default" w:ascii="Times New Roman" w:hAnsi="Times New Roman" w:eastAsia="宋体" w:cs="Times New Roman"/>
                <w:b w:val="0"/>
                <w:bCs w:val="0"/>
                <w:color w:val="auto"/>
                <w:sz w:val="24"/>
                <w:szCs w:val="32"/>
                <w:u w:val="none" w:color="auto"/>
                <w:vertAlign w:val="baseline"/>
                <w:lang w:val="en-US" w:eastAsia="zh-CN"/>
              </w:rPr>
              <w:t>噪声源强约为</w:t>
            </w:r>
            <w:r>
              <w:rPr>
                <w:rFonts w:hint="eastAsia" w:ascii="Times New Roman" w:hAnsi="Times New Roman" w:eastAsia="宋体" w:cs="Times New Roman"/>
                <w:b w:val="0"/>
                <w:bCs w:val="0"/>
                <w:color w:val="auto"/>
                <w:sz w:val="24"/>
                <w:szCs w:val="32"/>
                <w:u w:val="none" w:color="auto"/>
                <w:vertAlign w:val="baseline"/>
                <w:lang w:val="en-US" w:eastAsia="zh-CN"/>
              </w:rPr>
              <w:t>55</w:t>
            </w:r>
            <w:r>
              <w:rPr>
                <w:rFonts w:hint="default" w:ascii="Times New Roman" w:hAnsi="Times New Roman" w:eastAsia="宋体" w:cs="Times New Roman"/>
                <w:b w:val="0"/>
                <w:bCs w:val="0"/>
                <w:color w:val="auto"/>
                <w:sz w:val="24"/>
                <w:szCs w:val="32"/>
                <w:u w:val="none" w:color="auto"/>
                <w:vertAlign w:val="baseline"/>
                <w:lang w:val="en-US" w:eastAsia="zh-CN"/>
              </w:rPr>
              <w:t>~75dB(A)</w:t>
            </w:r>
            <w:r>
              <w:rPr>
                <w:rFonts w:hint="eastAsia" w:ascii="Times New Roman" w:hAnsi="Times New Roman" w:eastAsia="宋体" w:cs="Times New Roman"/>
                <w:b w:val="0"/>
                <w:bCs w:val="0"/>
                <w:color w:val="auto"/>
                <w:sz w:val="24"/>
                <w:szCs w:val="32"/>
                <w:u w:val="none" w:color="auto"/>
                <w:vertAlign w:val="baseline"/>
                <w:lang w:val="en-US" w:eastAsia="zh-CN"/>
              </w:rPr>
              <w:t>，</w:t>
            </w:r>
            <w:r>
              <w:rPr>
                <w:rFonts w:hint="eastAsia" w:ascii="Times New Roman" w:hAnsi="Times New Roman" w:eastAsia="宋体" w:cs="Times New Roman"/>
                <w:color w:val="auto"/>
                <w:sz w:val="24"/>
                <w:szCs w:val="24"/>
                <w:highlight w:val="none"/>
                <w:u w:val="none" w:color="auto"/>
                <w:lang w:val="en-US" w:eastAsia="zh-CN"/>
              </w:rPr>
              <w:t>本项目主要噪声源及噪声强度如下表。</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eastAsia="zh-CN"/>
              </w:rPr>
              <w:t>表4-</w:t>
            </w:r>
            <w:r>
              <w:rPr>
                <w:rFonts w:hint="eastAsia" w:cs="Times New Roman"/>
                <w:color w:val="auto"/>
                <w:sz w:val="24"/>
                <w:szCs w:val="24"/>
                <w:u w:val="none" w:color="auto"/>
                <w:lang w:val="en-US" w:eastAsia="zh-CN"/>
              </w:rPr>
              <w:t>10</w:t>
            </w:r>
            <w:r>
              <w:rPr>
                <w:rFonts w:hint="eastAsia" w:ascii="Times New Roman" w:hAnsi="Times New Roman" w:eastAsia="宋体" w:cs="Times New Roman"/>
                <w:color w:val="auto"/>
                <w:sz w:val="24"/>
                <w:szCs w:val="24"/>
                <w:u w:val="none" w:color="auto"/>
                <w:lang w:val="en-US" w:eastAsia="zh-CN"/>
              </w:rPr>
              <w:t xml:space="preserve">  主要噪声源及噪声强度一览表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403"/>
              <w:gridCol w:w="1787"/>
              <w:gridCol w:w="1338"/>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center"/>
                </w:tcPr>
                <w:p>
                  <w:pPr>
                    <w:pStyle w:val="49"/>
                    <w:bidi w:val="0"/>
                    <w:rPr>
                      <w:rFonts w:hint="default"/>
                      <w:color w:val="auto"/>
                      <w:lang w:val="en-US" w:eastAsia="zh-CN"/>
                    </w:rPr>
                  </w:pPr>
                  <w:r>
                    <w:rPr>
                      <w:rFonts w:hint="eastAsia"/>
                      <w:color w:val="auto"/>
                      <w:lang w:val="en-US" w:eastAsia="zh-CN"/>
                    </w:rPr>
                    <w:t>序号</w:t>
                  </w:r>
                </w:p>
              </w:tc>
              <w:tc>
                <w:tcPr>
                  <w:tcW w:w="1403" w:type="dxa"/>
                  <w:noWrap w:val="0"/>
                  <w:vAlign w:val="center"/>
                </w:tcPr>
                <w:p>
                  <w:pPr>
                    <w:pStyle w:val="49"/>
                    <w:bidi w:val="0"/>
                    <w:rPr>
                      <w:rFonts w:hint="default"/>
                      <w:color w:val="auto"/>
                      <w:lang w:val="en-US" w:eastAsia="zh-CN"/>
                    </w:rPr>
                  </w:pPr>
                  <w:r>
                    <w:rPr>
                      <w:rFonts w:hint="eastAsia"/>
                      <w:color w:val="auto"/>
                      <w:lang w:val="en-US" w:eastAsia="zh-CN"/>
                    </w:rPr>
                    <w:t>噪声源</w:t>
                  </w:r>
                </w:p>
              </w:tc>
              <w:tc>
                <w:tcPr>
                  <w:tcW w:w="1787" w:type="dxa"/>
                  <w:noWrap w:val="0"/>
                  <w:vAlign w:val="center"/>
                </w:tcPr>
                <w:p>
                  <w:pPr>
                    <w:pStyle w:val="49"/>
                    <w:bidi w:val="0"/>
                    <w:rPr>
                      <w:rFonts w:hint="default"/>
                      <w:color w:val="auto"/>
                      <w:lang w:val="en-US" w:eastAsia="zh-CN"/>
                    </w:rPr>
                  </w:pPr>
                  <w:r>
                    <w:rPr>
                      <w:rFonts w:hint="eastAsia"/>
                      <w:color w:val="auto"/>
                      <w:lang w:val="en-US" w:eastAsia="zh-CN"/>
                    </w:rPr>
                    <w:t>噪声强度</w:t>
                  </w:r>
                </w:p>
              </w:tc>
              <w:tc>
                <w:tcPr>
                  <w:tcW w:w="1338" w:type="dxa"/>
                  <w:noWrap w:val="0"/>
                  <w:vAlign w:val="center"/>
                </w:tcPr>
                <w:p>
                  <w:pPr>
                    <w:pStyle w:val="49"/>
                    <w:bidi w:val="0"/>
                    <w:rPr>
                      <w:rFonts w:hint="default"/>
                      <w:color w:val="auto"/>
                      <w:lang w:val="en-US" w:eastAsia="zh-CN"/>
                    </w:rPr>
                  </w:pPr>
                  <w:r>
                    <w:rPr>
                      <w:rFonts w:hint="eastAsia"/>
                      <w:color w:val="auto"/>
                      <w:lang w:val="en-US" w:eastAsia="zh-CN"/>
                    </w:rPr>
                    <w:t>噪声特性</w:t>
                  </w:r>
                </w:p>
              </w:tc>
              <w:tc>
                <w:tcPr>
                  <w:tcW w:w="2326" w:type="dxa"/>
                  <w:noWrap w:val="0"/>
                  <w:vAlign w:val="center"/>
                </w:tcPr>
                <w:p>
                  <w:pPr>
                    <w:pStyle w:val="49"/>
                    <w:bidi w:val="0"/>
                    <w:rPr>
                      <w:rFonts w:hint="default"/>
                      <w:color w:val="auto"/>
                      <w:lang w:val="en-US" w:eastAsia="zh-CN"/>
                    </w:rPr>
                  </w:pPr>
                  <w:r>
                    <w:rPr>
                      <w:rFonts w:hint="eastAsia"/>
                      <w:color w:val="auto"/>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center"/>
                </w:tcPr>
                <w:p>
                  <w:pPr>
                    <w:pStyle w:val="49"/>
                    <w:bidi w:val="0"/>
                    <w:rPr>
                      <w:rFonts w:hint="default"/>
                      <w:color w:val="auto"/>
                      <w:lang w:val="en-US" w:eastAsia="zh-CN"/>
                    </w:rPr>
                  </w:pPr>
                  <w:r>
                    <w:rPr>
                      <w:rFonts w:hint="eastAsia"/>
                      <w:color w:val="auto"/>
                      <w:lang w:val="en-US" w:eastAsia="zh-CN"/>
                    </w:rPr>
                    <w:t>1</w:t>
                  </w:r>
                </w:p>
              </w:tc>
              <w:tc>
                <w:tcPr>
                  <w:tcW w:w="1403" w:type="dxa"/>
                  <w:noWrap w:val="0"/>
                  <w:vAlign w:val="center"/>
                </w:tcPr>
                <w:p>
                  <w:pPr>
                    <w:pStyle w:val="49"/>
                    <w:bidi w:val="0"/>
                    <w:rPr>
                      <w:rFonts w:hint="default"/>
                      <w:color w:val="auto"/>
                      <w:lang w:val="en-US" w:eastAsia="zh-CN"/>
                    </w:rPr>
                  </w:pPr>
                  <w:r>
                    <w:rPr>
                      <w:rFonts w:hint="eastAsia"/>
                      <w:color w:val="auto"/>
                      <w:lang w:val="en-US" w:eastAsia="zh-CN"/>
                    </w:rPr>
                    <w:t>空调外机</w:t>
                  </w:r>
                </w:p>
              </w:tc>
              <w:tc>
                <w:tcPr>
                  <w:tcW w:w="1787" w:type="dxa"/>
                  <w:noWrap w:val="0"/>
                  <w:vAlign w:val="center"/>
                </w:tcPr>
                <w:p>
                  <w:pPr>
                    <w:pStyle w:val="49"/>
                    <w:bidi w:val="0"/>
                    <w:rPr>
                      <w:rFonts w:hint="default"/>
                      <w:color w:val="auto"/>
                      <w:lang w:val="en-US" w:eastAsia="zh-CN"/>
                    </w:rPr>
                  </w:pPr>
                  <w:r>
                    <w:rPr>
                      <w:rFonts w:hint="eastAsia"/>
                      <w:color w:val="auto"/>
                      <w:lang w:val="en-US" w:eastAsia="zh-CN"/>
                    </w:rPr>
                    <w:t>55-65dB（A）</w:t>
                  </w:r>
                </w:p>
              </w:tc>
              <w:tc>
                <w:tcPr>
                  <w:tcW w:w="1338" w:type="dxa"/>
                  <w:noWrap w:val="0"/>
                  <w:vAlign w:val="center"/>
                </w:tcPr>
                <w:p>
                  <w:pPr>
                    <w:pStyle w:val="49"/>
                    <w:bidi w:val="0"/>
                    <w:rPr>
                      <w:rFonts w:hint="default"/>
                      <w:color w:val="auto"/>
                      <w:lang w:val="en-US" w:eastAsia="zh-CN"/>
                    </w:rPr>
                  </w:pPr>
                  <w:r>
                    <w:rPr>
                      <w:rFonts w:hint="eastAsia"/>
                      <w:color w:val="auto"/>
                      <w:lang w:val="en-US" w:eastAsia="zh-CN"/>
                    </w:rPr>
                    <w:t>间歇</w:t>
                  </w:r>
                </w:p>
              </w:tc>
              <w:tc>
                <w:tcPr>
                  <w:tcW w:w="2326" w:type="dxa"/>
                  <w:noWrap w:val="0"/>
                  <w:vAlign w:val="center"/>
                </w:tcPr>
                <w:p>
                  <w:pPr>
                    <w:pStyle w:val="49"/>
                    <w:bidi w:val="0"/>
                    <w:rPr>
                      <w:rFonts w:hint="default"/>
                      <w:color w:val="auto"/>
                      <w:lang w:val="en-US" w:eastAsia="zh-CN"/>
                    </w:rPr>
                  </w:pPr>
                  <w:r>
                    <w:rPr>
                      <w:rFonts w:hint="eastAsia"/>
                      <w:color w:val="auto"/>
                      <w:lang w:val="en-US" w:eastAsia="zh-CN"/>
                    </w:rPr>
                    <w:t>建筑室外墙壁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center"/>
                </w:tcPr>
                <w:p>
                  <w:pPr>
                    <w:pStyle w:val="49"/>
                    <w:bidi w:val="0"/>
                    <w:rPr>
                      <w:rFonts w:hint="default"/>
                      <w:color w:val="auto"/>
                      <w:lang w:val="en-US" w:eastAsia="zh-CN"/>
                    </w:rPr>
                  </w:pPr>
                  <w:r>
                    <w:rPr>
                      <w:rFonts w:hint="eastAsia"/>
                      <w:color w:val="auto"/>
                      <w:lang w:val="en-US" w:eastAsia="zh-CN"/>
                    </w:rPr>
                    <w:t>2</w:t>
                  </w:r>
                </w:p>
              </w:tc>
              <w:tc>
                <w:tcPr>
                  <w:tcW w:w="1403" w:type="dxa"/>
                  <w:noWrap w:val="0"/>
                  <w:vAlign w:val="center"/>
                </w:tcPr>
                <w:p>
                  <w:pPr>
                    <w:pStyle w:val="49"/>
                    <w:bidi w:val="0"/>
                    <w:rPr>
                      <w:rFonts w:hint="default"/>
                      <w:color w:val="auto"/>
                      <w:lang w:val="en-US" w:eastAsia="zh-CN"/>
                    </w:rPr>
                  </w:pPr>
                  <w:r>
                    <w:rPr>
                      <w:rFonts w:hint="eastAsia"/>
                      <w:color w:val="auto"/>
                      <w:lang w:val="en-US" w:eastAsia="zh-CN"/>
                    </w:rPr>
                    <w:t>配电设备</w:t>
                  </w:r>
                </w:p>
              </w:tc>
              <w:tc>
                <w:tcPr>
                  <w:tcW w:w="1787" w:type="dxa"/>
                  <w:noWrap w:val="0"/>
                  <w:vAlign w:val="center"/>
                </w:tcPr>
                <w:p>
                  <w:pPr>
                    <w:pStyle w:val="49"/>
                    <w:bidi w:val="0"/>
                    <w:rPr>
                      <w:rFonts w:hint="eastAsia"/>
                      <w:color w:val="auto"/>
                      <w:lang w:val="en-US" w:eastAsia="zh-CN"/>
                    </w:rPr>
                  </w:pPr>
                  <w:r>
                    <w:rPr>
                      <w:rFonts w:hint="eastAsia"/>
                      <w:color w:val="auto"/>
                      <w:lang w:val="en-US" w:eastAsia="zh-CN"/>
                    </w:rPr>
                    <w:t>70-75dB（A）</w:t>
                  </w:r>
                </w:p>
              </w:tc>
              <w:tc>
                <w:tcPr>
                  <w:tcW w:w="1338" w:type="dxa"/>
                  <w:noWrap w:val="0"/>
                  <w:vAlign w:val="center"/>
                </w:tcPr>
                <w:p>
                  <w:pPr>
                    <w:pStyle w:val="49"/>
                    <w:bidi w:val="0"/>
                    <w:rPr>
                      <w:rFonts w:hint="default"/>
                      <w:color w:val="auto"/>
                      <w:lang w:val="en-US" w:eastAsia="zh-CN"/>
                    </w:rPr>
                  </w:pPr>
                  <w:r>
                    <w:rPr>
                      <w:rFonts w:hint="eastAsia"/>
                      <w:color w:val="auto"/>
                      <w:lang w:val="en-US" w:eastAsia="zh-CN"/>
                    </w:rPr>
                    <w:t>连续</w:t>
                  </w:r>
                </w:p>
              </w:tc>
              <w:tc>
                <w:tcPr>
                  <w:tcW w:w="2326" w:type="dxa"/>
                  <w:noWrap w:val="0"/>
                  <w:vAlign w:val="center"/>
                </w:tcPr>
                <w:p>
                  <w:pPr>
                    <w:pStyle w:val="49"/>
                    <w:bidi w:val="0"/>
                    <w:rPr>
                      <w:rFonts w:hint="default"/>
                      <w:color w:val="auto"/>
                      <w:lang w:val="en-US" w:eastAsia="zh-CN"/>
                    </w:rPr>
                  </w:pPr>
                  <w:r>
                    <w:rPr>
                      <w:rFonts w:hint="eastAsia"/>
                      <w:color w:val="auto"/>
                      <w:lang w:val="en-US" w:eastAsia="zh-CN"/>
                    </w:rPr>
                    <w:t>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center"/>
                </w:tcPr>
                <w:p>
                  <w:pPr>
                    <w:pStyle w:val="49"/>
                    <w:bidi w:val="0"/>
                    <w:rPr>
                      <w:rFonts w:hint="default"/>
                      <w:color w:val="auto"/>
                      <w:lang w:val="en-US" w:eastAsia="zh-CN"/>
                    </w:rPr>
                  </w:pPr>
                  <w:r>
                    <w:rPr>
                      <w:rFonts w:hint="eastAsia"/>
                      <w:color w:val="auto"/>
                      <w:lang w:val="en-US" w:eastAsia="zh-CN"/>
                    </w:rPr>
                    <w:t>3</w:t>
                  </w:r>
                </w:p>
              </w:tc>
              <w:tc>
                <w:tcPr>
                  <w:tcW w:w="1403" w:type="dxa"/>
                  <w:noWrap w:val="0"/>
                  <w:vAlign w:val="center"/>
                </w:tcPr>
                <w:p>
                  <w:pPr>
                    <w:pStyle w:val="49"/>
                    <w:bidi w:val="0"/>
                    <w:rPr>
                      <w:rFonts w:hint="default"/>
                      <w:color w:val="auto"/>
                      <w:lang w:val="en-US" w:eastAsia="zh-CN"/>
                    </w:rPr>
                  </w:pPr>
                  <w:r>
                    <w:rPr>
                      <w:rFonts w:hint="eastAsia"/>
                      <w:color w:val="auto"/>
                      <w:lang w:val="en-US" w:eastAsia="zh-CN"/>
                    </w:rPr>
                    <w:t>水泵</w:t>
                  </w:r>
                </w:p>
              </w:tc>
              <w:tc>
                <w:tcPr>
                  <w:tcW w:w="1787" w:type="dxa"/>
                  <w:noWrap w:val="0"/>
                  <w:vAlign w:val="center"/>
                </w:tcPr>
                <w:p>
                  <w:pPr>
                    <w:pStyle w:val="49"/>
                    <w:bidi w:val="0"/>
                    <w:rPr>
                      <w:rFonts w:hint="eastAsia"/>
                      <w:color w:val="auto"/>
                      <w:lang w:val="en-US" w:eastAsia="zh-CN"/>
                    </w:rPr>
                  </w:pPr>
                  <w:r>
                    <w:rPr>
                      <w:rFonts w:hint="eastAsia"/>
                      <w:color w:val="auto"/>
                      <w:lang w:val="en-US" w:eastAsia="zh-CN"/>
                    </w:rPr>
                    <w:t>75-80dB（A）</w:t>
                  </w:r>
                </w:p>
              </w:tc>
              <w:tc>
                <w:tcPr>
                  <w:tcW w:w="1338" w:type="dxa"/>
                  <w:noWrap w:val="0"/>
                  <w:vAlign w:val="center"/>
                </w:tcPr>
                <w:p>
                  <w:pPr>
                    <w:pStyle w:val="49"/>
                    <w:bidi w:val="0"/>
                    <w:rPr>
                      <w:rFonts w:hint="default"/>
                      <w:color w:val="auto"/>
                      <w:lang w:val="en-US" w:eastAsia="zh-CN"/>
                    </w:rPr>
                  </w:pPr>
                  <w:r>
                    <w:rPr>
                      <w:rFonts w:hint="eastAsia"/>
                      <w:color w:val="auto"/>
                      <w:lang w:val="en-US" w:eastAsia="zh-CN"/>
                    </w:rPr>
                    <w:t>连续</w:t>
                  </w:r>
                </w:p>
              </w:tc>
              <w:tc>
                <w:tcPr>
                  <w:tcW w:w="2326" w:type="dxa"/>
                  <w:noWrap w:val="0"/>
                  <w:vAlign w:val="center"/>
                </w:tcPr>
                <w:p>
                  <w:pPr>
                    <w:pStyle w:val="49"/>
                    <w:bidi w:val="0"/>
                    <w:rPr>
                      <w:rFonts w:hint="default"/>
                      <w:color w:val="auto"/>
                      <w:lang w:val="en-US" w:eastAsia="zh-CN"/>
                    </w:rPr>
                  </w:pPr>
                  <w:r>
                    <w:rPr>
                      <w:rFonts w:hint="eastAsia"/>
                      <w:color w:val="auto"/>
                      <w:lang w:val="en-US" w:eastAsia="zh-CN"/>
                    </w:rPr>
                    <w:t>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center"/>
                </w:tcPr>
                <w:p>
                  <w:pPr>
                    <w:pStyle w:val="49"/>
                    <w:bidi w:val="0"/>
                    <w:rPr>
                      <w:rFonts w:hint="default"/>
                      <w:color w:val="auto"/>
                      <w:lang w:val="en-US" w:eastAsia="zh-CN"/>
                    </w:rPr>
                  </w:pPr>
                  <w:r>
                    <w:rPr>
                      <w:rFonts w:hint="eastAsia"/>
                      <w:color w:val="auto"/>
                      <w:lang w:val="en-US" w:eastAsia="zh-CN"/>
                    </w:rPr>
                    <w:t>4</w:t>
                  </w:r>
                </w:p>
              </w:tc>
              <w:tc>
                <w:tcPr>
                  <w:tcW w:w="1403" w:type="dxa"/>
                  <w:noWrap w:val="0"/>
                  <w:vAlign w:val="center"/>
                </w:tcPr>
                <w:p>
                  <w:pPr>
                    <w:pStyle w:val="49"/>
                    <w:bidi w:val="0"/>
                    <w:rPr>
                      <w:rFonts w:hint="default"/>
                      <w:color w:val="auto"/>
                      <w:lang w:val="en-US" w:eastAsia="zh-CN"/>
                    </w:rPr>
                  </w:pPr>
                  <w:r>
                    <w:rPr>
                      <w:rFonts w:hint="eastAsia"/>
                      <w:color w:val="auto"/>
                      <w:lang w:val="en-US" w:eastAsia="zh-CN"/>
                    </w:rPr>
                    <w:t>人群</w:t>
                  </w:r>
                </w:p>
              </w:tc>
              <w:tc>
                <w:tcPr>
                  <w:tcW w:w="1787" w:type="dxa"/>
                  <w:noWrap w:val="0"/>
                  <w:vAlign w:val="center"/>
                </w:tcPr>
                <w:p>
                  <w:pPr>
                    <w:pStyle w:val="49"/>
                    <w:bidi w:val="0"/>
                    <w:rPr>
                      <w:rFonts w:hint="default"/>
                      <w:color w:val="auto"/>
                      <w:lang w:val="en-US" w:eastAsia="zh-CN"/>
                    </w:rPr>
                  </w:pPr>
                  <w:r>
                    <w:rPr>
                      <w:rFonts w:hint="eastAsia"/>
                      <w:color w:val="auto"/>
                      <w:lang w:val="en-US" w:eastAsia="zh-CN"/>
                    </w:rPr>
                    <w:t>55-65dB（A）</w:t>
                  </w:r>
                </w:p>
              </w:tc>
              <w:tc>
                <w:tcPr>
                  <w:tcW w:w="1338" w:type="dxa"/>
                  <w:noWrap w:val="0"/>
                  <w:vAlign w:val="center"/>
                </w:tcPr>
                <w:p>
                  <w:pPr>
                    <w:pStyle w:val="49"/>
                    <w:bidi w:val="0"/>
                    <w:rPr>
                      <w:rFonts w:hint="default"/>
                      <w:color w:val="auto"/>
                      <w:lang w:val="en-US" w:eastAsia="zh-CN"/>
                    </w:rPr>
                  </w:pPr>
                  <w:r>
                    <w:rPr>
                      <w:rFonts w:hint="eastAsia"/>
                      <w:color w:val="auto"/>
                      <w:lang w:val="en-US" w:eastAsia="zh-CN"/>
                    </w:rPr>
                    <w:t>间歇</w:t>
                  </w:r>
                </w:p>
              </w:tc>
              <w:tc>
                <w:tcPr>
                  <w:tcW w:w="2326" w:type="dxa"/>
                  <w:noWrap w:val="0"/>
                  <w:vAlign w:val="center"/>
                </w:tcPr>
                <w:p>
                  <w:pPr>
                    <w:pStyle w:val="49"/>
                    <w:bidi w:val="0"/>
                    <w:rPr>
                      <w:rFonts w:hint="default"/>
                      <w:color w:val="auto"/>
                      <w:lang w:val="en-US" w:eastAsia="zh-CN"/>
                    </w:rPr>
                  </w:pPr>
                  <w:r>
                    <w:rPr>
                      <w:rFonts w:hint="eastAsia"/>
                      <w:color w:val="auto"/>
                      <w:lang w:val="en-US" w:eastAsia="zh-CN"/>
                    </w:rPr>
                    <w:t>门诊和病房</w:t>
                  </w:r>
                </w:p>
              </w:tc>
            </w:tr>
          </w:tbl>
          <w:p>
            <w:pPr>
              <w:pStyle w:val="43"/>
              <w:keepNext w:val="0"/>
              <w:keepLines w:val="0"/>
              <w:pageBreakBefore w:val="0"/>
              <w:kinsoku/>
              <w:wordWrap/>
              <w:overflowPunct/>
              <w:topLinePunct w:val="0"/>
              <w:autoSpaceDE/>
              <w:autoSpaceDN/>
              <w:bidi w:val="0"/>
              <w:spacing w:line="360" w:lineRule="auto"/>
              <w:ind w:left="103" w:right="102" w:firstLine="480"/>
              <w:jc w:val="both"/>
              <w:textAlignment w:val="auto"/>
              <w:rPr>
                <w:rFonts w:hint="eastAsia" w:ascii="Times New Roman" w:hAnsi="Times New Roman" w:eastAsia="宋体" w:cs="Times New Roman"/>
                <w:color w:val="auto"/>
                <w:sz w:val="24"/>
                <w:szCs w:val="24"/>
                <w:highlight w:val="none"/>
                <w:u w:val="none" w:color="auto"/>
                <w:lang w:val="en-US" w:eastAsia="zh-CN"/>
              </w:rPr>
            </w:pPr>
          </w:p>
          <w:p>
            <w:pPr>
              <w:pStyle w:val="43"/>
              <w:keepNext w:val="0"/>
              <w:keepLines w:val="0"/>
              <w:pageBreakBefore w:val="0"/>
              <w:kinsoku/>
              <w:wordWrap/>
              <w:overflowPunct/>
              <w:topLinePunct w:val="0"/>
              <w:autoSpaceDE/>
              <w:autoSpaceDN/>
              <w:bidi w:val="0"/>
              <w:spacing w:line="360" w:lineRule="auto"/>
              <w:ind w:left="103" w:right="102" w:firstLine="480"/>
              <w:jc w:val="both"/>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本次评价对项目厂界以及周边环保目标进行了噪声监测，监测结果见本报告的表</w:t>
            </w:r>
            <w:r>
              <w:rPr>
                <w:rFonts w:hint="eastAsia" w:cs="Times New Roman"/>
                <w:color w:val="auto"/>
                <w:sz w:val="24"/>
                <w:szCs w:val="24"/>
                <w:highlight w:val="none"/>
                <w:u w:val="none" w:color="auto"/>
                <w:lang w:val="en-US" w:eastAsia="zh-CN"/>
              </w:rPr>
              <w:t>2-7</w:t>
            </w:r>
            <w:r>
              <w:rPr>
                <w:rFonts w:hint="eastAsia" w:ascii="Times New Roman" w:hAnsi="Times New Roman" w:eastAsia="宋体" w:cs="Times New Roman"/>
                <w:color w:val="auto"/>
                <w:sz w:val="24"/>
                <w:szCs w:val="24"/>
                <w:highlight w:val="none"/>
                <w:u w:val="none" w:color="auto"/>
                <w:lang w:val="en-US" w:eastAsia="zh-CN"/>
              </w:rPr>
              <w:t>和表3-</w:t>
            </w:r>
            <w:r>
              <w:rPr>
                <w:rFonts w:hint="eastAsia" w:cs="Times New Roman"/>
                <w:color w:val="auto"/>
                <w:sz w:val="24"/>
                <w:szCs w:val="24"/>
                <w:highlight w:val="none"/>
                <w:u w:val="none" w:color="auto"/>
                <w:lang w:val="en-US" w:eastAsia="zh-CN"/>
              </w:rPr>
              <w:t>3</w:t>
            </w:r>
            <w:r>
              <w:rPr>
                <w:rFonts w:hint="eastAsia" w:ascii="Times New Roman" w:hAnsi="Times New Roman" w:eastAsia="宋体" w:cs="Times New Roman"/>
                <w:color w:val="auto"/>
                <w:sz w:val="24"/>
                <w:szCs w:val="24"/>
                <w:highlight w:val="none"/>
                <w:u w:val="none" w:color="auto"/>
                <w:lang w:val="en-US" w:eastAsia="zh-CN"/>
              </w:rPr>
              <w:t>。根据监测结果可知，本项目厂界噪声和环保目标的声环境可以满足相关标准要求。</w:t>
            </w:r>
          </w:p>
          <w:p>
            <w:pPr>
              <w:pStyle w:val="43"/>
              <w:keepNext w:val="0"/>
              <w:keepLines w:val="0"/>
              <w:pageBreakBefore w:val="0"/>
              <w:kinsoku/>
              <w:wordWrap/>
              <w:overflowPunct/>
              <w:topLinePunct w:val="0"/>
              <w:autoSpaceDE/>
              <w:autoSpaceDN/>
              <w:bidi w:val="0"/>
              <w:spacing w:line="360" w:lineRule="auto"/>
              <w:ind w:left="103" w:right="102" w:firstLine="480"/>
              <w:jc w:val="both"/>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评价拟建议建设单位持续从以下方面加强管理，采取防治措施，减轻本项目噪声对周边环境的影响。</w:t>
            </w:r>
          </w:p>
          <w:p>
            <w:pPr>
              <w:pStyle w:val="43"/>
              <w:keepNext w:val="0"/>
              <w:keepLines w:val="0"/>
              <w:pageBreakBefore w:val="0"/>
              <w:kinsoku/>
              <w:wordWrap/>
              <w:overflowPunct/>
              <w:topLinePunct w:val="0"/>
              <w:autoSpaceDE/>
              <w:autoSpaceDN/>
              <w:bidi w:val="0"/>
              <w:spacing w:line="360" w:lineRule="auto"/>
              <w:ind w:left="103" w:right="102" w:firstLine="480"/>
              <w:jc w:val="both"/>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①人员活动噪声主要在昼间产生，夜间人员活动较少，通过加强管理，禁止喧哗等措施可以降低噪声影响。</w:t>
            </w:r>
          </w:p>
          <w:p>
            <w:pPr>
              <w:pStyle w:val="43"/>
              <w:keepNext w:val="0"/>
              <w:keepLines w:val="0"/>
              <w:pageBreakBefore w:val="0"/>
              <w:kinsoku/>
              <w:wordWrap/>
              <w:overflowPunct/>
              <w:topLinePunct w:val="0"/>
              <w:autoSpaceDE/>
              <w:autoSpaceDN/>
              <w:bidi w:val="0"/>
              <w:spacing w:line="360" w:lineRule="auto"/>
              <w:ind w:left="103" w:right="102" w:firstLine="480"/>
              <w:jc w:val="both"/>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②强化行车管理制度，采用限速、禁鸣等防噪措施，进入医院后低速行驶，最大限度减少流动噪声源。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24"/>
                <w:highlight w:val="none"/>
              </w:rPr>
            </w:pPr>
            <w:r>
              <w:rPr>
                <w:b/>
                <w:bCs/>
                <w:color w:val="auto"/>
                <w:sz w:val="24"/>
                <w:szCs w:val="24"/>
                <w:highlight w:val="none"/>
                <w:lang w:val="zh-CN"/>
              </w:rPr>
              <w:t>（</w:t>
            </w:r>
            <w:r>
              <w:rPr>
                <w:rFonts w:hint="eastAsia"/>
                <w:b/>
                <w:bCs/>
                <w:color w:val="auto"/>
                <w:sz w:val="24"/>
                <w:szCs w:val="24"/>
                <w:highlight w:val="none"/>
                <w:lang w:val="en-US" w:eastAsia="zh-CN"/>
              </w:rPr>
              <w:t>1</w:t>
            </w:r>
            <w:r>
              <w:rPr>
                <w:b/>
                <w:bCs/>
                <w:color w:val="auto"/>
                <w:sz w:val="24"/>
                <w:szCs w:val="24"/>
                <w:highlight w:val="none"/>
                <w:lang w:val="zh-CN"/>
              </w:rPr>
              <w:t>）</w:t>
            </w:r>
            <w:r>
              <w:rPr>
                <w:b/>
                <w:bCs/>
                <w:color w:val="auto"/>
                <w:sz w:val="24"/>
                <w:szCs w:val="24"/>
                <w:highlight w:val="none"/>
              </w:rPr>
              <w:t>噪声污染源监测计划</w:t>
            </w:r>
          </w:p>
          <w:p>
            <w:pPr>
              <w:pStyle w:val="10"/>
              <w:bidi w:val="0"/>
              <w:rPr>
                <w:rFonts w:hint="eastAsia"/>
                <w:color w:val="auto"/>
                <w:lang w:eastAsia="zh-CN"/>
              </w:rPr>
            </w:pPr>
            <w:r>
              <w:rPr>
                <w:rFonts w:hint="eastAsia"/>
                <w:color w:val="auto"/>
              </w:rPr>
              <w:t>根据</w:t>
            </w:r>
            <w:r>
              <w:rPr>
                <w:rFonts w:hint="default"/>
                <w:color w:val="auto"/>
                <w:lang w:val="en-US" w:eastAsia="zh-CN"/>
              </w:rPr>
              <w:t>《固定污染源排污许可分类管理名录</w:t>
            </w:r>
            <w:r>
              <w:rPr>
                <w:rFonts w:hint="default"/>
                <w:color w:val="auto"/>
              </w:rPr>
              <w:t>》（</w:t>
            </w:r>
            <w:r>
              <w:rPr>
                <w:rFonts w:hint="eastAsia"/>
                <w:color w:val="auto"/>
                <w:lang w:val="en-US" w:eastAsia="zh-CN"/>
              </w:rPr>
              <w:t>2019版</w:t>
            </w:r>
            <w:r>
              <w:rPr>
                <w:rFonts w:hint="default"/>
                <w:color w:val="auto"/>
              </w:rPr>
              <w:t>）</w:t>
            </w:r>
            <w:r>
              <w:rPr>
                <w:rFonts w:hint="eastAsia"/>
                <w:color w:val="auto"/>
                <w:lang w:val="en-US" w:eastAsia="zh-CN"/>
              </w:rPr>
              <w:t>管理要求</w:t>
            </w:r>
            <w:r>
              <w:rPr>
                <w:rFonts w:hint="eastAsia"/>
                <w:color w:val="auto"/>
                <w:lang w:eastAsia="zh-CN"/>
              </w:rPr>
              <w:t>，床位100 张以下</w:t>
            </w:r>
            <w:r>
              <w:rPr>
                <w:rFonts w:hint="eastAsia" w:eastAsia="宋体" w:cs="Times New Roman"/>
                <w:color w:val="auto"/>
                <w:sz w:val="24"/>
                <w:szCs w:val="24"/>
                <w:highlight w:val="none"/>
                <w:u w:val="none" w:color="auto"/>
                <w:lang w:val="en-US" w:eastAsia="zh-CN"/>
              </w:rPr>
              <w:t>乡镇医院</w:t>
            </w:r>
            <w:r>
              <w:rPr>
                <w:rFonts w:hint="eastAsia"/>
                <w:color w:val="auto"/>
                <w:lang w:val="en-US" w:eastAsia="zh-CN"/>
              </w:rPr>
              <w:t>进行登记管理，未对噪声污染源监测进行要求</w:t>
            </w:r>
            <w:r>
              <w:rPr>
                <w:rFonts w:hint="eastAsia"/>
                <w:color w:val="auto"/>
                <w:lang w:eastAsia="zh-CN"/>
              </w:rPr>
              <w:t>。</w:t>
            </w:r>
          </w:p>
          <w:p>
            <w:pPr>
              <w:bidi w:val="0"/>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val="en-US" w:eastAsia="zh-CN"/>
              </w:rPr>
              <w:t xml:space="preserve">4 </w:t>
            </w:r>
            <w:r>
              <w:rPr>
                <w:rFonts w:hint="default" w:ascii="Times New Roman" w:hAnsi="Times New Roman" w:eastAsia="宋体" w:cs="Times New Roman"/>
                <w:b/>
                <w:bCs/>
                <w:color w:val="auto"/>
                <w:kern w:val="0"/>
                <w:sz w:val="24"/>
                <w:szCs w:val="24"/>
                <w:u w:val="none" w:color="auto"/>
                <w:lang w:eastAsia="zh-CN"/>
              </w:rPr>
              <w:t>运营期固废</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1</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lang w:eastAsia="zh-CN"/>
              </w:rPr>
              <w:t>污染源强核算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项目固体</w:t>
            </w:r>
            <w:r>
              <w:rPr>
                <w:rFonts w:hint="default" w:ascii="Times New Roman" w:hAnsi="Times New Roman" w:eastAsia="宋体" w:cs="Times New Roman"/>
                <w:color w:val="auto"/>
                <w:kern w:val="0"/>
                <w:sz w:val="24"/>
                <w:szCs w:val="24"/>
                <w:u w:val="none" w:color="auto"/>
                <w:lang w:eastAsia="zh-CN"/>
              </w:rPr>
              <w:t>废弃物</w:t>
            </w:r>
            <w:r>
              <w:rPr>
                <w:rFonts w:hint="default" w:ascii="Times New Roman" w:hAnsi="Times New Roman" w:eastAsia="宋体" w:cs="Times New Roman"/>
                <w:color w:val="auto"/>
                <w:sz w:val="24"/>
                <w:szCs w:val="24"/>
                <w:u w:val="none" w:color="auto"/>
                <w:lang w:eastAsia="zh-CN"/>
              </w:rPr>
              <w:t>主要有生活垃圾、输液瓶（袋）和玻璃瓶、废包装材料、中药残渣、医疗废物、污水处理站污泥。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eastAsia" w:ascii="Times New Roman" w:hAnsi="Times New Roman" w:eastAsia="宋体" w:cs="Times New Roman"/>
                <w:color w:val="auto"/>
                <w:sz w:val="24"/>
                <w:szCs w:val="24"/>
                <w:u w:val="none" w:color="auto"/>
                <w:lang w:val="en-US" w:eastAsia="zh-CN"/>
              </w:rPr>
              <w:t>①</w:t>
            </w:r>
            <w:r>
              <w:rPr>
                <w:rFonts w:hint="default" w:ascii="Times New Roman" w:hAnsi="Times New Roman" w:eastAsia="宋体" w:cs="Times New Roman"/>
                <w:color w:val="auto"/>
                <w:sz w:val="24"/>
                <w:szCs w:val="24"/>
                <w:u w:val="none" w:color="auto"/>
                <w:lang w:eastAsia="zh-CN"/>
              </w:rPr>
              <w:t>生活垃圾生活垃圾主要来自住院、门诊、办公室等处。生活垃圾分类收集后，交由环卫部门处理。</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表4-1</w:t>
            </w:r>
            <w:r>
              <w:rPr>
                <w:rFonts w:hint="eastAsia" w:cs="Times New Roman"/>
                <w:color w:val="auto"/>
                <w:sz w:val="24"/>
                <w:szCs w:val="24"/>
                <w:u w:val="none" w:color="auto"/>
                <w:lang w:val="en-US" w:eastAsia="zh-CN"/>
              </w:rPr>
              <w:t>1</w:t>
            </w:r>
            <w:r>
              <w:rPr>
                <w:rFonts w:hint="eastAsia" w:ascii="Times New Roman" w:hAnsi="Times New Roman" w:eastAsia="宋体" w:cs="Times New Roman"/>
                <w:color w:val="auto"/>
                <w:sz w:val="24"/>
                <w:szCs w:val="24"/>
                <w:u w:val="none" w:color="auto"/>
                <w:lang w:val="en-US" w:eastAsia="zh-CN"/>
              </w:rPr>
              <w:t xml:space="preserve">  医院</w:t>
            </w:r>
            <w:r>
              <w:rPr>
                <w:rFonts w:hint="default" w:ascii="Times New Roman" w:hAnsi="Times New Roman" w:eastAsia="宋体" w:cs="Times New Roman"/>
                <w:color w:val="auto"/>
                <w:sz w:val="24"/>
                <w:szCs w:val="24"/>
                <w:u w:val="none" w:color="auto"/>
                <w:lang w:eastAsia="zh-CN"/>
              </w:rPr>
              <w:t>生活垃圾产生情况一览表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340"/>
              <w:gridCol w:w="1690"/>
              <w:gridCol w:w="1544"/>
              <w:gridCol w:w="1325"/>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2" w:type="dxa"/>
                  <w:vMerge w:val="restart"/>
                  <w:noWrap w:val="0"/>
                  <w:vAlign w:val="center"/>
                </w:tcPr>
                <w:p>
                  <w:pPr>
                    <w:pStyle w:val="55"/>
                    <w:bidi w:val="0"/>
                    <w:rPr>
                      <w:rFonts w:hint="default"/>
                      <w:color w:val="auto"/>
                      <w:lang w:val="en-US" w:eastAsia="zh-CN"/>
                    </w:rPr>
                  </w:pPr>
                  <w:r>
                    <w:rPr>
                      <w:rFonts w:hint="eastAsia"/>
                      <w:color w:val="auto"/>
                      <w:lang w:val="en-US" w:eastAsia="zh-CN"/>
                    </w:rPr>
                    <w:t>编号</w:t>
                  </w:r>
                </w:p>
              </w:tc>
              <w:tc>
                <w:tcPr>
                  <w:tcW w:w="1340" w:type="dxa"/>
                  <w:vMerge w:val="restart"/>
                  <w:noWrap w:val="0"/>
                  <w:vAlign w:val="center"/>
                </w:tcPr>
                <w:p>
                  <w:pPr>
                    <w:pStyle w:val="55"/>
                    <w:bidi w:val="0"/>
                    <w:rPr>
                      <w:rFonts w:hint="default"/>
                      <w:color w:val="auto"/>
                      <w:lang w:val="en-US" w:eastAsia="zh-CN"/>
                    </w:rPr>
                  </w:pPr>
                  <w:r>
                    <w:rPr>
                      <w:rFonts w:hint="eastAsia"/>
                      <w:color w:val="auto"/>
                      <w:lang w:val="en-US" w:eastAsia="zh-CN"/>
                    </w:rPr>
                    <w:t>名称</w:t>
                  </w:r>
                </w:p>
              </w:tc>
              <w:tc>
                <w:tcPr>
                  <w:tcW w:w="1690" w:type="dxa"/>
                  <w:vMerge w:val="restart"/>
                  <w:noWrap w:val="0"/>
                  <w:vAlign w:val="center"/>
                </w:tcPr>
                <w:p>
                  <w:pPr>
                    <w:pStyle w:val="55"/>
                    <w:bidi w:val="0"/>
                    <w:rPr>
                      <w:rFonts w:hint="eastAsia"/>
                      <w:color w:val="auto"/>
                      <w:lang w:val="en-US" w:eastAsia="zh-CN"/>
                    </w:rPr>
                  </w:pPr>
                  <w:r>
                    <w:rPr>
                      <w:rFonts w:hint="eastAsia"/>
                      <w:color w:val="auto"/>
                      <w:lang w:val="en-US" w:eastAsia="zh-CN"/>
                    </w:rPr>
                    <w:t>产生系数</w:t>
                  </w:r>
                </w:p>
                <w:p>
                  <w:pPr>
                    <w:pStyle w:val="55"/>
                    <w:bidi w:val="0"/>
                    <w:rPr>
                      <w:rFonts w:hint="default"/>
                      <w:color w:val="auto"/>
                      <w:lang w:val="en-US" w:eastAsia="zh-CN"/>
                    </w:rPr>
                  </w:pPr>
                  <w:r>
                    <w:rPr>
                      <w:rFonts w:hint="eastAsia"/>
                      <w:color w:val="auto"/>
                      <w:lang w:val="en-US" w:eastAsia="zh-CN"/>
                    </w:rPr>
                    <w:t>（kg/人（床）</w:t>
                  </w:r>
                  <w:r>
                    <w:rPr>
                      <w:color w:val="auto"/>
                    </w:rPr>
                    <w:t>·</w:t>
                  </w:r>
                  <w:r>
                    <w:rPr>
                      <w:rFonts w:hint="eastAsia"/>
                      <w:color w:val="auto"/>
                      <w:lang w:val="en-US" w:eastAsia="zh-CN"/>
                    </w:rPr>
                    <w:t>d）</w:t>
                  </w:r>
                </w:p>
              </w:tc>
              <w:tc>
                <w:tcPr>
                  <w:tcW w:w="1544" w:type="dxa"/>
                  <w:vMerge w:val="restart"/>
                  <w:noWrap w:val="0"/>
                  <w:vAlign w:val="center"/>
                </w:tcPr>
                <w:p>
                  <w:pPr>
                    <w:pStyle w:val="55"/>
                    <w:bidi w:val="0"/>
                    <w:rPr>
                      <w:rFonts w:hint="eastAsia"/>
                      <w:color w:val="auto"/>
                      <w:lang w:val="en-US" w:eastAsia="zh-CN"/>
                    </w:rPr>
                  </w:pPr>
                  <w:r>
                    <w:rPr>
                      <w:rFonts w:hint="eastAsia"/>
                      <w:color w:val="auto"/>
                      <w:lang w:val="en-US" w:eastAsia="zh-CN"/>
                    </w:rPr>
                    <w:t>规模</w:t>
                  </w:r>
                </w:p>
                <w:p>
                  <w:pPr>
                    <w:pStyle w:val="55"/>
                    <w:bidi w:val="0"/>
                    <w:rPr>
                      <w:rFonts w:hint="default"/>
                      <w:color w:val="auto"/>
                      <w:lang w:val="en-US" w:eastAsia="zh-CN"/>
                    </w:rPr>
                  </w:pPr>
                  <w:r>
                    <w:rPr>
                      <w:rFonts w:hint="eastAsia"/>
                      <w:color w:val="auto"/>
                      <w:lang w:val="en-US" w:eastAsia="zh-CN"/>
                    </w:rPr>
                    <w:t>（人/d）</w:t>
                  </w:r>
                </w:p>
              </w:tc>
              <w:tc>
                <w:tcPr>
                  <w:tcW w:w="2650" w:type="dxa"/>
                  <w:gridSpan w:val="2"/>
                  <w:noWrap w:val="0"/>
                  <w:vAlign w:val="center"/>
                </w:tcPr>
                <w:p>
                  <w:pPr>
                    <w:pStyle w:val="55"/>
                    <w:bidi w:val="0"/>
                    <w:rPr>
                      <w:rFonts w:hint="default"/>
                      <w:color w:val="auto"/>
                      <w:lang w:val="en-US" w:eastAsia="zh-CN"/>
                    </w:rPr>
                  </w:pPr>
                  <w:r>
                    <w:rPr>
                      <w:rFonts w:hint="eastAsia"/>
                      <w:color w:val="auto"/>
                      <w:lang w:val="en-US" w:eastAsia="zh-CN"/>
                    </w:rPr>
                    <w:t>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noWrap w:val="0"/>
                  <w:vAlign w:val="center"/>
                </w:tcPr>
                <w:p>
                  <w:pPr>
                    <w:pStyle w:val="55"/>
                    <w:bidi w:val="0"/>
                    <w:rPr>
                      <w:rFonts w:hint="default"/>
                      <w:color w:val="auto"/>
                      <w:lang w:eastAsia="zh-CN"/>
                    </w:rPr>
                  </w:pPr>
                </w:p>
              </w:tc>
              <w:tc>
                <w:tcPr>
                  <w:tcW w:w="1340" w:type="dxa"/>
                  <w:vMerge w:val="continue"/>
                  <w:noWrap w:val="0"/>
                  <w:vAlign w:val="center"/>
                </w:tcPr>
                <w:p>
                  <w:pPr>
                    <w:pStyle w:val="55"/>
                    <w:bidi w:val="0"/>
                    <w:rPr>
                      <w:rFonts w:hint="default"/>
                      <w:color w:val="auto"/>
                      <w:lang w:eastAsia="zh-CN"/>
                    </w:rPr>
                  </w:pPr>
                </w:p>
              </w:tc>
              <w:tc>
                <w:tcPr>
                  <w:tcW w:w="1690" w:type="dxa"/>
                  <w:vMerge w:val="continue"/>
                  <w:noWrap w:val="0"/>
                  <w:vAlign w:val="center"/>
                </w:tcPr>
                <w:p>
                  <w:pPr>
                    <w:pStyle w:val="55"/>
                    <w:bidi w:val="0"/>
                    <w:rPr>
                      <w:rFonts w:hint="default"/>
                      <w:color w:val="auto"/>
                      <w:lang w:eastAsia="zh-CN"/>
                    </w:rPr>
                  </w:pPr>
                </w:p>
              </w:tc>
              <w:tc>
                <w:tcPr>
                  <w:tcW w:w="1544" w:type="dxa"/>
                  <w:vMerge w:val="continue"/>
                  <w:noWrap w:val="0"/>
                  <w:vAlign w:val="center"/>
                </w:tcPr>
                <w:p>
                  <w:pPr>
                    <w:pStyle w:val="55"/>
                    <w:bidi w:val="0"/>
                    <w:rPr>
                      <w:rFonts w:hint="default"/>
                      <w:color w:val="auto"/>
                      <w:lang w:eastAsia="zh-CN"/>
                    </w:rPr>
                  </w:pPr>
                </w:p>
              </w:tc>
              <w:tc>
                <w:tcPr>
                  <w:tcW w:w="1325" w:type="dxa"/>
                  <w:noWrap w:val="0"/>
                  <w:vAlign w:val="center"/>
                </w:tcPr>
                <w:p>
                  <w:pPr>
                    <w:pStyle w:val="55"/>
                    <w:bidi w:val="0"/>
                    <w:rPr>
                      <w:rFonts w:hint="default"/>
                      <w:color w:val="auto"/>
                      <w:lang w:eastAsia="zh-CN"/>
                    </w:rPr>
                  </w:pPr>
                  <w:r>
                    <w:rPr>
                      <w:rFonts w:hint="eastAsia"/>
                      <w:color w:val="auto"/>
                      <w:lang w:val="en-US" w:eastAsia="zh-CN"/>
                    </w:rPr>
                    <w:t>kg/d</w:t>
                  </w:r>
                </w:p>
              </w:tc>
              <w:tc>
                <w:tcPr>
                  <w:tcW w:w="1325" w:type="dxa"/>
                  <w:noWrap w:val="0"/>
                  <w:vAlign w:val="center"/>
                </w:tcPr>
                <w:p>
                  <w:pPr>
                    <w:pStyle w:val="55"/>
                    <w:bidi w:val="0"/>
                    <w:rPr>
                      <w:rFonts w:hint="default"/>
                      <w:color w:val="auto"/>
                      <w:lang w:eastAsia="zh-CN"/>
                    </w:rPr>
                  </w:pPr>
                  <w:r>
                    <w:rPr>
                      <w:rFonts w:hint="eastAsia"/>
                      <w:color w:val="auto"/>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pStyle w:val="55"/>
                    <w:bidi w:val="0"/>
                    <w:rPr>
                      <w:rFonts w:hint="default"/>
                      <w:color w:val="auto"/>
                      <w:lang w:val="en-US" w:eastAsia="zh-CN"/>
                    </w:rPr>
                  </w:pPr>
                  <w:r>
                    <w:rPr>
                      <w:rFonts w:hint="eastAsia"/>
                      <w:color w:val="auto"/>
                      <w:lang w:val="en-US" w:eastAsia="zh-CN"/>
                    </w:rPr>
                    <w:t>1</w:t>
                  </w:r>
                </w:p>
              </w:tc>
              <w:tc>
                <w:tcPr>
                  <w:tcW w:w="1340" w:type="dxa"/>
                  <w:noWrap w:val="0"/>
                  <w:vAlign w:val="top"/>
                </w:tcPr>
                <w:p>
                  <w:pPr>
                    <w:pStyle w:val="55"/>
                    <w:bidi w:val="0"/>
                    <w:rPr>
                      <w:rFonts w:hint="default"/>
                      <w:color w:val="auto"/>
                      <w:lang w:val="en-US" w:eastAsia="zh-CN"/>
                    </w:rPr>
                  </w:pPr>
                  <w:r>
                    <w:rPr>
                      <w:rFonts w:hint="eastAsia"/>
                      <w:color w:val="auto"/>
                      <w:lang w:val="en-US" w:eastAsia="zh-CN"/>
                    </w:rPr>
                    <w:t>门诊病人</w:t>
                  </w:r>
                </w:p>
              </w:tc>
              <w:tc>
                <w:tcPr>
                  <w:tcW w:w="1690" w:type="dxa"/>
                  <w:noWrap w:val="0"/>
                  <w:vAlign w:val="center"/>
                </w:tcPr>
                <w:p>
                  <w:pPr>
                    <w:pStyle w:val="55"/>
                    <w:bidi w:val="0"/>
                    <w:rPr>
                      <w:rFonts w:hint="default"/>
                      <w:color w:val="auto"/>
                      <w:lang w:val="en-US" w:eastAsia="zh-CN"/>
                    </w:rPr>
                  </w:pPr>
                  <w:r>
                    <w:rPr>
                      <w:rFonts w:hint="eastAsia"/>
                      <w:color w:val="auto"/>
                      <w:lang w:val="en-US" w:eastAsia="zh-CN"/>
                    </w:rPr>
                    <w:t>0.1</w:t>
                  </w:r>
                </w:p>
              </w:tc>
              <w:tc>
                <w:tcPr>
                  <w:tcW w:w="1544" w:type="dxa"/>
                  <w:noWrap w:val="0"/>
                  <w:vAlign w:val="center"/>
                </w:tcPr>
                <w:p>
                  <w:pPr>
                    <w:pStyle w:val="55"/>
                    <w:bidi w:val="0"/>
                    <w:rPr>
                      <w:rFonts w:hint="default"/>
                      <w:color w:val="auto"/>
                      <w:lang w:val="en-US" w:eastAsia="zh-CN"/>
                    </w:rPr>
                  </w:pPr>
                  <w:r>
                    <w:rPr>
                      <w:rFonts w:hint="eastAsia"/>
                      <w:color w:val="auto"/>
                      <w:lang w:val="en-US" w:eastAsia="zh-CN"/>
                    </w:rPr>
                    <w:t>60</w:t>
                  </w:r>
                </w:p>
              </w:tc>
              <w:tc>
                <w:tcPr>
                  <w:tcW w:w="1325" w:type="dxa"/>
                  <w:noWrap w:val="0"/>
                  <w:vAlign w:val="center"/>
                </w:tcPr>
                <w:p>
                  <w:pPr>
                    <w:pStyle w:val="55"/>
                    <w:bidi w:val="0"/>
                    <w:rPr>
                      <w:rFonts w:hint="default"/>
                      <w:color w:val="auto"/>
                      <w:lang w:val="en-US" w:eastAsia="zh-CN"/>
                    </w:rPr>
                  </w:pPr>
                  <w:r>
                    <w:rPr>
                      <w:rFonts w:hint="eastAsia"/>
                      <w:color w:val="auto"/>
                      <w:lang w:val="en-US" w:eastAsia="zh-CN"/>
                    </w:rPr>
                    <w:t>6</w:t>
                  </w:r>
                </w:p>
              </w:tc>
              <w:tc>
                <w:tcPr>
                  <w:tcW w:w="1325" w:type="dxa"/>
                  <w:noWrap w:val="0"/>
                  <w:vAlign w:val="center"/>
                </w:tcPr>
                <w:p>
                  <w:pPr>
                    <w:pStyle w:val="55"/>
                    <w:bidi w:val="0"/>
                    <w:rPr>
                      <w:rFonts w:hint="default"/>
                      <w:color w:val="auto"/>
                      <w:lang w:val="en-US" w:eastAsia="zh-CN"/>
                    </w:rPr>
                  </w:pPr>
                  <w:r>
                    <w:rPr>
                      <w:rFonts w:hint="eastAsia"/>
                      <w:color w:val="auto"/>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pStyle w:val="55"/>
                    <w:bidi w:val="0"/>
                    <w:rPr>
                      <w:rFonts w:hint="default"/>
                      <w:color w:val="auto"/>
                      <w:lang w:val="en-US" w:eastAsia="zh-CN"/>
                    </w:rPr>
                  </w:pPr>
                  <w:r>
                    <w:rPr>
                      <w:rFonts w:hint="eastAsia"/>
                      <w:color w:val="auto"/>
                      <w:lang w:val="en-US" w:eastAsia="zh-CN"/>
                    </w:rPr>
                    <w:t>2</w:t>
                  </w:r>
                </w:p>
              </w:tc>
              <w:tc>
                <w:tcPr>
                  <w:tcW w:w="1340" w:type="dxa"/>
                  <w:noWrap w:val="0"/>
                  <w:vAlign w:val="top"/>
                </w:tcPr>
                <w:p>
                  <w:pPr>
                    <w:pStyle w:val="55"/>
                    <w:bidi w:val="0"/>
                    <w:rPr>
                      <w:rFonts w:hint="default"/>
                      <w:color w:val="auto"/>
                      <w:lang w:val="en-US" w:eastAsia="zh-CN"/>
                    </w:rPr>
                  </w:pPr>
                  <w:r>
                    <w:rPr>
                      <w:rFonts w:hint="eastAsia"/>
                      <w:color w:val="auto"/>
                      <w:lang w:val="en-US" w:eastAsia="zh-CN"/>
                    </w:rPr>
                    <w:t>住院病人</w:t>
                  </w:r>
                </w:p>
              </w:tc>
              <w:tc>
                <w:tcPr>
                  <w:tcW w:w="1690" w:type="dxa"/>
                  <w:noWrap w:val="0"/>
                  <w:vAlign w:val="center"/>
                </w:tcPr>
                <w:p>
                  <w:pPr>
                    <w:pStyle w:val="55"/>
                    <w:bidi w:val="0"/>
                    <w:rPr>
                      <w:rFonts w:hint="default"/>
                      <w:color w:val="auto"/>
                      <w:lang w:val="en-US" w:eastAsia="zh-CN"/>
                    </w:rPr>
                  </w:pPr>
                  <w:r>
                    <w:rPr>
                      <w:rFonts w:hint="eastAsia"/>
                      <w:color w:val="auto"/>
                      <w:lang w:val="en-US" w:eastAsia="zh-CN"/>
                    </w:rPr>
                    <w:t>1.0</w:t>
                  </w:r>
                </w:p>
              </w:tc>
              <w:tc>
                <w:tcPr>
                  <w:tcW w:w="1544" w:type="dxa"/>
                  <w:noWrap w:val="0"/>
                  <w:vAlign w:val="center"/>
                </w:tcPr>
                <w:p>
                  <w:pPr>
                    <w:pStyle w:val="55"/>
                    <w:bidi w:val="0"/>
                    <w:rPr>
                      <w:rFonts w:hint="default"/>
                      <w:color w:val="auto"/>
                      <w:lang w:val="en-US" w:eastAsia="zh-CN"/>
                    </w:rPr>
                  </w:pPr>
                  <w:r>
                    <w:rPr>
                      <w:rFonts w:hint="eastAsia"/>
                      <w:color w:val="auto"/>
                      <w:lang w:val="en-US" w:eastAsia="zh-CN"/>
                    </w:rPr>
                    <w:t>81</w:t>
                  </w:r>
                </w:p>
              </w:tc>
              <w:tc>
                <w:tcPr>
                  <w:tcW w:w="1325" w:type="dxa"/>
                  <w:noWrap w:val="0"/>
                  <w:vAlign w:val="center"/>
                </w:tcPr>
                <w:p>
                  <w:pPr>
                    <w:pStyle w:val="55"/>
                    <w:bidi w:val="0"/>
                    <w:rPr>
                      <w:rFonts w:hint="default"/>
                      <w:color w:val="auto"/>
                      <w:lang w:val="en-US" w:eastAsia="zh-CN"/>
                    </w:rPr>
                  </w:pPr>
                  <w:r>
                    <w:rPr>
                      <w:rFonts w:hint="eastAsia"/>
                      <w:color w:val="auto"/>
                      <w:lang w:val="en-US" w:eastAsia="zh-CN"/>
                    </w:rPr>
                    <w:t>81</w:t>
                  </w:r>
                </w:p>
              </w:tc>
              <w:tc>
                <w:tcPr>
                  <w:tcW w:w="1325" w:type="dxa"/>
                  <w:noWrap w:val="0"/>
                  <w:vAlign w:val="center"/>
                </w:tcPr>
                <w:p>
                  <w:pPr>
                    <w:pStyle w:val="55"/>
                    <w:bidi w:val="0"/>
                    <w:rPr>
                      <w:rFonts w:hint="default"/>
                      <w:color w:val="auto"/>
                      <w:lang w:val="en-US" w:eastAsia="zh-CN"/>
                    </w:rPr>
                  </w:pPr>
                  <w:r>
                    <w:rPr>
                      <w:rFonts w:hint="eastAsia"/>
                      <w:color w:val="auto"/>
                      <w:lang w:val="en-US" w:eastAsia="zh-CN"/>
                    </w:rPr>
                    <w:t>29.565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pStyle w:val="55"/>
                    <w:bidi w:val="0"/>
                    <w:rPr>
                      <w:rFonts w:hint="default"/>
                      <w:color w:val="auto"/>
                      <w:lang w:val="en-US" w:eastAsia="zh-CN"/>
                    </w:rPr>
                  </w:pPr>
                  <w:r>
                    <w:rPr>
                      <w:rFonts w:hint="eastAsia"/>
                      <w:color w:val="auto"/>
                      <w:lang w:val="en-US" w:eastAsia="zh-CN"/>
                    </w:rPr>
                    <w:t>3</w:t>
                  </w:r>
                </w:p>
              </w:tc>
              <w:tc>
                <w:tcPr>
                  <w:tcW w:w="1340" w:type="dxa"/>
                  <w:noWrap w:val="0"/>
                  <w:vAlign w:val="top"/>
                </w:tcPr>
                <w:p>
                  <w:pPr>
                    <w:pStyle w:val="55"/>
                    <w:bidi w:val="0"/>
                    <w:rPr>
                      <w:rFonts w:hint="default"/>
                      <w:color w:val="auto"/>
                      <w:lang w:val="en-US" w:eastAsia="zh-CN"/>
                    </w:rPr>
                  </w:pPr>
                  <w:r>
                    <w:rPr>
                      <w:rFonts w:hint="eastAsia"/>
                      <w:color w:val="auto"/>
                      <w:lang w:val="en-US" w:eastAsia="zh-CN"/>
                    </w:rPr>
                    <w:t>医院职工</w:t>
                  </w:r>
                </w:p>
              </w:tc>
              <w:tc>
                <w:tcPr>
                  <w:tcW w:w="1690" w:type="dxa"/>
                  <w:noWrap w:val="0"/>
                  <w:vAlign w:val="center"/>
                </w:tcPr>
                <w:p>
                  <w:pPr>
                    <w:pStyle w:val="55"/>
                    <w:bidi w:val="0"/>
                    <w:rPr>
                      <w:rFonts w:hint="default"/>
                      <w:color w:val="auto"/>
                      <w:lang w:val="en-US" w:eastAsia="zh-CN"/>
                    </w:rPr>
                  </w:pPr>
                  <w:r>
                    <w:rPr>
                      <w:rFonts w:hint="eastAsia"/>
                      <w:color w:val="auto"/>
                      <w:lang w:val="en-US" w:eastAsia="zh-CN"/>
                    </w:rPr>
                    <w:t>0.5</w:t>
                  </w:r>
                </w:p>
              </w:tc>
              <w:tc>
                <w:tcPr>
                  <w:tcW w:w="1544" w:type="dxa"/>
                  <w:noWrap w:val="0"/>
                  <w:vAlign w:val="center"/>
                </w:tcPr>
                <w:p>
                  <w:pPr>
                    <w:pStyle w:val="55"/>
                    <w:bidi w:val="0"/>
                    <w:rPr>
                      <w:rFonts w:hint="default"/>
                      <w:color w:val="auto"/>
                      <w:lang w:val="en-US" w:eastAsia="zh-CN"/>
                    </w:rPr>
                  </w:pPr>
                  <w:r>
                    <w:rPr>
                      <w:rFonts w:hint="eastAsia"/>
                      <w:color w:val="auto"/>
                      <w:lang w:val="en-US" w:eastAsia="zh-CN"/>
                    </w:rPr>
                    <w:t>72</w:t>
                  </w:r>
                </w:p>
              </w:tc>
              <w:tc>
                <w:tcPr>
                  <w:tcW w:w="1325" w:type="dxa"/>
                  <w:noWrap w:val="0"/>
                  <w:vAlign w:val="center"/>
                </w:tcPr>
                <w:p>
                  <w:pPr>
                    <w:pStyle w:val="55"/>
                    <w:bidi w:val="0"/>
                    <w:rPr>
                      <w:rFonts w:hint="default"/>
                      <w:color w:val="auto"/>
                      <w:lang w:val="en-US" w:eastAsia="zh-CN"/>
                    </w:rPr>
                  </w:pPr>
                  <w:r>
                    <w:rPr>
                      <w:rFonts w:hint="eastAsia"/>
                      <w:color w:val="auto"/>
                      <w:lang w:val="en-US" w:eastAsia="zh-CN"/>
                    </w:rPr>
                    <w:t>36</w:t>
                  </w:r>
                </w:p>
              </w:tc>
              <w:tc>
                <w:tcPr>
                  <w:tcW w:w="1325" w:type="dxa"/>
                  <w:noWrap w:val="0"/>
                  <w:vAlign w:val="center"/>
                </w:tcPr>
                <w:p>
                  <w:pPr>
                    <w:pStyle w:val="55"/>
                    <w:bidi w:val="0"/>
                    <w:rPr>
                      <w:rFonts w:hint="default"/>
                      <w:color w:val="auto"/>
                      <w:lang w:val="en-US" w:eastAsia="zh-CN"/>
                    </w:rPr>
                  </w:pPr>
                  <w:r>
                    <w:rPr>
                      <w:rFonts w:hint="eastAsia"/>
                      <w:color w:val="auto"/>
                      <w:lang w:val="en-US" w:eastAsia="zh-CN"/>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pPr>
                    <w:pStyle w:val="55"/>
                    <w:bidi w:val="0"/>
                    <w:rPr>
                      <w:rFonts w:hint="default"/>
                      <w:color w:val="auto"/>
                      <w:lang w:val="en-US" w:eastAsia="zh-CN"/>
                    </w:rPr>
                  </w:pPr>
                  <w:r>
                    <w:rPr>
                      <w:rFonts w:hint="eastAsia"/>
                      <w:color w:val="auto"/>
                      <w:lang w:val="en-US" w:eastAsia="zh-CN"/>
                    </w:rPr>
                    <w:t>4</w:t>
                  </w:r>
                </w:p>
              </w:tc>
              <w:tc>
                <w:tcPr>
                  <w:tcW w:w="1340" w:type="dxa"/>
                  <w:noWrap w:val="0"/>
                  <w:vAlign w:val="top"/>
                </w:tcPr>
                <w:p>
                  <w:pPr>
                    <w:pStyle w:val="55"/>
                    <w:bidi w:val="0"/>
                    <w:rPr>
                      <w:rFonts w:hint="default"/>
                      <w:color w:val="auto"/>
                      <w:lang w:val="en-US" w:eastAsia="zh-CN"/>
                    </w:rPr>
                  </w:pPr>
                  <w:r>
                    <w:rPr>
                      <w:rFonts w:hint="eastAsia"/>
                      <w:color w:val="auto"/>
                      <w:lang w:val="en-US" w:eastAsia="zh-CN"/>
                    </w:rPr>
                    <w:t>合计</w:t>
                  </w:r>
                </w:p>
              </w:tc>
              <w:tc>
                <w:tcPr>
                  <w:tcW w:w="1690" w:type="dxa"/>
                  <w:noWrap w:val="0"/>
                  <w:vAlign w:val="center"/>
                </w:tcPr>
                <w:p>
                  <w:pPr>
                    <w:pStyle w:val="55"/>
                    <w:bidi w:val="0"/>
                    <w:rPr>
                      <w:rFonts w:hint="default"/>
                      <w:color w:val="auto"/>
                      <w:lang w:val="en-US" w:eastAsia="zh-CN"/>
                    </w:rPr>
                  </w:pPr>
                  <w:r>
                    <w:rPr>
                      <w:rFonts w:hint="eastAsia"/>
                      <w:color w:val="auto"/>
                      <w:lang w:val="en-US" w:eastAsia="zh-CN"/>
                    </w:rPr>
                    <w:t>/</w:t>
                  </w:r>
                </w:p>
              </w:tc>
              <w:tc>
                <w:tcPr>
                  <w:tcW w:w="1544" w:type="dxa"/>
                  <w:noWrap w:val="0"/>
                  <w:vAlign w:val="center"/>
                </w:tcPr>
                <w:p>
                  <w:pPr>
                    <w:pStyle w:val="55"/>
                    <w:bidi w:val="0"/>
                    <w:rPr>
                      <w:rFonts w:hint="default"/>
                      <w:color w:val="auto"/>
                      <w:lang w:val="en-US" w:eastAsia="zh-CN"/>
                    </w:rPr>
                  </w:pPr>
                  <w:r>
                    <w:rPr>
                      <w:rFonts w:hint="eastAsia"/>
                      <w:color w:val="auto"/>
                      <w:lang w:val="en-US" w:eastAsia="zh-CN"/>
                    </w:rPr>
                    <w:t>/</w:t>
                  </w:r>
                </w:p>
              </w:tc>
              <w:tc>
                <w:tcPr>
                  <w:tcW w:w="1325" w:type="dxa"/>
                  <w:noWrap w:val="0"/>
                  <w:vAlign w:val="center"/>
                </w:tcPr>
                <w:p>
                  <w:pPr>
                    <w:pStyle w:val="55"/>
                    <w:bidi w:val="0"/>
                    <w:rPr>
                      <w:rFonts w:hint="default"/>
                      <w:color w:val="auto"/>
                      <w:lang w:val="en-US" w:eastAsia="zh-CN"/>
                    </w:rPr>
                  </w:pPr>
                  <w:r>
                    <w:rPr>
                      <w:rFonts w:hint="eastAsia"/>
                      <w:color w:val="auto"/>
                      <w:lang w:val="en-US" w:eastAsia="zh-CN"/>
                    </w:rPr>
                    <w:t>123</w:t>
                  </w:r>
                </w:p>
              </w:tc>
              <w:tc>
                <w:tcPr>
                  <w:tcW w:w="1325" w:type="dxa"/>
                  <w:noWrap w:val="0"/>
                  <w:vAlign w:val="center"/>
                </w:tcPr>
                <w:p>
                  <w:pPr>
                    <w:pStyle w:val="55"/>
                    <w:bidi w:val="0"/>
                    <w:rPr>
                      <w:rFonts w:hint="default"/>
                      <w:color w:val="auto"/>
                      <w:lang w:val="en-US" w:eastAsia="zh-CN"/>
                    </w:rPr>
                  </w:pPr>
                  <w:r>
                    <w:rPr>
                      <w:rFonts w:hint="eastAsia"/>
                      <w:color w:val="auto"/>
                      <w:lang w:val="en-US" w:eastAsia="zh-CN"/>
                    </w:rPr>
                    <w:t>44.895</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综上，</w:t>
            </w:r>
            <w:r>
              <w:rPr>
                <w:rFonts w:hint="eastAsia" w:ascii="Times New Roman" w:hAnsi="Times New Roman" w:eastAsia="宋体" w:cs="Times New Roman"/>
                <w:color w:val="auto"/>
                <w:sz w:val="24"/>
                <w:szCs w:val="24"/>
                <w:u w:val="none" w:color="auto"/>
                <w:lang w:val="en-US" w:eastAsia="zh-CN"/>
              </w:rPr>
              <w:t>本</w:t>
            </w:r>
            <w:r>
              <w:rPr>
                <w:rFonts w:hint="default" w:ascii="Times New Roman" w:hAnsi="Times New Roman" w:eastAsia="宋体" w:cs="Times New Roman"/>
                <w:color w:val="auto"/>
                <w:sz w:val="24"/>
                <w:szCs w:val="24"/>
                <w:u w:val="none" w:color="auto"/>
                <w:lang w:eastAsia="zh-CN"/>
              </w:rPr>
              <w:t>生活垃圾产生量为</w:t>
            </w:r>
            <w:r>
              <w:rPr>
                <w:rFonts w:hint="eastAsia" w:cs="Times New Roman"/>
                <w:i w:val="0"/>
                <w:iCs w:val="0"/>
                <w:color w:val="auto"/>
                <w:kern w:val="0"/>
                <w:sz w:val="24"/>
                <w:szCs w:val="24"/>
                <w:u w:val="none"/>
                <w:lang w:val="en-US" w:eastAsia="zh-CN" w:bidi="ar"/>
              </w:rPr>
              <w:t>44.895</w:t>
            </w:r>
            <w:r>
              <w:rPr>
                <w:rFonts w:hint="default" w:ascii="Times New Roman" w:hAnsi="Times New Roman" w:eastAsia="宋体" w:cs="Times New Roman"/>
                <w:color w:val="auto"/>
                <w:sz w:val="24"/>
                <w:szCs w:val="24"/>
                <w:u w:val="none" w:color="auto"/>
                <w:lang w:eastAsia="zh-CN"/>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eastAsia" w:ascii="Times New Roman" w:hAnsi="Times New Roman" w:eastAsia="宋体" w:cs="Times New Roman"/>
                <w:color w:val="auto"/>
                <w:sz w:val="24"/>
                <w:szCs w:val="24"/>
                <w:u w:val="none" w:color="auto"/>
                <w:lang w:val="en-US" w:eastAsia="zh-CN"/>
              </w:rPr>
              <w:t xml:space="preserve">② </w:t>
            </w:r>
            <w:r>
              <w:rPr>
                <w:rFonts w:hint="default" w:ascii="Times New Roman" w:hAnsi="Times New Roman" w:eastAsia="宋体" w:cs="Times New Roman"/>
                <w:color w:val="auto"/>
                <w:sz w:val="24"/>
                <w:szCs w:val="24"/>
                <w:u w:val="none" w:color="auto"/>
                <w:lang w:eastAsia="zh-CN"/>
              </w:rPr>
              <w:t>输液瓶（袋）和玻璃瓶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根据《关于明确医疗废物分类有关问题的通知》（卫办医发〔2005〕292号）的规定：使用后的输液瓶不属于医疗废物。使用后的各种玻璃（一次性塑料）输液瓶（袋），未被病人血液、体液、排泄物污染的，不属于医疗废物，不必按照医疗废物进行管理，但这类废物回收利用时不能用于原用途，用于其他用途时应符合不危害人体健康的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lang w:eastAsia="zh-CN"/>
              </w:rPr>
              <w:t>根据建设单位现有项目运营情况，本项目产生该类固体废物约为</w:t>
            </w:r>
            <w:r>
              <w:rPr>
                <w:rFonts w:hint="eastAsia" w:ascii="Times New Roman" w:hAnsi="Times New Roman" w:eastAsia="宋体" w:cs="Times New Roman"/>
                <w:color w:val="auto"/>
                <w:sz w:val="24"/>
                <w:szCs w:val="24"/>
                <w:u w:val="none" w:color="auto"/>
                <w:lang w:val="en-US" w:eastAsia="zh-CN"/>
              </w:rPr>
              <w:t>5t</w:t>
            </w:r>
            <w:r>
              <w:rPr>
                <w:rFonts w:hint="default" w:ascii="Times New Roman" w:hAnsi="Times New Roman" w:eastAsia="宋体" w:cs="Times New Roman"/>
                <w:color w:val="auto"/>
                <w:sz w:val="24"/>
                <w:szCs w:val="24"/>
                <w:u w:val="none" w:color="auto"/>
                <w:lang w:eastAsia="zh-CN"/>
              </w:rPr>
              <w:t>/a，该部分废物需储存于专门储存间内，交由湖南</w:t>
            </w:r>
            <w:r>
              <w:rPr>
                <w:rFonts w:hint="eastAsia" w:ascii="Times New Roman" w:hAnsi="Times New Roman" w:eastAsia="宋体" w:cs="Times New Roman"/>
                <w:color w:val="auto"/>
                <w:sz w:val="24"/>
                <w:szCs w:val="24"/>
                <w:u w:val="none" w:color="auto"/>
                <w:lang w:val="en-US" w:eastAsia="zh-CN"/>
              </w:rPr>
              <w:t>博晟卫生材料</w:t>
            </w:r>
            <w:r>
              <w:rPr>
                <w:rFonts w:hint="default" w:ascii="Times New Roman" w:hAnsi="Times New Roman" w:eastAsia="宋体" w:cs="Times New Roman"/>
                <w:color w:val="auto"/>
                <w:sz w:val="24"/>
                <w:szCs w:val="24"/>
                <w:u w:val="none" w:color="auto"/>
                <w:lang w:eastAsia="zh-CN"/>
              </w:rPr>
              <w:t>有限公司进</w:t>
            </w:r>
            <w:r>
              <w:rPr>
                <w:rFonts w:hint="default" w:ascii="Times New Roman" w:hAnsi="Times New Roman" w:eastAsia="宋体" w:cs="Times New Roman"/>
                <w:color w:val="auto"/>
                <w:sz w:val="24"/>
                <w:szCs w:val="24"/>
                <w:u w:val="none" w:color="auto"/>
              </w:rPr>
              <w:t>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③</w:t>
            </w:r>
            <w:r>
              <w:rPr>
                <w:rFonts w:hint="default" w:ascii="Times New Roman" w:hAnsi="Times New Roman" w:eastAsia="宋体" w:cs="Times New Roman"/>
                <w:color w:val="auto"/>
                <w:sz w:val="24"/>
                <w:szCs w:val="24"/>
                <w:u w:val="none" w:color="auto"/>
              </w:rPr>
              <w:t>废</w:t>
            </w:r>
            <w:r>
              <w:rPr>
                <w:rFonts w:hint="default" w:ascii="Times New Roman" w:hAnsi="Times New Roman" w:eastAsia="宋体" w:cs="Times New Roman"/>
                <w:color w:val="auto"/>
                <w:kern w:val="0"/>
                <w:sz w:val="24"/>
                <w:szCs w:val="24"/>
                <w:u w:val="none" w:color="auto"/>
              </w:rPr>
              <w:t>包装</w:t>
            </w:r>
            <w:r>
              <w:rPr>
                <w:rFonts w:hint="default" w:ascii="Times New Roman" w:hAnsi="Times New Roman" w:eastAsia="宋体" w:cs="Times New Roman"/>
                <w:color w:val="auto"/>
                <w:sz w:val="24"/>
                <w:szCs w:val="24"/>
                <w:u w:val="none" w:color="auto"/>
              </w:rPr>
              <w:t>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废包装材料来自药品等的外包装，属于一般固废，根据建设单位提供的资料。废包装材料产生量为</w:t>
            </w:r>
            <w:r>
              <w:rPr>
                <w:rFonts w:hint="eastAsia" w:ascii="Times New Roman" w:hAnsi="Times New Roman" w:eastAsia="宋体" w:cs="Times New Roman"/>
                <w:color w:val="auto"/>
                <w:sz w:val="24"/>
                <w:szCs w:val="24"/>
                <w:u w:val="none" w:color="auto"/>
                <w:lang w:val="en-US" w:eastAsia="zh-CN"/>
              </w:rPr>
              <w:t>1.0</w:t>
            </w:r>
            <w:r>
              <w:rPr>
                <w:rFonts w:hint="default" w:ascii="Times New Roman" w:hAnsi="Times New Roman" w:eastAsia="宋体" w:cs="Times New Roman"/>
                <w:color w:val="auto"/>
                <w:sz w:val="24"/>
                <w:szCs w:val="24"/>
                <w:u w:val="none" w:color="auto"/>
              </w:rPr>
              <w:t>t/a，收集后</w:t>
            </w:r>
            <w:r>
              <w:rPr>
                <w:rFonts w:hint="eastAsia" w:ascii="Times New Roman" w:hAnsi="Times New Roman" w:eastAsia="宋体" w:cs="Times New Roman"/>
                <w:color w:val="auto"/>
                <w:sz w:val="24"/>
                <w:szCs w:val="24"/>
                <w:u w:val="none" w:color="auto"/>
                <w:lang w:val="en-US" w:eastAsia="zh-CN"/>
              </w:rPr>
              <w:t>作为废品出售</w:t>
            </w:r>
            <w:r>
              <w:rPr>
                <w:rFonts w:hint="default" w:ascii="Times New Roman" w:hAnsi="Times New Roman" w:eastAsia="宋体" w:cs="Times New Roman"/>
                <w:color w:val="auto"/>
                <w:sz w:val="24"/>
                <w:szCs w:val="24"/>
                <w:u w:val="non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④</w:t>
            </w:r>
            <w:r>
              <w:rPr>
                <w:rFonts w:hint="default" w:ascii="Times New Roman" w:hAnsi="Times New Roman" w:eastAsia="宋体" w:cs="Times New Roman"/>
                <w:color w:val="auto"/>
                <w:sz w:val="24"/>
                <w:szCs w:val="24"/>
                <w:u w:val="none" w:color="auto"/>
              </w:rPr>
              <w:t>医疗废物</w:t>
            </w:r>
          </w:p>
          <w:p>
            <w:pPr>
              <w:keepNext w:val="0"/>
              <w:keepLines w:val="0"/>
              <w:pageBreakBefore w:val="0"/>
              <w:widowControl w:val="0"/>
              <w:kinsoku/>
              <w:wordWrap/>
              <w:overflowPunct/>
              <w:topLinePunct w:val="0"/>
              <w:autoSpaceDE/>
              <w:autoSpaceDN/>
              <w:bidi w:val="0"/>
              <w:adjustRightInd w:val="0"/>
              <w:snapToGrid w:val="0"/>
              <w:spacing w:line="360" w:lineRule="auto"/>
              <w:ind w:firstLine="464"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pacing w:val="-4"/>
                <w:sz w:val="24"/>
                <w:szCs w:val="24"/>
                <w:u w:val="none" w:color="auto"/>
              </w:rPr>
              <w:t>本项目医疗废物主要为包括感染性废物（如接触病人体液的纱布、棉球、纸张、</w:t>
            </w:r>
            <w:r>
              <w:rPr>
                <w:rFonts w:hint="default" w:ascii="Times New Roman" w:hAnsi="Times New Roman" w:eastAsia="宋体" w:cs="Times New Roman"/>
                <w:color w:val="auto"/>
                <w:sz w:val="24"/>
                <w:szCs w:val="24"/>
                <w:u w:val="none" w:color="auto"/>
              </w:rPr>
              <w:t>手术服等各类受污染的纤维制品）、病理性废物（如废弃的人体组织及器官）、损</w:t>
            </w:r>
            <w:r>
              <w:rPr>
                <w:rFonts w:hint="default" w:ascii="Times New Roman" w:hAnsi="Times New Roman" w:eastAsia="宋体" w:cs="Times New Roman"/>
                <w:color w:val="auto"/>
                <w:spacing w:val="-4"/>
                <w:sz w:val="24"/>
                <w:szCs w:val="24"/>
                <w:u w:val="none" w:color="auto"/>
              </w:rPr>
              <w:t>伤性废物（废弃的金属类锐器，如针头、缝合针、针灸针、探针、穿刺针、解剖刀、</w:t>
            </w:r>
            <w:r>
              <w:rPr>
                <w:rFonts w:hint="default" w:ascii="Times New Roman" w:hAnsi="Times New Roman" w:eastAsia="宋体" w:cs="Times New Roman"/>
                <w:color w:val="auto"/>
                <w:sz w:val="24"/>
                <w:szCs w:val="24"/>
                <w:u w:val="none" w:color="auto"/>
              </w:rPr>
              <w:t>手术刀、手术锯、备皮刀、钢钉等）、药物性废物（废弃的疫苗、血液制品等）和</w:t>
            </w:r>
            <w:r>
              <w:rPr>
                <w:rFonts w:hint="default" w:ascii="Times New Roman" w:hAnsi="Times New Roman" w:eastAsia="宋体" w:cs="Times New Roman"/>
                <w:color w:val="auto"/>
                <w:spacing w:val="-12"/>
                <w:sz w:val="24"/>
                <w:szCs w:val="24"/>
                <w:u w:val="none" w:color="auto"/>
              </w:rPr>
              <w:t>化学性废物（含汞血压计、含汞体温计等），根据《国家危险废物名录（2021</w:t>
            </w:r>
            <w:r>
              <w:rPr>
                <w:rFonts w:hint="default" w:ascii="Times New Roman" w:hAnsi="Times New Roman" w:eastAsia="宋体" w:cs="Times New Roman"/>
                <w:color w:val="auto"/>
                <w:spacing w:val="-48"/>
                <w:sz w:val="24"/>
                <w:szCs w:val="24"/>
                <w:u w:val="none" w:color="auto"/>
              </w:rPr>
              <w:t>年</w:t>
            </w:r>
            <w:r>
              <w:rPr>
                <w:rFonts w:hint="eastAsia" w:ascii="Times New Roman" w:hAnsi="Times New Roman" w:eastAsia="宋体" w:cs="Times New Roman"/>
                <w:color w:val="auto"/>
                <w:spacing w:val="-48"/>
                <w:sz w:val="24"/>
                <w:szCs w:val="24"/>
                <w:u w:val="none" w:color="auto"/>
                <w:lang w:val="en-US" w:eastAsia="zh-CN"/>
              </w:rPr>
              <w:t xml:space="preserve">    版   </w:t>
            </w:r>
            <w:r>
              <w:rPr>
                <w:rFonts w:hint="default" w:ascii="Times New Roman" w:hAnsi="Times New Roman" w:eastAsia="宋体" w:cs="Times New Roman"/>
                <w:color w:val="auto"/>
                <w:spacing w:val="-48"/>
                <w:sz w:val="24"/>
                <w:szCs w:val="24"/>
                <w:u w:val="none" w:color="auto"/>
              </w:rPr>
              <w:t>）》，</w:t>
            </w:r>
            <w:r>
              <w:rPr>
                <w:rFonts w:hint="default" w:ascii="Times New Roman" w:hAnsi="Times New Roman" w:eastAsia="宋体" w:cs="Times New Roman"/>
                <w:color w:val="auto"/>
                <w:spacing w:val="-13"/>
                <w:sz w:val="24"/>
                <w:szCs w:val="24"/>
                <w:u w:val="none" w:color="auto"/>
              </w:rPr>
              <w:t>本项目产生的感染性废物、病理性废物、损伤性废物、药物性、化学性废物属于</w:t>
            </w:r>
            <w:r>
              <w:rPr>
                <w:rFonts w:hint="default" w:ascii="Times New Roman" w:hAnsi="Times New Roman" w:eastAsia="宋体" w:cs="Times New Roman"/>
                <w:color w:val="auto"/>
                <w:sz w:val="24"/>
                <w:szCs w:val="24"/>
                <w:u w:val="none" w:color="auto"/>
              </w:rPr>
              <w:t>HW01医疗废物。根据医院运营经验及《医疗废物分类目录》，医院产生的医疗废物组成特征及收集方式详见下表。</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表4-1</w:t>
            </w:r>
            <w:r>
              <w:rPr>
                <w:rFonts w:hint="eastAsia" w:cs="Times New Roman"/>
                <w:color w:val="auto"/>
                <w:sz w:val="24"/>
                <w:szCs w:val="24"/>
                <w:u w:val="none" w:color="auto"/>
                <w:lang w:val="en-US" w:eastAsia="zh-CN"/>
              </w:rPr>
              <w:t>2</w:t>
            </w:r>
            <w:r>
              <w:rPr>
                <w:rFonts w:hint="eastAsia"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rPr>
              <w:t>本项目医疗废物组成及收集方式</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031"/>
              <w:gridCol w:w="1681"/>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pPr>
                    <w:pStyle w:val="49"/>
                    <w:bidi w:val="0"/>
                    <w:rPr>
                      <w:rFonts w:hint="default"/>
                      <w:color w:val="auto"/>
                      <w:lang w:val="en-US" w:eastAsia="zh-CN"/>
                    </w:rPr>
                  </w:pPr>
                  <w:r>
                    <w:rPr>
                      <w:rFonts w:hint="eastAsia"/>
                      <w:color w:val="auto"/>
                      <w:lang w:val="en-US" w:eastAsia="zh-CN"/>
                    </w:rPr>
                    <w:t>类别</w:t>
                  </w:r>
                </w:p>
              </w:tc>
              <w:tc>
                <w:tcPr>
                  <w:tcW w:w="3031" w:type="dxa"/>
                  <w:noWrap w:val="0"/>
                  <w:vAlign w:val="center"/>
                </w:tcPr>
                <w:p>
                  <w:pPr>
                    <w:pStyle w:val="49"/>
                    <w:bidi w:val="0"/>
                    <w:rPr>
                      <w:rFonts w:hint="default"/>
                      <w:color w:val="auto"/>
                      <w:lang w:val="en-US" w:eastAsia="zh-CN"/>
                    </w:rPr>
                  </w:pPr>
                  <w:r>
                    <w:rPr>
                      <w:rFonts w:hint="eastAsia"/>
                      <w:color w:val="auto"/>
                      <w:lang w:val="en-US" w:eastAsia="zh-CN"/>
                    </w:rPr>
                    <w:t>常见组分或者废物名称</w:t>
                  </w:r>
                </w:p>
              </w:tc>
              <w:tc>
                <w:tcPr>
                  <w:tcW w:w="1681" w:type="dxa"/>
                  <w:noWrap w:val="0"/>
                  <w:vAlign w:val="center"/>
                </w:tcPr>
                <w:p>
                  <w:pPr>
                    <w:pStyle w:val="49"/>
                    <w:bidi w:val="0"/>
                    <w:rPr>
                      <w:rFonts w:hint="default"/>
                      <w:color w:val="auto"/>
                      <w:lang w:val="en-US" w:eastAsia="zh-CN"/>
                    </w:rPr>
                  </w:pPr>
                  <w:r>
                    <w:rPr>
                      <w:rFonts w:hint="eastAsia"/>
                      <w:color w:val="auto"/>
                      <w:lang w:val="en-US" w:eastAsia="zh-CN"/>
                    </w:rPr>
                    <w:t>特征</w:t>
                  </w:r>
                </w:p>
              </w:tc>
              <w:tc>
                <w:tcPr>
                  <w:tcW w:w="2293" w:type="dxa"/>
                  <w:noWrap w:val="0"/>
                  <w:vAlign w:val="center"/>
                </w:tcPr>
                <w:p>
                  <w:pPr>
                    <w:pStyle w:val="49"/>
                    <w:bidi w:val="0"/>
                    <w:rPr>
                      <w:rFonts w:hint="default"/>
                      <w:color w:val="auto"/>
                      <w:lang w:val="en-US" w:eastAsia="zh-CN"/>
                    </w:rPr>
                  </w:pPr>
                  <w:r>
                    <w:rPr>
                      <w:rFonts w:hint="eastAsia"/>
                      <w:color w:val="auto"/>
                      <w:lang w:val="en-US" w:eastAsia="zh-CN"/>
                    </w:rPr>
                    <w:t>收集方式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pPr>
                    <w:pStyle w:val="49"/>
                    <w:bidi w:val="0"/>
                    <w:rPr>
                      <w:rFonts w:hint="default"/>
                      <w:color w:val="auto"/>
                      <w:lang w:val="en-US" w:eastAsia="zh-CN"/>
                    </w:rPr>
                  </w:pPr>
                  <w:r>
                    <w:rPr>
                      <w:rFonts w:hint="eastAsia"/>
                      <w:color w:val="auto"/>
                      <w:lang w:val="en-US" w:eastAsia="zh-CN"/>
                    </w:rPr>
                    <w:t>感染性废物</w:t>
                  </w:r>
                </w:p>
              </w:tc>
              <w:tc>
                <w:tcPr>
                  <w:tcW w:w="3031" w:type="dxa"/>
                  <w:noWrap w:val="0"/>
                  <w:vAlign w:val="center"/>
                </w:tcPr>
                <w:p>
                  <w:pPr>
                    <w:pStyle w:val="49"/>
                    <w:bidi w:val="0"/>
                    <w:rPr>
                      <w:rFonts w:hint="default"/>
                      <w:color w:val="auto"/>
                      <w:lang w:val="en-US" w:eastAsia="zh-CN"/>
                    </w:rPr>
                  </w:pPr>
                  <w:r>
                    <w:rPr>
                      <w:rFonts w:hint="eastAsia"/>
                      <w:color w:val="auto"/>
                      <w:lang w:val="en-US" w:eastAsia="zh-CN"/>
                    </w:rPr>
                    <w:t>1、被患者血液、体液、排泄物等污染的除锐器以外的废物。</w:t>
                  </w:r>
                </w:p>
              </w:tc>
              <w:tc>
                <w:tcPr>
                  <w:tcW w:w="1681" w:type="dxa"/>
                  <w:vMerge w:val="restart"/>
                  <w:noWrap w:val="0"/>
                  <w:vAlign w:val="center"/>
                </w:tcPr>
                <w:p>
                  <w:pPr>
                    <w:pStyle w:val="49"/>
                    <w:bidi w:val="0"/>
                    <w:rPr>
                      <w:rFonts w:hint="default"/>
                      <w:color w:val="auto"/>
                      <w:lang w:val="en-US" w:eastAsia="zh-CN"/>
                    </w:rPr>
                  </w:pPr>
                  <w:r>
                    <w:rPr>
                      <w:rFonts w:hint="eastAsia"/>
                      <w:color w:val="auto"/>
                      <w:lang w:val="en-US" w:eastAsia="zh-CN"/>
                    </w:rPr>
                    <w:t>携带病原微生物，具有引发感染性疾病传播危险的医疗废物</w:t>
                  </w:r>
                </w:p>
              </w:tc>
              <w:tc>
                <w:tcPr>
                  <w:tcW w:w="2293" w:type="dxa"/>
                  <w:vMerge w:val="restart"/>
                  <w:noWrap w:val="0"/>
                  <w:vAlign w:val="center"/>
                </w:tcPr>
                <w:p>
                  <w:pPr>
                    <w:pStyle w:val="49"/>
                    <w:bidi w:val="0"/>
                    <w:rPr>
                      <w:rFonts w:hint="default"/>
                      <w:color w:val="auto"/>
                      <w:lang w:val="en-US" w:eastAsia="zh-CN"/>
                    </w:rPr>
                  </w:pPr>
                  <w:r>
                    <w:rPr>
                      <w:rFonts w:hint="eastAsia"/>
                      <w:color w:val="auto"/>
                      <w:lang w:val="en-US" w:eastAsia="zh-CN"/>
                    </w:rPr>
                    <w:t>收集于符合《医疗废物专用包装袋、容器和警示标志标准》（HJ421-2008）的医疗废物包装袋中。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pPr>
                    <w:pStyle w:val="49"/>
                    <w:bidi w:val="0"/>
                    <w:rPr>
                      <w:rFonts w:hint="default"/>
                      <w:color w:val="auto"/>
                      <w:lang w:val="en-US" w:eastAsia="zh-CN"/>
                    </w:rPr>
                  </w:pPr>
                </w:p>
              </w:tc>
              <w:tc>
                <w:tcPr>
                  <w:tcW w:w="3031" w:type="dxa"/>
                  <w:noWrap w:val="0"/>
                  <w:vAlign w:val="center"/>
                </w:tcPr>
                <w:p>
                  <w:pPr>
                    <w:pStyle w:val="49"/>
                    <w:bidi w:val="0"/>
                    <w:rPr>
                      <w:rFonts w:hint="default"/>
                      <w:color w:val="auto"/>
                      <w:lang w:val="en-US" w:eastAsia="zh-CN"/>
                    </w:rPr>
                  </w:pPr>
                  <w:r>
                    <w:rPr>
                      <w:rFonts w:hint="eastAsia"/>
                      <w:color w:val="auto"/>
                      <w:lang w:val="en-US" w:eastAsia="zh-CN"/>
                    </w:rPr>
                    <w:t>2、使用后废弃的一次性使用医疗如注射器、被污染的输液器、透析器等。</w:t>
                  </w:r>
                </w:p>
              </w:tc>
              <w:tc>
                <w:tcPr>
                  <w:tcW w:w="1681" w:type="dxa"/>
                  <w:vMerge w:val="continue"/>
                  <w:noWrap w:val="0"/>
                  <w:vAlign w:val="center"/>
                </w:tcPr>
                <w:p>
                  <w:pPr>
                    <w:pStyle w:val="49"/>
                    <w:bidi w:val="0"/>
                    <w:rPr>
                      <w:rFonts w:hint="default"/>
                      <w:color w:val="auto"/>
                      <w:lang w:val="en-US" w:eastAsia="zh-CN"/>
                    </w:rPr>
                  </w:pPr>
                </w:p>
              </w:tc>
              <w:tc>
                <w:tcPr>
                  <w:tcW w:w="2293" w:type="dxa"/>
                  <w:vMerge w:val="continue"/>
                  <w:noWrap w:val="0"/>
                  <w:vAlign w:val="center"/>
                </w:tcPr>
                <w:p>
                  <w:pPr>
                    <w:pStyle w:val="49"/>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pPr>
                    <w:pStyle w:val="49"/>
                    <w:bidi w:val="0"/>
                    <w:rPr>
                      <w:rFonts w:hint="default"/>
                      <w:color w:val="auto"/>
                      <w:lang w:val="en-US" w:eastAsia="zh-CN"/>
                    </w:rPr>
                  </w:pPr>
                </w:p>
              </w:tc>
              <w:tc>
                <w:tcPr>
                  <w:tcW w:w="3031" w:type="dxa"/>
                  <w:noWrap w:val="0"/>
                  <w:vAlign w:val="center"/>
                </w:tcPr>
                <w:p>
                  <w:pPr>
                    <w:pStyle w:val="49"/>
                    <w:bidi w:val="0"/>
                    <w:rPr>
                      <w:rFonts w:hint="default"/>
                      <w:color w:val="auto"/>
                      <w:lang w:val="en-US" w:eastAsia="zh-CN"/>
                    </w:rPr>
                  </w:pPr>
                  <w:r>
                    <w:rPr>
                      <w:rFonts w:hint="eastAsia"/>
                      <w:color w:val="auto"/>
                      <w:lang w:val="en-US" w:eastAsia="zh-CN"/>
                    </w:rPr>
                    <w:t>3、检验室及科室废弃的血液、血清、分泌物等标本和容器。</w:t>
                  </w:r>
                </w:p>
              </w:tc>
              <w:tc>
                <w:tcPr>
                  <w:tcW w:w="1681" w:type="dxa"/>
                  <w:vMerge w:val="continue"/>
                  <w:noWrap w:val="0"/>
                  <w:vAlign w:val="center"/>
                </w:tcPr>
                <w:p>
                  <w:pPr>
                    <w:pStyle w:val="49"/>
                    <w:bidi w:val="0"/>
                    <w:rPr>
                      <w:rFonts w:hint="default"/>
                      <w:color w:val="auto"/>
                      <w:lang w:val="en-US" w:eastAsia="zh-CN"/>
                    </w:rPr>
                  </w:pPr>
                </w:p>
              </w:tc>
              <w:tc>
                <w:tcPr>
                  <w:tcW w:w="2293" w:type="dxa"/>
                  <w:vMerge w:val="continue"/>
                  <w:noWrap w:val="0"/>
                  <w:vAlign w:val="center"/>
                </w:tcPr>
                <w:p>
                  <w:pPr>
                    <w:pStyle w:val="49"/>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pPr>
                    <w:pStyle w:val="49"/>
                    <w:bidi w:val="0"/>
                    <w:rPr>
                      <w:rFonts w:hint="default"/>
                      <w:color w:val="auto"/>
                      <w:lang w:val="en-US" w:eastAsia="zh-CN"/>
                    </w:rPr>
                  </w:pPr>
                  <w:r>
                    <w:rPr>
                      <w:rFonts w:hint="eastAsia"/>
                      <w:color w:val="auto"/>
                      <w:lang w:val="en-US" w:eastAsia="zh-CN"/>
                    </w:rPr>
                    <w:t>病理性废物</w:t>
                  </w:r>
                </w:p>
              </w:tc>
              <w:tc>
                <w:tcPr>
                  <w:tcW w:w="3031" w:type="dxa"/>
                  <w:noWrap w:val="0"/>
                  <w:vAlign w:val="center"/>
                </w:tcPr>
                <w:p>
                  <w:pPr>
                    <w:pStyle w:val="49"/>
                    <w:bidi w:val="0"/>
                    <w:rPr>
                      <w:rFonts w:hint="default"/>
                      <w:color w:val="auto"/>
                      <w:lang w:val="en-US" w:eastAsia="zh-CN"/>
                    </w:rPr>
                  </w:pPr>
                  <w:r>
                    <w:rPr>
                      <w:rFonts w:hint="eastAsia"/>
                      <w:color w:val="auto"/>
                      <w:lang w:val="en-US" w:eastAsia="zh-CN"/>
                    </w:rPr>
                    <w:t>1、手术及其他医学服务过程中产生的废弃的人体组织、器官。</w:t>
                  </w:r>
                </w:p>
              </w:tc>
              <w:tc>
                <w:tcPr>
                  <w:tcW w:w="1681" w:type="dxa"/>
                  <w:vMerge w:val="restart"/>
                  <w:noWrap w:val="0"/>
                  <w:vAlign w:val="center"/>
                </w:tcPr>
                <w:p>
                  <w:pPr>
                    <w:pStyle w:val="49"/>
                    <w:bidi w:val="0"/>
                    <w:rPr>
                      <w:rFonts w:hint="default"/>
                      <w:color w:val="auto"/>
                      <w:lang w:val="en-US" w:eastAsia="zh-CN"/>
                    </w:rPr>
                  </w:pPr>
                  <w:r>
                    <w:rPr>
                      <w:rFonts w:hint="eastAsia"/>
                      <w:color w:val="auto"/>
                      <w:lang w:val="en-US" w:eastAsia="zh-CN"/>
                    </w:rPr>
                    <w:t>诊疗过程中产生的人体废弃物</w:t>
                  </w:r>
                </w:p>
              </w:tc>
              <w:tc>
                <w:tcPr>
                  <w:tcW w:w="2293" w:type="dxa"/>
                  <w:vMerge w:val="restart"/>
                  <w:noWrap w:val="0"/>
                  <w:vAlign w:val="center"/>
                </w:tcPr>
                <w:p>
                  <w:pPr>
                    <w:pStyle w:val="49"/>
                    <w:bidi w:val="0"/>
                    <w:rPr>
                      <w:rFonts w:hint="eastAsia"/>
                      <w:color w:val="auto"/>
                      <w:lang w:val="en-US" w:eastAsia="zh-CN"/>
                    </w:rPr>
                  </w:pPr>
                  <w:r>
                    <w:rPr>
                      <w:rFonts w:hint="eastAsia"/>
                      <w:color w:val="auto"/>
                      <w:lang w:val="en-US" w:eastAsia="zh-CN"/>
                    </w:rPr>
                    <w:t>收集于符合《医疗废物专用包装袋、容器和警示标志标准》（HJ421-2008）的医疗废物包装袋中；</w:t>
                  </w:r>
                </w:p>
                <w:p>
                  <w:pPr>
                    <w:pStyle w:val="49"/>
                    <w:bidi w:val="0"/>
                    <w:rPr>
                      <w:rFonts w:hint="default"/>
                      <w:color w:val="auto"/>
                      <w:lang w:val="en-US" w:eastAsia="zh-CN"/>
                    </w:rPr>
                  </w:pPr>
                  <w:r>
                    <w:rPr>
                      <w:rFonts w:hint="eastAsia"/>
                      <w:color w:val="auto"/>
                      <w:lang w:val="en-US" w:eastAsia="zh-CN"/>
                    </w:rPr>
                    <w:t>2、进行防腐或者低温保存。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pPr>
                    <w:pStyle w:val="49"/>
                    <w:bidi w:val="0"/>
                    <w:rPr>
                      <w:rFonts w:hint="default"/>
                      <w:color w:val="auto"/>
                      <w:lang w:val="en-US" w:eastAsia="zh-CN"/>
                    </w:rPr>
                  </w:pPr>
                </w:p>
              </w:tc>
              <w:tc>
                <w:tcPr>
                  <w:tcW w:w="3031" w:type="dxa"/>
                  <w:noWrap w:val="0"/>
                  <w:vAlign w:val="center"/>
                </w:tcPr>
                <w:p>
                  <w:pPr>
                    <w:pStyle w:val="49"/>
                    <w:bidi w:val="0"/>
                    <w:rPr>
                      <w:rFonts w:hint="default"/>
                      <w:color w:val="auto"/>
                      <w:lang w:val="en-US" w:eastAsia="zh-CN"/>
                    </w:rPr>
                  </w:pPr>
                  <w:r>
                    <w:rPr>
                      <w:rFonts w:hint="eastAsia"/>
                      <w:color w:val="auto"/>
                      <w:lang w:val="en-US" w:eastAsia="zh-CN"/>
                    </w:rPr>
                    <w:t>2、病理切片后废弃的人体组织、病理腊块等。</w:t>
                  </w:r>
                </w:p>
              </w:tc>
              <w:tc>
                <w:tcPr>
                  <w:tcW w:w="1681" w:type="dxa"/>
                  <w:vMerge w:val="continue"/>
                  <w:noWrap w:val="0"/>
                  <w:vAlign w:val="center"/>
                </w:tcPr>
                <w:p>
                  <w:pPr>
                    <w:pStyle w:val="49"/>
                    <w:bidi w:val="0"/>
                    <w:rPr>
                      <w:rFonts w:hint="default"/>
                      <w:color w:val="auto"/>
                      <w:lang w:val="en-US" w:eastAsia="zh-CN"/>
                    </w:rPr>
                  </w:pPr>
                </w:p>
              </w:tc>
              <w:tc>
                <w:tcPr>
                  <w:tcW w:w="2293" w:type="dxa"/>
                  <w:vMerge w:val="continue"/>
                  <w:noWrap w:val="0"/>
                  <w:vAlign w:val="center"/>
                </w:tcPr>
                <w:p>
                  <w:pPr>
                    <w:pStyle w:val="49"/>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pPr>
                    <w:pStyle w:val="49"/>
                    <w:bidi w:val="0"/>
                    <w:rPr>
                      <w:rFonts w:hint="default"/>
                      <w:color w:val="auto"/>
                      <w:lang w:val="en-US" w:eastAsia="zh-CN"/>
                    </w:rPr>
                  </w:pPr>
                  <w:r>
                    <w:rPr>
                      <w:rFonts w:hint="eastAsia"/>
                      <w:color w:val="auto"/>
                      <w:lang w:val="en-US" w:eastAsia="zh-CN"/>
                    </w:rPr>
                    <w:t>损伤性废物</w:t>
                  </w:r>
                </w:p>
              </w:tc>
              <w:tc>
                <w:tcPr>
                  <w:tcW w:w="3031" w:type="dxa"/>
                  <w:noWrap w:val="0"/>
                  <w:vAlign w:val="center"/>
                </w:tcPr>
                <w:p>
                  <w:pPr>
                    <w:pStyle w:val="49"/>
                    <w:bidi w:val="0"/>
                    <w:rPr>
                      <w:rFonts w:hint="default"/>
                      <w:color w:val="auto"/>
                      <w:lang w:val="en-US" w:eastAsia="zh-CN"/>
                    </w:rPr>
                  </w:pPr>
                  <w:r>
                    <w:rPr>
                      <w:rFonts w:hint="eastAsia"/>
                      <w:color w:val="auto"/>
                      <w:lang w:val="en-US" w:eastAsia="zh-CN"/>
                    </w:rPr>
                    <w:t>1、废弃的金属类锐器，如针头、缝合针、针灸针、探针、穿刺针、解剖刀、手术刀、手术锯、备皮刀、钢钉等。</w:t>
                  </w:r>
                </w:p>
              </w:tc>
              <w:tc>
                <w:tcPr>
                  <w:tcW w:w="1681" w:type="dxa"/>
                  <w:vMerge w:val="restart"/>
                  <w:noWrap w:val="0"/>
                  <w:vAlign w:val="center"/>
                </w:tcPr>
                <w:p>
                  <w:pPr>
                    <w:pStyle w:val="49"/>
                    <w:bidi w:val="0"/>
                    <w:rPr>
                      <w:rFonts w:hint="default"/>
                      <w:color w:val="auto"/>
                      <w:lang w:val="en-US" w:eastAsia="zh-CN"/>
                    </w:rPr>
                  </w:pPr>
                  <w:r>
                    <w:rPr>
                      <w:rFonts w:hint="eastAsia"/>
                      <w:color w:val="auto"/>
                      <w:lang w:val="en-US" w:eastAsia="zh-CN"/>
                    </w:rPr>
                    <w:t>能够刺伤或者割伤人体的废弃的医用锐器</w:t>
                  </w:r>
                </w:p>
              </w:tc>
              <w:tc>
                <w:tcPr>
                  <w:tcW w:w="2293" w:type="dxa"/>
                  <w:vMerge w:val="restart"/>
                  <w:noWrap w:val="0"/>
                  <w:vAlign w:val="center"/>
                </w:tcPr>
                <w:p>
                  <w:pPr>
                    <w:pStyle w:val="49"/>
                    <w:bidi w:val="0"/>
                    <w:rPr>
                      <w:rFonts w:hint="eastAsia"/>
                      <w:color w:val="auto"/>
                      <w:lang w:val="en-US" w:eastAsia="zh-CN"/>
                    </w:rPr>
                  </w:pPr>
                  <w:r>
                    <w:rPr>
                      <w:rFonts w:hint="eastAsia"/>
                      <w:color w:val="auto"/>
                      <w:lang w:val="en-US" w:eastAsia="zh-CN"/>
                    </w:rPr>
                    <w:t>1、收集于符合《医疗废物专用包装袋、容器和警示标志标准》（HJ421-2008）的利器盒中。</w:t>
                  </w:r>
                </w:p>
                <w:p>
                  <w:pPr>
                    <w:pStyle w:val="49"/>
                    <w:bidi w:val="0"/>
                    <w:rPr>
                      <w:rFonts w:hint="default"/>
                      <w:color w:val="auto"/>
                      <w:lang w:val="en-US" w:eastAsia="zh-CN"/>
                    </w:rPr>
                  </w:pPr>
                  <w:r>
                    <w:rPr>
                      <w:rFonts w:hint="eastAsia"/>
                      <w:color w:val="auto"/>
                      <w:lang w:val="en-US" w:eastAsia="zh-CN"/>
                    </w:rPr>
                    <w:t>2、利器盒达到3/4满时，进行封闭严密，按流程运送、贮存。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pPr>
                    <w:pStyle w:val="49"/>
                    <w:bidi w:val="0"/>
                    <w:rPr>
                      <w:rFonts w:hint="default"/>
                      <w:color w:val="auto"/>
                      <w:lang w:val="en-US" w:eastAsia="zh-CN"/>
                    </w:rPr>
                  </w:pPr>
                </w:p>
              </w:tc>
              <w:tc>
                <w:tcPr>
                  <w:tcW w:w="3031" w:type="dxa"/>
                  <w:noWrap w:val="0"/>
                  <w:vAlign w:val="center"/>
                </w:tcPr>
                <w:p>
                  <w:pPr>
                    <w:pStyle w:val="49"/>
                    <w:bidi w:val="0"/>
                    <w:rPr>
                      <w:rFonts w:hint="default"/>
                      <w:color w:val="auto"/>
                      <w:lang w:val="en-US" w:eastAsia="zh-CN"/>
                    </w:rPr>
                  </w:pPr>
                  <w:r>
                    <w:rPr>
                      <w:rFonts w:hint="eastAsia"/>
                      <w:color w:val="auto"/>
                      <w:lang w:val="en-US" w:eastAsia="zh-CN"/>
                    </w:rPr>
                    <w:t>2、废弃的玻璃类锐器，如盖玻片载玻片、玻璃安瓿等。</w:t>
                  </w:r>
                </w:p>
              </w:tc>
              <w:tc>
                <w:tcPr>
                  <w:tcW w:w="1681" w:type="dxa"/>
                  <w:vMerge w:val="continue"/>
                  <w:noWrap w:val="0"/>
                  <w:vAlign w:val="center"/>
                </w:tcPr>
                <w:p>
                  <w:pPr>
                    <w:pStyle w:val="49"/>
                    <w:bidi w:val="0"/>
                    <w:rPr>
                      <w:rFonts w:hint="default"/>
                      <w:color w:val="auto"/>
                      <w:lang w:val="en-US" w:eastAsia="zh-CN"/>
                    </w:rPr>
                  </w:pPr>
                </w:p>
              </w:tc>
              <w:tc>
                <w:tcPr>
                  <w:tcW w:w="2293" w:type="dxa"/>
                  <w:vMerge w:val="continue"/>
                  <w:noWrap w:val="0"/>
                  <w:vAlign w:val="center"/>
                </w:tcPr>
                <w:p>
                  <w:pPr>
                    <w:pStyle w:val="49"/>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pPr>
                    <w:pStyle w:val="49"/>
                    <w:bidi w:val="0"/>
                    <w:rPr>
                      <w:rFonts w:hint="default"/>
                      <w:color w:val="auto"/>
                      <w:lang w:val="en-US" w:eastAsia="zh-CN"/>
                    </w:rPr>
                  </w:pPr>
                </w:p>
              </w:tc>
              <w:tc>
                <w:tcPr>
                  <w:tcW w:w="3031" w:type="dxa"/>
                  <w:noWrap w:val="0"/>
                  <w:vAlign w:val="center"/>
                </w:tcPr>
                <w:p>
                  <w:pPr>
                    <w:pStyle w:val="49"/>
                    <w:bidi w:val="0"/>
                    <w:rPr>
                      <w:rFonts w:hint="default"/>
                      <w:color w:val="auto"/>
                      <w:lang w:val="en-US" w:eastAsia="zh-CN"/>
                    </w:rPr>
                  </w:pPr>
                  <w:r>
                    <w:rPr>
                      <w:rFonts w:hint="eastAsia"/>
                      <w:color w:val="auto"/>
                      <w:lang w:val="en-US" w:eastAsia="zh-CN"/>
                    </w:rPr>
                    <w:t>3、废弃的其他材质类锐器。</w:t>
                  </w:r>
                </w:p>
              </w:tc>
              <w:tc>
                <w:tcPr>
                  <w:tcW w:w="1681" w:type="dxa"/>
                  <w:vMerge w:val="continue"/>
                  <w:noWrap w:val="0"/>
                  <w:vAlign w:val="center"/>
                </w:tcPr>
                <w:p>
                  <w:pPr>
                    <w:pStyle w:val="49"/>
                    <w:bidi w:val="0"/>
                    <w:rPr>
                      <w:rFonts w:hint="default"/>
                      <w:color w:val="auto"/>
                      <w:lang w:val="en-US" w:eastAsia="zh-CN"/>
                    </w:rPr>
                  </w:pPr>
                </w:p>
              </w:tc>
              <w:tc>
                <w:tcPr>
                  <w:tcW w:w="2293" w:type="dxa"/>
                  <w:vMerge w:val="continue"/>
                  <w:noWrap w:val="0"/>
                  <w:vAlign w:val="center"/>
                </w:tcPr>
                <w:p>
                  <w:pPr>
                    <w:pStyle w:val="49"/>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pPr>
                    <w:pStyle w:val="49"/>
                    <w:bidi w:val="0"/>
                    <w:rPr>
                      <w:rFonts w:hint="default"/>
                      <w:color w:val="auto"/>
                      <w:lang w:val="en-US" w:eastAsia="zh-CN"/>
                    </w:rPr>
                  </w:pPr>
                  <w:r>
                    <w:rPr>
                      <w:rFonts w:hint="eastAsia"/>
                      <w:color w:val="auto"/>
                      <w:lang w:val="en-US" w:eastAsia="zh-CN"/>
                    </w:rPr>
                    <w:t>药物性废物</w:t>
                  </w:r>
                </w:p>
              </w:tc>
              <w:tc>
                <w:tcPr>
                  <w:tcW w:w="3031" w:type="dxa"/>
                  <w:noWrap w:val="0"/>
                  <w:vAlign w:val="center"/>
                </w:tcPr>
                <w:p>
                  <w:pPr>
                    <w:pStyle w:val="49"/>
                    <w:bidi w:val="0"/>
                    <w:rPr>
                      <w:rFonts w:hint="default"/>
                      <w:color w:val="auto"/>
                      <w:lang w:val="en-US" w:eastAsia="zh-CN"/>
                    </w:rPr>
                  </w:pPr>
                  <w:r>
                    <w:rPr>
                      <w:rFonts w:hint="eastAsia"/>
                      <w:color w:val="auto"/>
                      <w:lang w:val="en-US" w:eastAsia="zh-CN"/>
                    </w:rPr>
                    <w:t>1、废弃的一般性药品。</w:t>
                  </w:r>
                </w:p>
              </w:tc>
              <w:tc>
                <w:tcPr>
                  <w:tcW w:w="1681" w:type="dxa"/>
                  <w:vMerge w:val="restart"/>
                  <w:noWrap w:val="0"/>
                  <w:vAlign w:val="center"/>
                </w:tcPr>
                <w:p>
                  <w:pPr>
                    <w:pStyle w:val="49"/>
                    <w:bidi w:val="0"/>
                    <w:rPr>
                      <w:rFonts w:hint="default"/>
                      <w:color w:val="auto"/>
                      <w:lang w:val="en-US" w:eastAsia="zh-CN"/>
                    </w:rPr>
                  </w:pPr>
                  <w:r>
                    <w:rPr>
                      <w:rFonts w:hint="eastAsia"/>
                      <w:color w:val="auto"/>
                      <w:lang w:val="en-US" w:eastAsia="zh-CN"/>
                    </w:rPr>
                    <w:t>过期、淘汰、变质或者被污染的废弃的药品</w:t>
                  </w:r>
                </w:p>
              </w:tc>
              <w:tc>
                <w:tcPr>
                  <w:tcW w:w="2293" w:type="dxa"/>
                  <w:vMerge w:val="restart"/>
                  <w:noWrap w:val="0"/>
                  <w:vAlign w:val="center"/>
                </w:tcPr>
                <w:p>
                  <w:pPr>
                    <w:pStyle w:val="49"/>
                    <w:bidi w:val="0"/>
                    <w:rPr>
                      <w:rFonts w:hint="default"/>
                      <w:color w:val="auto"/>
                      <w:lang w:val="en-US" w:eastAsia="zh-CN"/>
                    </w:rPr>
                  </w:pPr>
                  <w:r>
                    <w:rPr>
                      <w:rFonts w:hint="eastAsia"/>
                      <w:color w:val="auto"/>
                      <w:lang w:val="en-US" w:eastAsia="zh-CN"/>
                    </w:rPr>
                    <w:t>收集于符合《医疗废物专用包装袋、容器和警示标志标准》（HJ421-2008）的医疗废物包装袋中；交由有资质单位处理。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pPr>
                    <w:pStyle w:val="49"/>
                    <w:bidi w:val="0"/>
                    <w:rPr>
                      <w:rFonts w:hint="default"/>
                      <w:color w:val="auto"/>
                      <w:lang w:val="en-US" w:eastAsia="zh-CN"/>
                    </w:rPr>
                  </w:pPr>
                </w:p>
              </w:tc>
              <w:tc>
                <w:tcPr>
                  <w:tcW w:w="3031" w:type="dxa"/>
                  <w:noWrap w:val="0"/>
                  <w:vAlign w:val="center"/>
                </w:tcPr>
                <w:p>
                  <w:pPr>
                    <w:pStyle w:val="49"/>
                    <w:bidi w:val="0"/>
                    <w:rPr>
                      <w:rFonts w:hint="default"/>
                      <w:color w:val="auto"/>
                      <w:lang w:val="en-US" w:eastAsia="zh-CN"/>
                    </w:rPr>
                  </w:pPr>
                  <w:r>
                    <w:rPr>
                      <w:rFonts w:hint="eastAsia"/>
                      <w:color w:val="auto"/>
                      <w:lang w:val="en-US" w:eastAsia="zh-CN"/>
                    </w:rPr>
                    <w:t>2、废弃的疫苗、血液制品等。</w:t>
                  </w:r>
                </w:p>
              </w:tc>
              <w:tc>
                <w:tcPr>
                  <w:tcW w:w="1681" w:type="dxa"/>
                  <w:vMerge w:val="continue"/>
                  <w:noWrap w:val="0"/>
                  <w:vAlign w:val="center"/>
                </w:tcPr>
                <w:p>
                  <w:pPr>
                    <w:pStyle w:val="49"/>
                    <w:bidi w:val="0"/>
                    <w:rPr>
                      <w:rFonts w:hint="default"/>
                      <w:color w:val="auto"/>
                      <w:lang w:val="en-US" w:eastAsia="zh-CN"/>
                    </w:rPr>
                  </w:pPr>
                </w:p>
              </w:tc>
              <w:tc>
                <w:tcPr>
                  <w:tcW w:w="2293" w:type="dxa"/>
                  <w:vMerge w:val="continue"/>
                  <w:noWrap w:val="0"/>
                  <w:vAlign w:val="center"/>
                </w:tcPr>
                <w:p>
                  <w:pPr>
                    <w:pStyle w:val="49"/>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pPr>
                    <w:pStyle w:val="49"/>
                    <w:bidi w:val="0"/>
                    <w:rPr>
                      <w:rFonts w:hint="default"/>
                      <w:color w:val="auto"/>
                      <w:lang w:val="en-US" w:eastAsia="zh-CN"/>
                    </w:rPr>
                  </w:pPr>
                  <w:r>
                    <w:rPr>
                      <w:rFonts w:hint="eastAsia"/>
                      <w:color w:val="auto"/>
                      <w:lang w:val="en-US" w:eastAsia="zh-CN"/>
                    </w:rPr>
                    <w:t>化学性</w:t>
                  </w:r>
                </w:p>
              </w:tc>
              <w:tc>
                <w:tcPr>
                  <w:tcW w:w="3031" w:type="dxa"/>
                  <w:noWrap w:val="0"/>
                  <w:vAlign w:val="center"/>
                </w:tcPr>
                <w:p>
                  <w:pPr>
                    <w:pStyle w:val="49"/>
                    <w:bidi w:val="0"/>
                    <w:rPr>
                      <w:rFonts w:hint="default"/>
                      <w:color w:val="auto"/>
                      <w:lang w:val="en-US" w:eastAsia="zh-CN"/>
                    </w:rPr>
                  </w:pPr>
                  <w:r>
                    <w:rPr>
                      <w:rFonts w:hint="eastAsia"/>
                      <w:color w:val="auto"/>
                      <w:lang w:val="en-US" w:eastAsia="zh-CN"/>
                    </w:rPr>
                    <w:t>本项目主要为含汞血压计、含汞体温计等。</w:t>
                  </w:r>
                </w:p>
              </w:tc>
              <w:tc>
                <w:tcPr>
                  <w:tcW w:w="1681" w:type="dxa"/>
                  <w:noWrap w:val="0"/>
                  <w:vAlign w:val="center"/>
                </w:tcPr>
                <w:p>
                  <w:pPr>
                    <w:pStyle w:val="49"/>
                    <w:bidi w:val="0"/>
                    <w:rPr>
                      <w:rFonts w:hint="default"/>
                      <w:color w:val="auto"/>
                      <w:lang w:val="en-US" w:eastAsia="zh-CN"/>
                    </w:rPr>
                  </w:pPr>
                  <w:r>
                    <w:rPr>
                      <w:rFonts w:hint="eastAsia"/>
                      <w:color w:val="auto"/>
                      <w:lang w:val="en-US" w:eastAsia="zh-CN"/>
                    </w:rPr>
                    <w:t>具有毒性、腐蚀性、易燃性、反应性的废弃的化学物品</w:t>
                  </w:r>
                </w:p>
              </w:tc>
              <w:tc>
                <w:tcPr>
                  <w:tcW w:w="2293" w:type="dxa"/>
                  <w:noWrap w:val="0"/>
                  <w:vAlign w:val="center"/>
                </w:tcPr>
                <w:p>
                  <w:pPr>
                    <w:pStyle w:val="49"/>
                    <w:bidi w:val="0"/>
                    <w:rPr>
                      <w:rFonts w:hint="eastAsia"/>
                      <w:color w:val="auto"/>
                      <w:lang w:val="en-US" w:eastAsia="zh-CN"/>
                    </w:rPr>
                  </w:pPr>
                  <w:r>
                    <w:rPr>
                      <w:rFonts w:hint="eastAsia"/>
                      <w:color w:val="auto"/>
                      <w:lang w:val="en-US" w:eastAsia="zh-CN"/>
                    </w:rPr>
                    <w:t>1、收集于容器中，粘贴标签并注明主要成分。</w:t>
                  </w:r>
                </w:p>
                <w:p>
                  <w:pPr>
                    <w:pStyle w:val="49"/>
                    <w:bidi w:val="0"/>
                    <w:rPr>
                      <w:rFonts w:hint="default"/>
                      <w:color w:val="auto"/>
                      <w:lang w:val="en-US" w:eastAsia="zh-CN"/>
                    </w:rPr>
                  </w:pPr>
                  <w:r>
                    <w:rPr>
                      <w:rFonts w:hint="eastAsia"/>
                      <w:color w:val="auto"/>
                      <w:lang w:val="en-US" w:eastAsia="zh-CN"/>
                    </w:rPr>
                    <w:t>2、收集后交由有资质单位处理。</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根据</w:t>
            </w:r>
            <w:r>
              <w:rPr>
                <w:color w:val="auto"/>
                <w:kern w:val="0"/>
                <w:sz w:val="24"/>
                <w:u w:val="none" w:color="auto"/>
              </w:rPr>
              <w:t>《第一次全国污染源普查—城镇生活源产排污系数手册》第四册医院污染物产生、排放系数中的规定，</w:t>
            </w:r>
            <w:r>
              <w:rPr>
                <w:rFonts w:hint="eastAsia" w:ascii="宋体" w:hAnsi="宋体" w:cs="宋体"/>
                <w:color w:val="auto"/>
                <w:kern w:val="0"/>
                <w:sz w:val="24"/>
                <w:u w:val="none" w:color="auto"/>
              </w:rPr>
              <w:t>①</w:t>
            </w:r>
            <w:r>
              <w:rPr>
                <w:color w:val="auto"/>
                <w:kern w:val="0"/>
                <w:sz w:val="24"/>
                <w:u w:val="none" w:color="auto"/>
              </w:rPr>
              <w:t>本项目位于湖南省，区域划分为二区；</w:t>
            </w:r>
            <w:r>
              <w:rPr>
                <w:rFonts w:hint="eastAsia"/>
                <w:color w:val="auto"/>
                <w:kern w:val="0"/>
                <w:sz w:val="24"/>
                <w:u w:val="none" w:color="auto"/>
                <w:lang w:val="en-US" w:eastAsia="zh-CN"/>
              </w:rPr>
              <w:t xml:space="preserve">     </w:t>
            </w:r>
            <w:r>
              <w:rPr>
                <w:color w:val="auto"/>
                <w:kern w:val="0"/>
                <w:sz w:val="24"/>
                <w:u w:val="none" w:color="auto"/>
              </w:rPr>
              <w:t>项目行业类别为乡镇卫生院，参考根据表2医院医疗废物核算系数与校核系数，医疗废物产生量核算系数选取0.42kg/床·日</w:t>
            </w:r>
            <w:r>
              <w:rPr>
                <w:rFonts w:hint="default" w:ascii="Times New Roman" w:hAnsi="Times New Roman" w:eastAsia="宋体" w:cs="Times New Roman"/>
                <w:color w:val="auto"/>
                <w:sz w:val="24"/>
                <w:szCs w:val="24"/>
                <w:u w:val="none" w:color="auto"/>
                <w:lang w:eastAsia="zh-CN"/>
              </w:rPr>
              <w:t>，本项目设有病床</w:t>
            </w:r>
            <w:r>
              <w:rPr>
                <w:rFonts w:hint="eastAsia" w:cs="Times New Roman"/>
                <w:color w:val="auto"/>
                <w:sz w:val="24"/>
                <w:szCs w:val="24"/>
                <w:u w:val="none" w:color="auto"/>
                <w:lang w:val="en-US" w:eastAsia="zh-CN"/>
              </w:rPr>
              <w:t>81</w:t>
            </w:r>
            <w:r>
              <w:rPr>
                <w:rFonts w:hint="default" w:ascii="Times New Roman" w:hAnsi="Times New Roman" w:eastAsia="宋体" w:cs="Times New Roman"/>
                <w:color w:val="auto"/>
                <w:sz w:val="24"/>
                <w:szCs w:val="24"/>
                <w:u w:val="none" w:color="auto"/>
                <w:lang w:eastAsia="zh-CN"/>
              </w:rPr>
              <w:t>张，则医疗废物产生量为</w:t>
            </w:r>
            <w:r>
              <w:rPr>
                <w:rFonts w:hint="eastAsia" w:ascii="Times New Roman" w:hAnsi="Times New Roman" w:eastAsia="宋体" w:cs="Times New Roman"/>
                <w:color w:val="auto"/>
                <w:sz w:val="24"/>
                <w:szCs w:val="24"/>
                <w:u w:val="none" w:color="auto"/>
                <w:lang w:eastAsia="zh-CN"/>
              </w:rPr>
              <w:t>0.03</w:t>
            </w:r>
            <w:r>
              <w:rPr>
                <w:rFonts w:hint="eastAsia" w:cs="Times New Roman"/>
                <w:color w:val="auto"/>
                <w:sz w:val="24"/>
                <w:szCs w:val="24"/>
                <w:u w:val="none" w:color="auto"/>
                <w:lang w:val="en-US" w:eastAsia="zh-CN"/>
              </w:rPr>
              <w:t>4</w:t>
            </w:r>
            <w:r>
              <w:rPr>
                <w:rFonts w:hint="default" w:ascii="Times New Roman" w:hAnsi="Times New Roman" w:eastAsia="宋体" w:cs="Times New Roman"/>
                <w:color w:val="auto"/>
                <w:sz w:val="24"/>
                <w:szCs w:val="24"/>
                <w:u w:val="none" w:color="auto"/>
                <w:lang w:eastAsia="zh-CN"/>
              </w:rPr>
              <w:t>t/d（</w:t>
            </w:r>
            <w:r>
              <w:rPr>
                <w:rFonts w:hint="eastAsia" w:cs="Times New Roman"/>
                <w:color w:val="auto"/>
                <w:sz w:val="24"/>
                <w:szCs w:val="24"/>
                <w:u w:val="none" w:color="auto"/>
                <w:lang w:val="en-US" w:eastAsia="zh-CN"/>
              </w:rPr>
              <w:t>12.41</w:t>
            </w:r>
            <w:r>
              <w:rPr>
                <w:rFonts w:hint="default" w:ascii="Times New Roman" w:hAnsi="Times New Roman" w:eastAsia="宋体" w:cs="Times New Roman"/>
                <w:color w:val="auto"/>
                <w:sz w:val="24"/>
                <w:szCs w:val="24"/>
                <w:u w:val="none" w:color="auto"/>
                <w:lang w:eastAsia="zh-CN"/>
              </w:rPr>
              <w:t>t/a）。</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表4-1</w:t>
            </w:r>
            <w:r>
              <w:rPr>
                <w:rFonts w:hint="eastAsia" w:cs="Times New Roman"/>
                <w:color w:val="auto"/>
                <w:sz w:val="24"/>
                <w:szCs w:val="24"/>
                <w:u w:val="none" w:color="auto"/>
                <w:lang w:val="en-US" w:eastAsia="zh-CN"/>
              </w:rPr>
              <w:t>3</w:t>
            </w:r>
            <w:r>
              <w:rPr>
                <w:rFonts w:hint="eastAsia"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rPr>
              <w:t>项目医疗废物产生情况一览表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487"/>
              <w:gridCol w:w="1444"/>
              <w:gridCol w:w="1324"/>
              <w:gridCol w:w="139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restart"/>
                  <w:noWrap w:val="0"/>
                  <w:vAlign w:val="center"/>
                </w:tcPr>
                <w:p>
                  <w:pPr>
                    <w:pStyle w:val="55"/>
                    <w:bidi w:val="0"/>
                    <w:rPr>
                      <w:rFonts w:hint="default"/>
                      <w:color w:val="auto"/>
                      <w:lang w:val="en-US" w:eastAsia="zh-CN"/>
                    </w:rPr>
                  </w:pPr>
                  <w:r>
                    <w:rPr>
                      <w:rFonts w:hint="eastAsia"/>
                      <w:color w:val="auto"/>
                      <w:lang w:val="en-US" w:eastAsia="zh-CN"/>
                    </w:rPr>
                    <w:t>废物类别</w:t>
                  </w:r>
                </w:p>
              </w:tc>
              <w:tc>
                <w:tcPr>
                  <w:tcW w:w="1487" w:type="dxa"/>
                  <w:vMerge w:val="restart"/>
                  <w:noWrap w:val="0"/>
                  <w:vAlign w:val="center"/>
                </w:tcPr>
                <w:p>
                  <w:pPr>
                    <w:pStyle w:val="55"/>
                    <w:bidi w:val="0"/>
                    <w:rPr>
                      <w:rFonts w:hint="default"/>
                      <w:color w:val="auto"/>
                      <w:lang w:val="en-US" w:eastAsia="zh-CN"/>
                    </w:rPr>
                  </w:pPr>
                  <w:r>
                    <w:rPr>
                      <w:rFonts w:hint="eastAsia"/>
                      <w:color w:val="auto"/>
                      <w:lang w:val="en-US" w:eastAsia="zh-CN"/>
                    </w:rPr>
                    <w:t>废物代码</w:t>
                  </w:r>
                </w:p>
              </w:tc>
              <w:tc>
                <w:tcPr>
                  <w:tcW w:w="1444" w:type="dxa"/>
                  <w:vMerge w:val="restart"/>
                  <w:noWrap w:val="0"/>
                  <w:vAlign w:val="center"/>
                </w:tcPr>
                <w:p>
                  <w:pPr>
                    <w:pStyle w:val="55"/>
                    <w:bidi w:val="0"/>
                    <w:rPr>
                      <w:rFonts w:hint="default"/>
                      <w:color w:val="auto"/>
                      <w:lang w:val="en-US" w:eastAsia="zh-CN"/>
                    </w:rPr>
                  </w:pPr>
                  <w:r>
                    <w:rPr>
                      <w:rFonts w:hint="eastAsia"/>
                      <w:color w:val="auto"/>
                      <w:lang w:val="en-US" w:eastAsia="zh-CN"/>
                    </w:rPr>
                    <w:t>危险废物</w:t>
                  </w:r>
                </w:p>
              </w:tc>
              <w:tc>
                <w:tcPr>
                  <w:tcW w:w="1324" w:type="dxa"/>
                  <w:vMerge w:val="restart"/>
                  <w:noWrap w:val="0"/>
                  <w:vAlign w:val="center"/>
                </w:tcPr>
                <w:p>
                  <w:pPr>
                    <w:pStyle w:val="55"/>
                    <w:bidi w:val="0"/>
                    <w:rPr>
                      <w:rFonts w:hint="default"/>
                      <w:color w:val="auto"/>
                      <w:lang w:val="en-US" w:eastAsia="zh-CN"/>
                    </w:rPr>
                  </w:pPr>
                  <w:r>
                    <w:rPr>
                      <w:rFonts w:hint="eastAsia"/>
                      <w:color w:val="auto"/>
                      <w:lang w:val="en-US" w:eastAsia="zh-CN"/>
                    </w:rPr>
                    <w:t>危害特性</w:t>
                  </w:r>
                </w:p>
              </w:tc>
              <w:tc>
                <w:tcPr>
                  <w:tcW w:w="2650" w:type="dxa"/>
                  <w:gridSpan w:val="2"/>
                  <w:noWrap w:val="0"/>
                  <w:vAlign w:val="center"/>
                </w:tcPr>
                <w:p>
                  <w:pPr>
                    <w:pStyle w:val="55"/>
                    <w:bidi w:val="0"/>
                    <w:rPr>
                      <w:rFonts w:hint="default"/>
                      <w:color w:val="auto"/>
                      <w:lang w:val="en-US" w:eastAsia="zh-CN"/>
                    </w:rPr>
                  </w:pPr>
                  <w:r>
                    <w:rPr>
                      <w:rFonts w:hint="eastAsia"/>
                      <w:color w:val="auto"/>
                      <w:lang w:val="en-US" w:eastAsia="zh-CN"/>
                    </w:rPr>
                    <w:t>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pPr>
                    <w:pStyle w:val="55"/>
                    <w:bidi w:val="0"/>
                    <w:rPr>
                      <w:rFonts w:hint="default"/>
                      <w:color w:val="auto"/>
                      <w:lang w:val="en-US" w:eastAsia="zh-CN"/>
                    </w:rPr>
                  </w:pPr>
                </w:p>
              </w:tc>
              <w:tc>
                <w:tcPr>
                  <w:tcW w:w="1487" w:type="dxa"/>
                  <w:vMerge w:val="continue"/>
                  <w:noWrap w:val="0"/>
                  <w:vAlign w:val="center"/>
                </w:tcPr>
                <w:p>
                  <w:pPr>
                    <w:pStyle w:val="55"/>
                    <w:bidi w:val="0"/>
                    <w:rPr>
                      <w:rFonts w:hint="default"/>
                      <w:color w:val="auto"/>
                      <w:lang w:val="en-US" w:eastAsia="zh-CN"/>
                    </w:rPr>
                  </w:pPr>
                </w:p>
              </w:tc>
              <w:tc>
                <w:tcPr>
                  <w:tcW w:w="1444" w:type="dxa"/>
                  <w:vMerge w:val="continue"/>
                  <w:noWrap w:val="0"/>
                  <w:vAlign w:val="center"/>
                </w:tcPr>
                <w:p>
                  <w:pPr>
                    <w:pStyle w:val="55"/>
                    <w:bidi w:val="0"/>
                    <w:rPr>
                      <w:rFonts w:hint="default"/>
                      <w:color w:val="auto"/>
                      <w:lang w:val="en-US" w:eastAsia="zh-CN"/>
                    </w:rPr>
                  </w:pPr>
                </w:p>
              </w:tc>
              <w:tc>
                <w:tcPr>
                  <w:tcW w:w="1324" w:type="dxa"/>
                  <w:vMerge w:val="continue"/>
                  <w:noWrap w:val="0"/>
                  <w:vAlign w:val="center"/>
                </w:tcPr>
                <w:p>
                  <w:pPr>
                    <w:pStyle w:val="55"/>
                    <w:bidi w:val="0"/>
                    <w:rPr>
                      <w:rFonts w:hint="default"/>
                      <w:color w:val="auto"/>
                      <w:lang w:val="en-US" w:eastAsia="zh-CN"/>
                    </w:rPr>
                  </w:pPr>
                </w:p>
              </w:tc>
              <w:tc>
                <w:tcPr>
                  <w:tcW w:w="1396" w:type="dxa"/>
                  <w:noWrap w:val="0"/>
                  <w:vAlign w:val="center"/>
                </w:tcPr>
                <w:p>
                  <w:pPr>
                    <w:pStyle w:val="55"/>
                    <w:bidi w:val="0"/>
                    <w:rPr>
                      <w:rFonts w:hint="default"/>
                      <w:color w:val="auto"/>
                      <w:lang w:val="en-US" w:eastAsia="zh-CN"/>
                    </w:rPr>
                  </w:pPr>
                  <w:r>
                    <w:rPr>
                      <w:rFonts w:hint="eastAsia"/>
                      <w:color w:val="auto"/>
                      <w:lang w:val="en-US" w:eastAsia="zh-CN"/>
                    </w:rPr>
                    <w:t>（t/d）</w:t>
                  </w:r>
                </w:p>
              </w:tc>
              <w:tc>
                <w:tcPr>
                  <w:tcW w:w="1254" w:type="dxa"/>
                  <w:noWrap w:val="0"/>
                  <w:vAlign w:val="center"/>
                </w:tcPr>
                <w:p>
                  <w:pPr>
                    <w:pStyle w:val="55"/>
                    <w:bidi w:val="0"/>
                    <w:rPr>
                      <w:rFonts w:hint="default"/>
                      <w:color w:val="auto"/>
                      <w:lang w:val="en-US" w:eastAsia="zh-CN"/>
                    </w:rPr>
                  </w:pPr>
                  <w:r>
                    <w:rPr>
                      <w:rFonts w:hint="eastAsia"/>
                      <w:color w:val="auto"/>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restart"/>
                  <w:noWrap w:val="0"/>
                  <w:vAlign w:val="center"/>
                </w:tcPr>
                <w:p>
                  <w:pPr>
                    <w:pStyle w:val="55"/>
                    <w:bidi w:val="0"/>
                    <w:rPr>
                      <w:rFonts w:hint="default"/>
                      <w:color w:val="auto"/>
                      <w:lang w:val="en-US" w:eastAsia="zh-CN"/>
                    </w:rPr>
                  </w:pPr>
                  <w:r>
                    <w:rPr>
                      <w:rFonts w:hint="eastAsia"/>
                      <w:color w:val="auto"/>
                      <w:lang w:val="en-US" w:eastAsia="zh-CN"/>
                    </w:rPr>
                    <w:t>HW01医疗废物</w:t>
                  </w:r>
                </w:p>
              </w:tc>
              <w:tc>
                <w:tcPr>
                  <w:tcW w:w="1487" w:type="dxa"/>
                  <w:noWrap w:val="0"/>
                  <w:vAlign w:val="center"/>
                </w:tcPr>
                <w:p>
                  <w:pPr>
                    <w:pStyle w:val="55"/>
                    <w:bidi w:val="0"/>
                    <w:rPr>
                      <w:rFonts w:hint="default"/>
                      <w:color w:val="auto"/>
                      <w:lang w:val="en-US" w:eastAsia="zh-CN"/>
                    </w:rPr>
                  </w:pPr>
                  <w:r>
                    <w:rPr>
                      <w:rFonts w:hint="eastAsia"/>
                      <w:color w:val="auto"/>
                      <w:lang w:val="en-US" w:eastAsia="zh-CN"/>
                    </w:rPr>
                    <w:t>841-001-01</w:t>
                  </w:r>
                </w:p>
              </w:tc>
              <w:tc>
                <w:tcPr>
                  <w:tcW w:w="1444" w:type="dxa"/>
                  <w:noWrap w:val="0"/>
                  <w:vAlign w:val="center"/>
                </w:tcPr>
                <w:p>
                  <w:pPr>
                    <w:pStyle w:val="55"/>
                    <w:bidi w:val="0"/>
                    <w:rPr>
                      <w:rFonts w:hint="default"/>
                      <w:color w:val="auto"/>
                      <w:lang w:val="en-US" w:eastAsia="zh-CN"/>
                    </w:rPr>
                  </w:pPr>
                  <w:r>
                    <w:rPr>
                      <w:rFonts w:hint="eastAsia"/>
                      <w:color w:val="auto"/>
                      <w:lang w:val="en-US" w:eastAsia="zh-CN"/>
                    </w:rPr>
                    <w:t>感染性废物</w:t>
                  </w:r>
                </w:p>
              </w:tc>
              <w:tc>
                <w:tcPr>
                  <w:tcW w:w="1324" w:type="dxa"/>
                  <w:noWrap w:val="0"/>
                  <w:vAlign w:val="center"/>
                </w:tcPr>
                <w:p>
                  <w:pPr>
                    <w:pStyle w:val="55"/>
                    <w:bidi w:val="0"/>
                    <w:rPr>
                      <w:rFonts w:hint="default"/>
                      <w:color w:val="auto"/>
                      <w:lang w:val="en-US" w:eastAsia="zh-CN"/>
                    </w:rPr>
                  </w:pPr>
                  <w:r>
                    <w:rPr>
                      <w:rFonts w:hint="eastAsia"/>
                      <w:color w:val="auto"/>
                      <w:lang w:val="en-US" w:eastAsia="zh-CN"/>
                    </w:rPr>
                    <w:t>In</w:t>
                  </w:r>
                </w:p>
              </w:tc>
              <w:tc>
                <w:tcPr>
                  <w:tcW w:w="1396" w:type="dxa"/>
                  <w:vMerge w:val="restart"/>
                  <w:noWrap w:val="0"/>
                  <w:vAlign w:val="center"/>
                </w:tcPr>
                <w:p>
                  <w:pPr>
                    <w:pStyle w:val="55"/>
                    <w:bidi w:val="0"/>
                    <w:rPr>
                      <w:rFonts w:hint="default"/>
                      <w:color w:val="auto"/>
                      <w:lang w:val="en-US" w:eastAsia="zh-CN"/>
                    </w:rPr>
                  </w:pPr>
                  <w:r>
                    <w:rPr>
                      <w:rFonts w:hint="eastAsia"/>
                      <w:color w:val="auto"/>
                      <w:lang w:val="en-US" w:eastAsia="zh-CN"/>
                    </w:rPr>
                    <w:t>0.034</w:t>
                  </w:r>
                </w:p>
              </w:tc>
              <w:tc>
                <w:tcPr>
                  <w:tcW w:w="1254" w:type="dxa"/>
                  <w:vMerge w:val="restart"/>
                  <w:noWrap w:val="0"/>
                  <w:vAlign w:val="center"/>
                </w:tcPr>
                <w:p>
                  <w:pPr>
                    <w:pStyle w:val="55"/>
                    <w:bidi w:val="0"/>
                    <w:rPr>
                      <w:rFonts w:hint="default"/>
                      <w:color w:val="auto"/>
                      <w:lang w:val="en-US" w:eastAsia="zh-CN"/>
                    </w:rPr>
                  </w:pPr>
                  <w:r>
                    <w:rPr>
                      <w:rFonts w:hint="eastAsia"/>
                      <w:color w:val="auto"/>
                      <w:lang w:val="en-US" w:eastAsia="zh-CN"/>
                    </w:rPr>
                    <w:t>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pPr>
                    <w:pStyle w:val="55"/>
                    <w:bidi w:val="0"/>
                    <w:rPr>
                      <w:rFonts w:hint="default"/>
                      <w:color w:val="auto"/>
                    </w:rPr>
                  </w:pPr>
                </w:p>
              </w:tc>
              <w:tc>
                <w:tcPr>
                  <w:tcW w:w="1487" w:type="dxa"/>
                  <w:noWrap w:val="0"/>
                  <w:vAlign w:val="center"/>
                </w:tcPr>
                <w:p>
                  <w:pPr>
                    <w:pStyle w:val="55"/>
                    <w:bidi w:val="0"/>
                    <w:rPr>
                      <w:rFonts w:hint="default"/>
                      <w:color w:val="auto"/>
                      <w:lang w:val="en-US" w:eastAsia="zh-CN"/>
                    </w:rPr>
                  </w:pPr>
                  <w:r>
                    <w:rPr>
                      <w:rFonts w:hint="eastAsia"/>
                      <w:color w:val="auto"/>
                      <w:lang w:val="en-US" w:eastAsia="zh-CN"/>
                    </w:rPr>
                    <w:t>841-002-01</w:t>
                  </w:r>
                </w:p>
              </w:tc>
              <w:tc>
                <w:tcPr>
                  <w:tcW w:w="1444" w:type="dxa"/>
                  <w:noWrap w:val="0"/>
                  <w:vAlign w:val="center"/>
                </w:tcPr>
                <w:p>
                  <w:pPr>
                    <w:pStyle w:val="55"/>
                    <w:bidi w:val="0"/>
                    <w:rPr>
                      <w:rFonts w:hint="default"/>
                      <w:color w:val="auto"/>
                      <w:lang w:val="en-US" w:eastAsia="zh-CN"/>
                    </w:rPr>
                  </w:pPr>
                  <w:r>
                    <w:rPr>
                      <w:rFonts w:hint="eastAsia"/>
                      <w:color w:val="auto"/>
                      <w:lang w:val="en-US" w:eastAsia="zh-CN"/>
                    </w:rPr>
                    <w:t>损伤性废物</w:t>
                  </w:r>
                </w:p>
              </w:tc>
              <w:tc>
                <w:tcPr>
                  <w:tcW w:w="1324" w:type="dxa"/>
                  <w:noWrap w:val="0"/>
                  <w:vAlign w:val="center"/>
                </w:tcPr>
                <w:p>
                  <w:pPr>
                    <w:pStyle w:val="55"/>
                    <w:bidi w:val="0"/>
                    <w:rPr>
                      <w:rFonts w:hint="default"/>
                      <w:color w:val="auto"/>
                      <w:lang w:val="en-US" w:eastAsia="zh-CN"/>
                    </w:rPr>
                  </w:pPr>
                  <w:r>
                    <w:rPr>
                      <w:rFonts w:hint="eastAsia"/>
                      <w:color w:val="auto"/>
                      <w:lang w:val="en-US" w:eastAsia="zh-CN"/>
                    </w:rPr>
                    <w:t>In</w:t>
                  </w:r>
                </w:p>
              </w:tc>
              <w:tc>
                <w:tcPr>
                  <w:tcW w:w="1396" w:type="dxa"/>
                  <w:vMerge w:val="continue"/>
                  <w:noWrap w:val="0"/>
                  <w:vAlign w:val="center"/>
                </w:tcPr>
                <w:p>
                  <w:pPr>
                    <w:pStyle w:val="55"/>
                    <w:bidi w:val="0"/>
                    <w:rPr>
                      <w:rFonts w:hint="default"/>
                      <w:color w:val="auto"/>
                    </w:rPr>
                  </w:pPr>
                </w:p>
              </w:tc>
              <w:tc>
                <w:tcPr>
                  <w:tcW w:w="1254" w:type="dxa"/>
                  <w:vMerge w:val="continue"/>
                  <w:noWrap w:val="0"/>
                  <w:vAlign w:val="center"/>
                </w:tcPr>
                <w:p>
                  <w:pPr>
                    <w:pStyle w:val="55"/>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pPr>
                    <w:pStyle w:val="55"/>
                    <w:bidi w:val="0"/>
                    <w:rPr>
                      <w:rFonts w:hint="default"/>
                      <w:color w:val="auto"/>
                    </w:rPr>
                  </w:pPr>
                </w:p>
              </w:tc>
              <w:tc>
                <w:tcPr>
                  <w:tcW w:w="1487" w:type="dxa"/>
                  <w:noWrap w:val="0"/>
                  <w:vAlign w:val="center"/>
                </w:tcPr>
                <w:p>
                  <w:pPr>
                    <w:pStyle w:val="55"/>
                    <w:bidi w:val="0"/>
                    <w:rPr>
                      <w:rFonts w:hint="default"/>
                      <w:color w:val="auto"/>
                      <w:lang w:val="en-US" w:eastAsia="zh-CN"/>
                    </w:rPr>
                  </w:pPr>
                  <w:r>
                    <w:rPr>
                      <w:rFonts w:hint="eastAsia"/>
                      <w:color w:val="auto"/>
                      <w:lang w:val="en-US" w:eastAsia="zh-CN"/>
                    </w:rPr>
                    <w:t>841-003-01</w:t>
                  </w:r>
                </w:p>
              </w:tc>
              <w:tc>
                <w:tcPr>
                  <w:tcW w:w="1444" w:type="dxa"/>
                  <w:noWrap w:val="0"/>
                  <w:vAlign w:val="center"/>
                </w:tcPr>
                <w:p>
                  <w:pPr>
                    <w:pStyle w:val="55"/>
                    <w:bidi w:val="0"/>
                    <w:rPr>
                      <w:rFonts w:hint="default"/>
                      <w:color w:val="auto"/>
                      <w:lang w:val="en-US" w:eastAsia="zh-CN"/>
                    </w:rPr>
                  </w:pPr>
                  <w:r>
                    <w:rPr>
                      <w:rFonts w:hint="eastAsia"/>
                      <w:color w:val="auto"/>
                      <w:lang w:val="en-US" w:eastAsia="zh-CN"/>
                    </w:rPr>
                    <w:t>病理性废物</w:t>
                  </w:r>
                </w:p>
              </w:tc>
              <w:tc>
                <w:tcPr>
                  <w:tcW w:w="1324" w:type="dxa"/>
                  <w:noWrap w:val="0"/>
                  <w:vAlign w:val="center"/>
                </w:tcPr>
                <w:p>
                  <w:pPr>
                    <w:pStyle w:val="55"/>
                    <w:bidi w:val="0"/>
                    <w:rPr>
                      <w:rFonts w:hint="default"/>
                      <w:color w:val="auto"/>
                      <w:lang w:val="en-US" w:eastAsia="zh-CN"/>
                    </w:rPr>
                  </w:pPr>
                  <w:r>
                    <w:rPr>
                      <w:rFonts w:hint="eastAsia"/>
                      <w:color w:val="auto"/>
                      <w:lang w:val="en-US" w:eastAsia="zh-CN"/>
                    </w:rPr>
                    <w:t>In</w:t>
                  </w:r>
                </w:p>
              </w:tc>
              <w:tc>
                <w:tcPr>
                  <w:tcW w:w="1396" w:type="dxa"/>
                  <w:vMerge w:val="continue"/>
                  <w:noWrap w:val="0"/>
                  <w:vAlign w:val="center"/>
                </w:tcPr>
                <w:p>
                  <w:pPr>
                    <w:pStyle w:val="55"/>
                    <w:bidi w:val="0"/>
                    <w:rPr>
                      <w:rFonts w:hint="default"/>
                      <w:color w:val="auto"/>
                    </w:rPr>
                  </w:pPr>
                </w:p>
              </w:tc>
              <w:tc>
                <w:tcPr>
                  <w:tcW w:w="1254" w:type="dxa"/>
                  <w:vMerge w:val="continue"/>
                  <w:noWrap w:val="0"/>
                  <w:vAlign w:val="center"/>
                </w:tcPr>
                <w:p>
                  <w:pPr>
                    <w:pStyle w:val="55"/>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pPr>
                    <w:pStyle w:val="55"/>
                    <w:bidi w:val="0"/>
                    <w:rPr>
                      <w:rFonts w:hint="default"/>
                      <w:color w:val="auto"/>
                    </w:rPr>
                  </w:pPr>
                </w:p>
              </w:tc>
              <w:tc>
                <w:tcPr>
                  <w:tcW w:w="1487" w:type="dxa"/>
                  <w:noWrap w:val="0"/>
                  <w:vAlign w:val="center"/>
                </w:tcPr>
                <w:p>
                  <w:pPr>
                    <w:pStyle w:val="55"/>
                    <w:bidi w:val="0"/>
                    <w:rPr>
                      <w:rFonts w:hint="default"/>
                      <w:color w:val="auto"/>
                      <w:lang w:val="en-US" w:eastAsia="zh-CN"/>
                    </w:rPr>
                  </w:pPr>
                  <w:r>
                    <w:rPr>
                      <w:rFonts w:hint="eastAsia"/>
                      <w:color w:val="auto"/>
                      <w:lang w:val="en-US" w:eastAsia="zh-CN"/>
                    </w:rPr>
                    <w:t>841-004-01</w:t>
                  </w:r>
                </w:p>
              </w:tc>
              <w:tc>
                <w:tcPr>
                  <w:tcW w:w="1444" w:type="dxa"/>
                  <w:noWrap w:val="0"/>
                  <w:vAlign w:val="center"/>
                </w:tcPr>
                <w:p>
                  <w:pPr>
                    <w:pStyle w:val="55"/>
                    <w:bidi w:val="0"/>
                    <w:rPr>
                      <w:rFonts w:hint="default"/>
                      <w:color w:val="auto"/>
                      <w:lang w:val="en-US" w:eastAsia="zh-CN"/>
                    </w:rPr>
                  </w:pPr>
                  <w:r>
                    <w:rPr>
                      <w:rFonts w:hint="eastAsia"/>
                      <w:color w:val="auto"/>
                      <w:lang w:val="en-US" w:eastAsia="zh-CN"/>
                    </w:rPr>
                    <w:t>化学性废物</w:t>
                  </w:r>
                </w:p>
              </w:tc>
              <w:tc>
                <w:tcPr>
                  <w:tcW w:w="1324" w:type="dxa"/>
                  <w:noWrap w:val="0"/>
                  <w:vAlign w:val="center"/>
                </w:tcPr>
                <w:p>
                  <w:pPr>
                    <w:pStyle w:val="55"/>
                    <w:bidi w:val="0"/>
                    <w:rPr>
                      <w:rFonts w:hint="default"/>
                      <w:color w:val="auto"/>
                      <w:lang w:val="en-US" w:eastAsia="zh-CN"/>
                    </w:rPr>
                  </w:pPr>
                  <w:r>
                    <w:rPr>
                      <w:rFonts w:hint="eastAsia"/>
                      <w:color w:val="auto"/>
                      <w:lang w:val="en-US" w:eastAsia="zh-CN"/>
                    </w:rPr>
                    <w:t>T/C/I/R</w:t>
                  </w:r>
                </w:p>
              </w:tc>
              <w:tc>
                <w:tcPr>
                  <w:tcW w:w="1396" w:type="dxa"/>
                  <w:vMerge w:val="continue"/>
                  <w:noWrap w:val="0"/>
                  <w:vAlign w:val="center"/>
                </w:tcPr>
                <w:p>
                  <w:pPr>
                    <w:pStyle w:val="55"/>
                    <w:bidi w:val="0"/>
                    <w:rPr>
                      <w:rFonts w:hint="default"/>
                      <w:color w:val="auto"/>
                    </w:rPr>
                  </w:pPr>
                </w:p>
              </w:tc>
              <w:tc>
                <w:tcPr>
                  <w:tcW w:w="1254" w:type="dxa"/>
                  <w:vMerge w:val="continue"/>
                  <w:noWrap w:val="0"/>
                  <w:vAlign w:val="center"/>
                </w:tcPr>
                <w:p>
                  <w:pPr>
                    <w:pStyle w:val="55"/>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pPr>
                    <w:pStyle w:val="55"/>
                    <w:bidi w:val="0"/>
                    <w:rPr>
                      <w:rFonts w:hint="default"/>
                      <w:color w:val="auto"/>
                    </w:rPr>
                  </w:pPr>
                </w:p>
              </w:tc>
              <w:tc>
                <w:tcPr>
                  <w:tcW w:w="1487" w:type="dxa"/>
                  <w:noWrap w:val="0"/>
                  <w:vAlign w:val="center"/>
                </w:tcPr>
                <w:p>
                  <w:pPr>
                    <w:pStyle w:val="55"/>
                    <w:bidi w:val="0"/>
                    <w:rPr>
                      <w:rFonts w:hint="default"/>
                      <w:color w:val="auto"/>
                      <w:lang w:val="en-US" w:eastAsia="zh-CN"/>
                    </w:rPr>
                  </w:pPr>
                  <w:r>
                    <w:rPr>
                      <w:rFonts w:hint="eastAsia"/>
                      <w:color w:val="auto"/>
                      <w:lang w:val="en-US" w:eastAsia="zh-CN"/>
                    </w:rPr>
                    <w:t>841-005-01</w:t>
                  </w:r>
                </w:p>
              </w:tc>
              <w:tc>
                <w:tcPr>
                  <w:tcW w:w="1444" w:type="dxa"/>
                  <w:noWrap w:val="0"/>
                  <w:vAlign w:val="center"/>
                </w:tcPr>
                <w:p>
                  <w:pPr>
                    <w:pStyle w:val="55"/>
                    <w:bidi w:val="0"/>
                    <w:rPr>
                      <w:rFonts w:hint="default"/>
                      <w:color w:val="auto"/>
                      <w:lang w:val="en-US" w:eastAsia="zh-CN"/>
                    </w:rPr>
                  </w:pPr>
                  <w:r>
                    <w:rPr>
                      <w:rFonts w:hint="eastAsia"/>
                      <w:color w:val="auto"/>
                      <w:lang w:val="en-US" w:eastAsia="zh-CN"/>
                    </w:rPr>
                    <w:t>药物性废物</w:t>
                  </w:r>
                </w:p>
              </w:tc>
              <w:tc>
                <w:tcPr>
                  <w:tcW w:w="1324" w:type="dxa"/>
                  <w:noWrap w:val="0"/>
                  <w:vAlign w:val="center"/>
                </w:tcPr>
                <w:p>
                  <w:pPr>
                    <w:pStyle w:val="55"/>
                    <w:bidi w:val="0"/>
                    <w:rPr>
                      <w:rFonts w:hint="default"/>
                      <w:color w:val="auto"/>
                      <w:lang w:val="en-US" w:eastAsia="zh-CN"/>
                    </w:rPr>
                  </w:pPr>
                  <w:r>
                    <w:rPr>
                      <w:rFonts w:hint="eastAsia"/>
                      <w:color w:val="auto"/>
                      <w:lang w:val="en-US" w:eastAsia="zh-CN"/>
                    </w:rPr>
                    <w:t>T</w:t>
                  </w:r>
                </w:p>
              </w:tc>
              <w:tc>
                <w:tcPr>
                  <w:tcW w:w="1396" w:type="dxa"/>
                  <w:vMerge w:val="continue"/>
                  <w:noWrap w:val="0"/>
                  <w:vAlign w:val="center"/>
                </w:tcPr>
                <w:p>
                  <w:pPr>
                    <w:pStyle w:val="55"/>
                    <w:bidi w:val="0"/>
                    <w:rPr>
                      <w:rFonts w:hint="default"/>
                      <w:color w:val="auto"/>
                    </w:rPr>
                  </w:pPr>
                </w:p>
              </w:tc>
              <w:tc>
                <w:tcPr>
                  <w:tcW w:w="1254" w:type="dxa"/>
                  <w:vMerge w:val="continue"/>
                  <w:noWrap w:val="0"/>
                  <w:vAlign w:val="center"/>
                </w:tcPr>
                <w:p>
                  <w:pPr>
                    <w:pStyle w:val="55"/>
                    <w:bidi w:val="0"/>
                    <w:rPr>
                      <w:rFonts w:hint="default"/>
                      <w:color w:val="auto"/>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⑤</w:t>
            </w:r>
            <w:r>
              <w:rPr>
                <w:rFonts w:hint="default" w:ascii="Times New Roman" w:hAnsi="Times New Roman" w:eastAsia="宋体" w:cs="Times New Roman"/>
                <w:color w:val="auto"/>
                <w:sz w:val="24"/>
                <w:szCs w:val="24"/>
                <w:u w:val="none" w:color="auto"/>
              </w:rPr>
              <w:t>污水处理污泥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根据《医疗机构水污染物排放标准》（GB18466-2005）中4.3污泥控制与处置可知</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化粪池、</w:t>
            </w:r>
            <w:r>
              <w:rPr>
                <w:rFonts w:hint="eastAsia" w:ascii="Times New Roman" w:hAnsi="Times New Roman" w:eastAsia="宋体" w:cs="Times New Roman"/>
                <w:color w:val="auto"/>
                <w:sz w:val="24"/>
                <w:szCs w:val="24"/>
                <w:u w:val="none" w:color="auto"/>
                <w:lang w:eastAsia="zh-CN"/>
              </w:rPr>
              <w:t>污水处理</w:t>
            </w:r>
            <w:r>
              <w:rPr>
                <w:rFonts w:hint="eastAsia" w:cs="Times New Roman"/>
                <w:color w:val="auto"/>
                <w:sz w:val="24"/>
                <w:szCs w:val="24"/>
                <w:u w:val="none" w:color="auto"/>
                <w:lang w:val="en-US" w:eastAsia="zh-CN"/>
              </w:rPr>
              <w:t>站</w:t>
            </w:r>
            <w:r>
              <w:rPr>
                <w:rFonts w:hint="default" w:ascii="Times New Roman" w:hAnsi="Times New Roman" w:eastAsia="宋体" w:cs="Times New Roman"/>
                <w:color w:val="auto"/>
                <w:sz w:val="24"/>
                <w:szCs w:val="24"/>
                <w:u w:val="none" w:color="auto"/>
                <w:lang w:eastAsia="zh-CN"/>
              </w:rPr>
              <w:t>污泥</w:t>
            </w:r>
            <w:r>
              <w:rPr>
                <w:rFonts w:hint="eastAsia" w:cs="Times New Roman"/>
                <w:color w:val="auto"/>
                <w:sz w:val="24"/>
                <w:szCs w:val="24"/>
                <w:u w:val="none" w:color="auto"/>
                <w:lang w:val="en-US" w:eastAsia="zh-CN"/>
              </w:rPr>
              <w:t>及格栅渣</w:t>
            </w:r>
            <w:r>
              <w:rPr>
                <w:rFonts w:hint="default" w:ascii="Times New Roman" w:hAnsi="Times New Roman" w:eastAsia="宋体" w:cs="Times New Roman"/>
                <w:color w:val="auto"/>
                <w:sz w:val="24"/>
                <w:szCs w:val="24"/>
                <w:u w:val="none" w:color="auto"/>
                <w:lang w:eastAsia="zh-CN"/>
              </w:rPr>
              <w:t>属于危废，应按危废进行处理和处置。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化粪池污泥参照《建筑给水排水设计规范》（GB50015-2019）中“4.10.15化粪池有效容积核算公式”计算化粪池污泥产生量。污泥产生量计算公式：V</w:t>
            </w:r>
            <w:r>
              <w:rPr>
                <w:rFonts w:hint="default" w:ascii="Times New Roman" w:hAnsi="Times New Roman" w:eastAsia="宋体" w:cs="Times New Roman"/>
                <w:color w:val="auto"/>
                <w:sz w:val="24"/>
                <w:szCs w:val="24"/>
                <w:vertAlign w:val="subscript"/>
                <w:lang w:eastAsia="zh-CN"/>
              </w:rPr>
              <w:t>n</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bscript"/>
                <w:lang w:eastAsia="zh-CN"/>
              </w:rPr>
              <w:t>f</w:t>
            </w:r>
            <w:r>
              <w:rPr>
                <w:rFonts w:hint="default" w:ascii="Times New Roman" w:hAnsi="Times New Roman" w:eastAsia="宋体" w:cs="Times New Roman"/>
                <w:color w:val="auto"/>
                <w:sz w:val="24"/>
                <w:szCs w:val="24"/>
                <w:lang w:eastAsia="zh-CN"/>
              </w:rPr>
              <w:t>×b</w:t>
            </w:r>
            <w:r>
              <w:rPr>
                <w:rFonts w:hint="default" w:ascii="Times New Roman" w:hAnsi="Times New Roman" w:eastAsia="宋体" w:cs="Times New Roman"/>
                <w:color w:val="auto"/>
                <w:sz w:val="24"/>
                <w:szCs w:val="24"/>
                <w:vertAlign w:val="subscript"/>
                <w:lang w:eastAsia="zh-CN"/>
              </w:rPr>
              <w:t>f</w:t>
            </w:r>
            <w:r>
              <w:rPr>
                <w:rFonts w:hint="default" w:ascii="Times New Roman" w:hAnsi="Times New Roman" w:eastAsia="宋体" w:cs="Times New Roman"/>
                <w:color w:val="auto"/>
                <w:sz w:val="24"/>
                <w:szCs w:val="24"/>
                <w:lang w:eastAsia="zh-CN"/>
              </w:rPr>
              <w:t>×q</w:t>
            </w:r>
            <w:r>
              <w:rPr>
                <w:rFonts w:hint="default" w:ascii="Times New Roman" w:hAnsi="Times New Roman" w:eastAsia="宋体" w:cs="Times New Roman"/>
                <w:color w:val="auto"/>
                <w:sz w:val="24"/>
                <w:szCs w:val="24"/>
                <w:vertAlign w:val="subscript"/>
                <w:lang w:eastAsia="zh-CN"/>
              </w:rPr>
              <w:t>n</w:t>
            </w:r>
            <w:r>
              <w:rPr>
                <w:rFonts w:hint="default" w:ascii="Times New Roman" w:hAnsi="Times New Roman" w:eastAsia="宋体" w:cs="Times New Roman"/>
                <w:color w:val="auto"/>
                <w:sz w:val="24"/>
                <w:szCs w:val="24"/>
                <w:lang w:eastAsia="zh-CN"/>
              </w:rPr>
              <w:t>×t</w:t>
            </w:r>
            <w:r>
              <w:rPr>
                <w:rFonts w:hint="default" w:ascii="Times New Roman" w:hAnsi="Times New Roman" w:eastAsia="宋体" w:cs="Times New Roman"/>
                <w:color w:val="auto"/>
                <w:sz w:val="24"/>
                <w:szCs w:val="24"/>
                <w:vertAlign w:val="subscript"/>
                <w:lang w:eastAsia="zh-CN"/>
              </w:rPr>
              <w:t>n</w:t>
            </w:r>
            <w:r>
              <w:rPr>
                <w:rFonts w:hint="default" w:ascii="Times New Roman" w:hAnsi="Times New Roman" w:eastAsia="宋体" w:cs="Times New Roman"/>
                <w:color w:val="auto"/>
                <w:sz w:val="24"/>
                <w:szCs w:val="24"/>
                <w:lang w:eastAsia="zh-CN"/>
              </w:rPr>
              <w:t>（1-b</w:t>
            </w:r>
            <w:r>
              <w:rPr>
                <w:rFonts w:hint="default" w:ascii="Times New Roman" w:hAnsi="Times New Roman" w:eastAsia="宋体" w:cs="Times New Roman"/>
                <w:color w:val="auto"/>
                <w:sz w:val="24"/>
                <w:szCs w:val="24"/>
                <w:vertAlign w:val="subscript"/>
                <w:lang w:eastAsia="zh-CN"/>
              </w:rPr>
              <w:t>x</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bscript"/>
                <w:lang w:eastAsia="zh-CN"/>
              </w:rPr>
              <w:t>s</w:t>
            </w:r>
            <w:r>
              <w:rPr>
                <w:rFonts w:hint="default" w:ascii="Times New Roman" w:hAnsi="Times New Roman" w:eastAsia="宋体" w:cs="Times New Roman"/>
                <w:color w:val="auto"/>
                <w:sz w:val="24"/>
                <w:szCs w:val="24"/>
                <w:lang w:eastAsia="zh-CN"/>
              </w:rPr>
              <w:t>×1.2]/[（1-b</w:t>
            </w:r>
            <w:r>
              <w:rPr>
                <w:rFonts w:hint="default" w:ascii="Times New Roman" w:hAnsi="Times New Roman" w:eastAsia="宋体" w:cs="Times New Roman"/>
                <w:color w:val="auto"/>
                <w:sz w:val="24"/>
                <w:szCs w:val="24"/>
                <w:vertAlign w:val="subscript"/>
                <w:lang w:eastAsia="zh-CN"/>
              </w:rPr>
              <w:t>n</w:t>
            </w:r>
            <w:r>
              <w:rPr>
                <w:rFonts w:hint="default" w:ascii="Times New Roman" w:hAnsi="Times New Roman" w:eastAsia="宋体" w:cs="Times New Roman"/>
                <w:color w:val="auto"/>
                <w:sz w:val="24"/>
                <w:szCs w:val="24"/>
                <w:lang w:eastAsia="zh-CN"/>
              </w:rPr>
              <w:t>）×1000]</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式中：V</w:t>
            </w:r>
            <w:r>
              <w:rPr>
                <w:rFonts w:hint="default" w:ascii="Times New Roman" w:hAnsi="Times New Roman" w:eastAsia="宋体" w:cs="Times New Roman"/>
                <w:color w:val="auto"/>
                <w:sz w:val="24"/>
                <w:szCs w:val="24"/>
                <w:vertAlign w:val="subscript"/>
                <w:lang w:eastAsia="zh-CN"/>
              </w:rPr>
              <w:t>n</w:t>
            </w:r>
            <w:r>
              <w:rPr>
                <w:rFonts w:hint="default" w:ascii="Times New Roman" w:hAnsi="Times New Roman" w:eastAsia="宋体" w:cs="Times New Roman"/>
                <w:color w:val="auto"/>
                <w:sz w:val="24"/>
                <w:szCs w:val="24"/>
                <w:lang w:eastAsia="zh-CN"/>
              </w:rPr>
              <w:t>—化粪池污泥部分容积（m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bscript"/>
                <w:lang w:eastAsia="zh-CN"/>
              </w:rPr>
              <w:t>f</w:t>
            </w:r>
            <w:r>
              <w:rPr>
                <w:rFonts w:hint="default" w:ascii="Times New Roman" w:hAnsi="Times New Roman" w:eastAsia="宋体" w:cs="Times New Roman"/>
                <w:color w:val="auto"/>
                <w:sz w:val="24"/>
                <w:szCs w:val="24"/>
                <w:lang w:eastAsia="zh-CN"/>
              </w:rPr>
              <w:t>—化粪池服务总人数；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b</w:t>
            </w:r>
            <w:r>
              <w:rPr>
                <w:rFonts w:hint="default" w:ascii="Times New Roman" w:hAnsi="Times New Roman" w:eastAsia="宋体" w:cs="Times New Roman"/>
                <w:color w:val="auto"/>
                <w:sz w:val="24"/>
                <w:szCs w:val="24"/>
                <w:vertAlign w:val="subscript"/>
                <w:lang w:eastAsia="zh-CN"/>
              </w:rPr>
              <w:t>f</w:t>
            </w:r>
            <w:r>
              <w:rPr>
                <w:rFonts w:hint="default" w:ascii="Times New Roman" w:hAnsi="Times New Roman" w:eastAsia="宋体" w:cs="Times New Roman"/>
                <w:color w:val="auto"/>
                <w:sz w:val="24"/>
                <w:szCs w:val="24"/>
                <w:lang w:eastAsia="zh-CN"/>
              </w:rPr>
              <w:t>—同时使用系数%，本项目取70%；</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q</w:t>
            </w:r>
            <w:r>
              <w:rPr>
                <w:rFonts w:hint="default" w:ascii="Times New Roman" w:hAnsi="Times New Roman" w:eastAsia="宋体" w:cs="Times New Roman"/>
                <w:color w:val="auto"/>
                <w:sz w:val="24"/>
                <w:szCs w:val="24"/>
                <w:vertAlign w:val="subscript"/>
                <w:lang w:eastAsia="zh-CN"/>
              </w:rPr>
              <w:t>n</w:t>
            </w:r>
            <w:r>
              <w:rPr>
                <w:rFonts w:hint="default" w:ascii="Times New Roman" w:hAnsi="Times New Roman" w:eastAsia="宋体" w:cs="Times New Roman"/>
                <w:color w:val="auto"/>
                <w:sz w:val="24"/>
                <w:szCs w:val="24"/>
                <w:lang w:eastAsia="zh-CN"/>
              </w:rPr>
              <w:t>—每人每日污泥量（L/人·d），本项目取0.7；</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t</w:t>
            </w:r>
            <w:r>
              <w:rPr>
                <w:rFonts w:hint="default" w:ascii="Times New Roman" w:hAnsi="Times New Roman" w:eastAsia="宋体" w:cs="Times New Roman"/>
                <w:color w:val="auto"/>
                <w:sz w:val="24"/>
                <w:szCs w:val="24"/>
                <w:vertAlign w:val="subscript"/>
                <w:lang w:eastAsia="zh-CN"/>
              </w:rPr>
              <w:t>n</w:t>
            </w:r>
            <w:r>
              <w:rPr>
                <w:rFonts w:hint="default" w:ascii="Times New Roman" w:hAnsi="Times New Roman" w:eastAsia="宋体" w:cs="Times New Roman"/>
                <w:color w:val="auto"/>
                <w:sz w:val="24"/>
                <w:szCs w:val="24"/>
                <w:lang w:eastAsia="zh-CN"/>
              </w:rPr>
              <w:t>—污泥清掏周期，按一年清掏一次计算；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b</w:t>
            </w:r>
            <w:r>
              <w:rPr>
                <w:rFonts w:hint="default" w:ascii="Times New Roman" w:hAnsi="Times New Roman" w:eastAsia="宋体" w:cs="Times New Roman"/>
                <w:color w:val="auto"/>
                <w:sz w:val="24"/>
                <w:szCs w:val="24"/>
                <w:vertAlign w:val="subscript"/>
                <w:lang w:eastAsia="zh-CN"/>
              </w:rPr>
              <w:t>x</w:t>
            </w:r>
            <w:r>
              <w:rPr>
                <w:rFonts w:hint="default" w:ascii="Times New Roman" w:hAnsi="Times New Roman" w:eastAsia="宋体" w:cs="Times New Roman"/>
                <w:color w:val="auto"/>
                <w:sz w:val="24"/>
                <w:szCs w:val="24"/>
                <w:lang w:eastAsia="zh-CN"/>
              </w:rPr>
              <w:t>—新鲜污泥产水率，取95%；</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bscript"/>
                <w:lang w:eastAsia="zh-CN"/>
              </w:rPr>
              <w:t>s</w:t>
            </w:r>
            <w:r>
              <w:rPr>
                <w:rFonts w:hint="default" w:ascii="Times New Roman" w:hAnsi="Times New Roman" w:eastAsia="宋体" w:cs="Times New Roman"/>
                <w:color w:val="auto"/>
                <w:sz w:val="24"/>
                <w:szCs w:val="24"/>
                <w:lang w:eastAsia="zh-CN"/>
              </w:rPr>
              <w:t>—污泥发酵后体积缩减系数，取0.8；</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1.2—清掏污泥后遗留污泥量，常数；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b</w:t>
            </w:r>
            <w:r>
              <w:rPr>
                <w:rFonts w:hint="default" w:ascii="Times New Roman" w:hAnsi="Times New Roman" w:eastAsia="宋体" w:cs="Times New Roman"/>
                <w:color w:val="auto"/>
                <w:sz w:val="24"/>
                <w:szCs w:val="24"/>
                <w:vertAlign w:val="subscript"/>
                <w:lang w:eastAsia="zh-CN"/>
              </w:rPr>
              <w:t>n</w:t>
            </w:r>
            <w:r>
              <w:rPr>
                <w:rFonts w:hint="default" w:ascii="Times New Roman" w:hAnsi="Times New Roman" w:eastAsia="宋体" w:cs="Times New Roman"/>
                <w:color w:val="auto"/>
                <w:sz w:val="24"/>
                <w:szCs w:val="24"/>
                <w:lang w:eastAsia="zh-CN"/>
              </w:rPr>
              <w:t>—发酵浓缩后污泥含水率，取90%。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lang w:eastAsia="zh-CN"/>
              </w:rPr>
              <w:t>本项目设置病床</w:t>
            </w:r>
            <w:r>
              <w:rPr>
                <w:rFonts w:hint="eastAsia" w:ascii="Times New Roman" w:hAnsi="Times New Roman" w:eastAsia="宋体" w:cs="Times New Roman"/>
                <w:color w:val="auto"/>
                <w:sz w:val="24"/>
                <w:szCs w:val="24"/>
                <w:lang w:val="en-US" w:eastAsia="zh-CN"/>
              </w:rPr>
              <w:t>81</w:t>
            </w:r>
            <w:r>
              <w:rPr>
                <w:rFonts w:hint="default" w:ascii="Times New Roman" w:hAnsi="Times New Roman" w:eastAsia="宋体" w:cs="Times New Roman"/>
                <w:color w:val="auto"/>
                <w:sz w:val="24"/>
                <w:szCs w:val="24"/>
                <w:lang w:eastAsia="zh-CN"/>
              </w:rPr>
              <w:t>张，卫生院职工</w:t>
            </w:r>
            <w:r>
              <w:rPr>
                <w:rFonts w:hint="eastAsia" w:ascii="Times New Roman" w:hAnsi="Times New Roman" w:eastAsia="宋体" w:cs="Times New Roman"/>
                <w:color w:val="auto"/>
                <w:sz w:val="24"/>
                <w:szCs w:val="24"/>
                <w:lang w:val="en-US" w:eastAsia="zh-CN"/>
              </w:rPr>
              <w:t>72</w:t>
            </w:r>
            <w:r>
              <w:rPr>
                <w:rFonts w:hint="default" w:ascii="Times New Roman" w:hAnsi="Times New Roman" w:eastAsia="宋体" w:cs="Times New Roman"/>
                <w:color w:val="auto"/>
                <w:sz w:val="24"/>
                <w:szCs w:val="24"/>
                <w:lang w:eastAsia="zh-CN"/>
              </w:rPr>
              <w:t>人，</w:t>
            </w:r>
            <w:r>
              <w:rPr>
                <w:rFonts w:hint="default" w:ascii="Times New Roman" w:hAnsi="Times New Roman" w:eastAsia="宋体" w:cs="Times New Roman"/>
                <w:color w:val="auto"/>
                <w:sz w:val="24"/>
                <w:szCs w:val="24"/>
                <w:highlight w:val="none"/>
                <w:lang w:eastAsia="zh-CN"/>
              </w:rPr>
              <w:t>则化粪池污泥量约为</w:t>
            </w:r>
            <w:r>
              <w:rPr>
                <w:rFonts w:hint="eastAsia" w:ascii="Times New Roman" w:hAnsi="Times New Roman" w:eastAsia="宋体" w:cs="Times New Roman"/>
                <w:color w:val="auto"/>
                <w:sz w:val="24"/>
                <w:szCs w:val="24"/>
                <w:highlight w:val="none"/>
                <w:lang w:val="en-US" w:eastAsia="zh-CN"/>
              </w:rPr>
              <w:t>13.13</w:t>
            </w:r>
            <w:r>
              <w:rPr>
                <w:rFonts w:hint="default" w:ascii="Times New Roman" w:hAnsi="Times New Roman" w:eastAsia="宋体" w:cs="Times New Roman"/>
                <w:color w:val="auto"/>
                <w:sz w:val="24"/>
                <w:szCs w:val="24"/>
                <w:highlight w:val="none"/>
                <w:lang w:eastAsia="zh-CN"/>
              </w:rPr>
              <w:t>t/a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含水率约9</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eastAsia="zh-CN"/>
              </w:rPr>
              <w:t>%，经压滤机脱水后污泥含水率约为</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eastAsia="zh-CN"/>
              </w:rPr>
              <w:t>0%，该部分废水统一返回污水处理站进行处理，脱水后污泥量约为</w:t>
            </w:r>
            <w:r>
              <w:rPr>
                <w:rFonts w:hint="eastAsia" w:cs="Times New Roman"/>
                <w:color w:val="auto"/>
                <w:sz w:val="24"/>
                <w:szCs w:val="24"/>
                <w:highlight w:val="none"/>
                <w:lang w:val="en-US" w:eastAsia="zh-CN"/>
              </w:rPr>
              <w:t>6.565</w:t>
            </w:r>
            <w:r>
              <w:rPr>
                <w:rFonts w:hint="default" w:ascii="Times New Roman" w:hAnsi="Times New Roman" w:eastAsia="宋体" w:cs="Times New Roman"/>
                <w:color w:val="auto"/>
                <w:sz w:val="24"/>
                <w:szCs w:val="24"/>
                <w:highlight w:val="none"/>
                <w:lang w:eastAsia="zh-CN"/>
              </w:rPr>
              <w:t>t/a。污泥需定期进行清掏，并委托岳阳市方向固废安全处置有限公司处理。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根据《排污许可证申请与核发技术规范水处理（试行）》（HJ978-2018）中“9.4污泥实际排放量核算方法”计算污水处理站污泥产生量。污泥产生量计算公式：</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hangingChars="175"/>
              <w:jc w:val="center"/>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E</w:t>
            </w:r>
            <w:r>
              <w:rPr>
                <w:rFonts w:hint="default" w:ascii="Times New Roman" w:hAnsi="Times New Roman" w:eastAsia="宋体" w:cs="Times New Roman"/>
                <w:color w:val="auto"/>
                <w:sz w:val="24"/>
                <w:szCs w:val="24"/>
                <w:u w:val="none" w:color="auto"/>
                <w:vertAlign w:val="subscript"/>
                <w:lang w:eastAsia="zh-CN"/>
              </w:rPr>
              <w:t>产生量</w:t>
            </w:r>
            <w:r>
              <w:rPr>
                <w:rFonts w:hint="default" w:ascii="Times New Roman" w:hAnsi="Times New Roman" w:eastAsia="宋体" w:cs="Times New Roman"/>
                <w:color w:val="auto"/>
                <w:sz w:val="24"/>
                <w:szCs w:val="24"/>
                <w:u w:val="none" w:color="auto"/>
                <w:lang w:eastAsia="zh-CN"/>
              </w:rPr>
              <w:t>=1.7×Q×W</w:t>
            </w:r>
            <w:r>
              <w:rPr>
                <w:rFonts w:hint="default" w:ascii="Times New Roman" w:hAnsi="Times New Roman" w:eastAsia="宋体" w:cs="Times New Roman"/>
                <w:color w:val="auto"/>
                <w:sz w:val="24"/>
                <w:szCs w:val="24"/>
                <w:u w:val="none" w:color="auto"/>
                <w:vertAlign w:val="subscript"/>
                <w:lang w:eastAsia="zh-CN"/>
              </w:rPr>
              <w:t>深</w:t>
            </w:r>
            <w:r>
              <w:rPr>
                <w:rFonts w:hint="default" w:ascii="Times New Roman" w:hAnsi="Times New Roman" w:eastAsia="宋体" w:cs="Times New Roman"/>
                <w:color w:val="auto"/>
                <w:sz w:val="24"/>
                <w:szCs w:val="24"/>
                <w:u w:val="none" w:color="auto"/>
                <w:lang w:eastAsia="zh-CN"/>
              </w:rPr>
              <w:t>×10</w:t>
            </w:r>
            <w:r>
              <w:rPr>
                <w:rFonts w:hint="default" w:ascii="Times New Roman" w:hAnsi="Times New Roman" w:eastAsia="宋体" w:cs="Times New Roman"/>
                <w:color w:val="auto"/>
                <w:sz w:val="24"/>
                <w:szCs w:val="24"/>
                <w:u w:val="none" w:color="auto"/>
                <w:vertAlign w:val="superscript"/>
                <w:lang w:eastAsia="zh-CN"/>
              </w:rPr>
              <w:t>-4</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式中：E</w:t>
            </w:r>
            <w:r>
              <w:rPr>
                <w:rFonts w:hint="default" w:ascii="Times New Roman" w:hAnsi="Times New Roman" w:eastAsia="宋体" w:cs="Times New Roman"/>
                <w:color w:val="auto"/>
                <w:sz w:val="24"/>
                <w:szCs w:val="24"/>
                <w:u w:val="none" w:color="auto"/>
                <w:vertAlign w:val="subscript"/>
                <w:lang w:eastAsia="zh-CN"/>
              </w:rPr>
              <w:t>产生量</w:t>
            </w:r>
            <w:r>
              <w:rPr>
                <w:rFonts w:hint="default" w:ascii="Times New Roman" w:hAnsi="Times New Roman" w:eastAsia="宋体" w:cs="Times New Roman"/>
                <w:color w:val="auto"/>
                <w:sz w:val="24"/>
                <w:szCs w:val="24"/>
                <w:u w:val="none" w:color="auto"/>
                <w:lang w:eastAsia="zh-CN"/>
              </w:rPr>
              <w:t>—污水处理过程中产生的污泥量，以干泥计，t；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Q—核算时段内排污单位废水排放量，m</w:t>
            </w:r>
            <w:r>
              <w:rPr>
                <w:rFonts w:hint="default" w:ascii="Times New Roman" w:hAnsi="Times New Roman" w:eastAsia="宋体" w:cs="Times New Roman"/>
                <w:color w:val="auto"/>
                <w:sz w:val="24"/>
                <w:szCs w:val="24"/>
                <w:u w:val="none" w:color="auto"/>
                <w:vertAlign w:val="superscript"/>
                <w:lang w:eastAsia="zh-CN"/>
              </w:rPr>
              <w:t>3</w:t>
            </w:r>
            <w:r>
              <w:rPr>
                <w:rFonts w:hint="default" w:ascii="Times New Roman" w:hAnsi="Times New Roman" w:eastAsia="宋体" w:cs="Times New Roman"/>
                <w:color w:val="auto"/>
                <w:sz w:val="24"/>
                <w:szCs w:val="24"/>
                <w:u w:val="none" w:color="auto"/>
                <w:lang w:eastAsia="zh-CN"/>
              </w:rPr>
              <w:t>，具有有效出水口实测值按实测值计，无有效出水口实测值按进水口实测值计，无有效进水口实测值按协议进水水量计；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eastAsia="zh-CN"/>
              </w:rPr>
              <w:t>W</w:t>
            </w:r>
            <w:r>
              <w:rPr>
                <w:rFonts w:hint="default" w:ascii="Times New Roman" w:hAnsi="Times New Roman" w:eastAsia="宋体" w:cs="Times New Roman"/>
                <w:color w:val="auto"/>
                <w:sz w:val="24"/>
                <w:szCs w:val="24"/>
                <w:u w:val="none" w:color="auto"/>
                <w:vertAlign w:val="subscript"/>
                <w:lang w:eastAsia="zh-CN"/>
              </w:rPr>
              <w:t>深</w:t>
            </w:r>
            <w:r>
              <w:rPr>
                <w:rFonts w:hint="default" w:ascii="Times New Roman" w:hAnsi="Times New Roman" w:eastAsia="宋体" w:cs="Times New Roman"/>
                <w:color w:val="auto"/>
                <w:sz w:val="24"/>
                <w:szCs w:val="24"/>
                <w:u w:val="none" w:color="auto"/>
                <w:lang w:eastAsia="zh-CN"/>
              </w:rPr>
              <w:t>—有深度处理工艺（添加化学药剂）时按2计，无深度处理工艺时按1计，量纲一。</w:t>
            </w:r>
            <w:r>
              <w:rPr>
                <w:rFonts w:hint="eastAsia" w:ascii="Times New Roman" w:hAnsi="Times New Roman" w:eastAsia="宋体" w:cs="Times New Roman"/>
                <w:color w:val="auto"/>
                <w:sz w:val="24"/>
                <w:szCs w:val="24"/>
                <w:u w:val="none" w:color="auto"/>
                <w:lang w:val="en-US" w:eastAsia="zh-CN"/>
              </w:rPr>
              <w:t>本项目污水无深度处理，取1。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eastAsia" w:ascii="Times New Roman" w:hAnsi="Times New Roman" w:eastAsia="宋体" w:cs="Times New Roman"/>
                <w:color w:val="auto"/>
                <w:sz w:val="24"/>
                <w:szCs w:val="24"/>
                <w:highlight w:val="none"/>
                <w:u w:val="single" w:color="auto"/>
                <w:lang w:val="en-US" w:eastAsia="zh-CN"/>
              </w:rPr>
              <w:t>本次评价按理论污水量进行计算污泥量。</w:t>
            </w:r>
            <w:r>
              <w:rPr>
                <w:rFonts w:hint="default" w:ascii="Times New Roman" w:hAnsi="Times New Roman" w:eastAsia="宋体" w:cs="Times New Roman"/>
                <w:color w:val="auto"/>
                <w:sz w:val="24"/>
                <w:szCs w:val="24"/>
                <w:highlight w:val="none"/>
                <w:u w:val="single" w:color="auto"/>
                <w:lang w:eastAsia="zh-CN"/>
              </w:rPr>
              <w:t>本项目</w:t>
            </w:r>
            <w:r>
              <w:rPr>
                <w:rFonts w:hint="default" w:ascii="Times New Roman" w:hAnsi="Times New Roman" w:eastAsia="宋体" w:cs="Times New Roman"/>
                <w:color w:val="auto"/>
                <w:kern w:val="0"/>
                <w:sz w:val="24"/>
                <w:szCs w:val="24"/>
                <w:highlight w:val="none"/>
                <w:u w:val="single" w:color="auto"/>
                <w:lang w:eastAsia="zh-CN"/>
              </w:rPr>
              <w:t>废水</w:t>
            </w:r>
            <w:r>
              <w:rPr>
                <w:rFonts w:hint="eastAsia" w:ascii="Times New Roman" w:hAnsi="Times New Roman" w:eastAsia="宋体" w:cs="Times New Roman"/>
                <w:color w:val="auto"/>
                <w:kern w:val="0"/>
                <w:sz w:val="24"/>
                <w:szCs w:val="24"/>
                <w:highlight w:val="none"/>
                <w:u w:val="single" w:color="auto"/>
                <w:lang w:val="en-US" w:eastAsia="zh-CN"/>
              </w:rPr>
              <w:t>理论</w:t>
            </w:r>
            <w:r>
              <w:rPr>
                <w:rFonts w:hint="default" w:ascii="Times New Roman" w:hAnsi="Times New Roman" w:eastAsia="宋体" w:cs="Times New Roman"/>
                <w:color w:val="auto"/>
                <w:sz w:val="24"/>
                <w:szCs w:val="24"/>
                <w:highlight w:val="none"/>
                <w:u w:val="single" w:color="auto"/>
                <w:lang w:eastAsia="zh-CN"/>
              </w:rPr>
              <w:t>产生量约为</w:t>
            </w:r>
            <w:r>
              <w:rPr>
                <w:rFonts w:hint="eastAsia" w:cs="Times New Roman"/>
                <w:color w:val="auto"/>
                <w:sz w:val="24"/>
                <w:szCs w:val="24"/>
                <w:highlight w:val="none"/>
                <w:u w:val="single" w:color="auto"/>
                <w:lang w:val="en-US" w:eastAsia="zh-CN"/>
              </w:rPr>
              <w:t>6461.23</w:t>
            </w:r>
            <w:r>
              <w:rPr>
                <w:rFonts w:hint="default" w:ascii="Times New Roman" w:hAnsi="Times New Roman" w:eastAsia="宋体" w:cs="Times New Roman"/>
                <w:color w:val="auto"/>
                <w:sz w:val="24"/>
                <w:szCs w:val="24"/>
                <w:highlight w:val="none"/>
                <w:u w:val="single" w:color="auto"/>
                <w:lang w:eastAsia="zh-CN"/>
              </w:rPr>
              <w:t>m</w:t>
            </w:r>
            <w:r>
              <w:rPr>
                <w:rFonts w:hint="default" w:ascii="Times New Roman" w:hAnsi="Times New Roman" w:eastAsia="宋体" w:cs="Times New Roman"/>
                <w:color w:val="auto"/>
                <w:sz w:val="24"/>
                <w:szCs w:val="24"/>
                <w:highlight w:val="none"/>
                <w:u w:val="single" w:color="auto"/>
                <w:vertAlign w:val="superscript"/>
                <w:lang w:eastAsia="zh-CN"/>
              </w:rPr>
              <w:t>3</w:t>
            </w:r>
            <w:r>
              <w:rPr>
                <w:rFonts w:hint="default" w:ascii="Times New Roman" w:hAnsi="Times New Roman" w:eastAsia="宋体" w:cs="Times New Roman"/>
                <w:color w:val="auto"/>
                <w:sz w:val="24"/>
                <w:szCs w:val="24"/>
                <w:highlight w:val="none"/>
                <w:u w:val="single" w:color="auto"/>
                <w:lang w:eastAsia="zh-CN"/>
              </w:rPr>
              <w:t>/a，则污水处理</w:t>
            </w:r>
            <w:r>
              <w:rPr>
                <w:rFonts w:hint="default" w:ascii="Times New Roman" w:hAnsi="Times New Roman" w:eastAsia="宋体" w:cs="Times New Roman"/>
                <w:color w:val="auto"/>
                <w:sz w:val="24"/>
                <w:szCs w:val="24"/>
                <w:u w:val="single" w:color="auto"/>
                <w:lang w:eastAsia="zh-CN"/>
              </w:rPr>
              <w:t>站污泥产生量约为</w:t>
            </w:r>
            <w:r>
              <w:rPr>
                <w:rFonts w:hint="eastAsia" w:ascii="Times New Roman" w:hAnsi="Times New Roman" w:eastAsia="宋体" w:cs="Times New Roman"/>
                <w:color w:val="auto"/>
                <w:sz w:val="24"/>
                <w:szCs w:val="24"/>
                <w:u w:val="single" w:color="auto"/>
                <w:lang w:val="en-US" w:eastAsia="zh-CN"/>
              </w:rPr>
              <w:t>1.1</w:t>
            </w:r>
            <w:r>
              <w:rPr>
                <w:rFonts w:hint="default" w:ascii="Times New Roman" w:hAnsi="Times New Roman" w:eastAsia="宋体" w:cs="Times New Roman"/>
                <w:color w:val="auto"/>
                <w:sz w:val="24"/>
                <w:szCs w:val="24"/>
                <w:u w:val="single" w:color="auto"/>
                <w:lang w:eastAsia="zh-CN"/>
              </w:rPr>
              <w:t>t/a</w:t>
            </w:r>
            <w:r>
              <w:rPr>
                <w:rFonts w:hint="eastAsia" w:ascii="Times New Roman" w:hAnsi="Times New Roman" w:eastAsia="宋体" w:cs="Times New Roman"/>
                <w:color w:val="auto"/>
                <w:sz w:val="24"/>
                <w:szCs w:val="24"/>
                <w:u w:val="single" w:color="auto"/>
                <w:lang w:eastAsia="zh-CN"/>
              </w:rPr>
              <w:t>（</w:t>
            </w:r>
            <w:r>
              <w:rPr>
                <w:rFonts w:hint="eastAsia" w:ascii="Times New Roman" w:hAnsi="Times New Roman" w:eastAsia="宋体" w:cs="Times New Roman"/>
                <w:color w:val="auto"/>
                <w:sz w:val="24"/>
                <w:szCs w:val="24"/>
                <w:u w:val="single" w:color="auto"/>
                <w:lang w:val="en-US" w:eastAsia="zh-CN"/>
              </w:rPr>
              <w:t>干泥</w:t>
            </w:r>
            <w:r>
              <w:rPr>
                <w:rFonts w:hint="eastAsia"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lang w:eastAsia="zh-CN"/>
              </w:rPr>
              <w:t>。</w:t>
            </w:r>
            <w:r>
              <w:rPr>
                <w:rFonts w:hint="eastAsia" w:cs="Times New Roman"/>
                <w:color w:val="auto"/>
                <w:sz w:val="24"/>
                <w:szCs w:val="24"/>
                <w:u w:val="single" w:color="auto"/>
                <w:lang w:val="en-US" w:eastAsia="zh-CN"/>
              </w:rPr>
              <w:t>约半年对污水处理设施污泥进行清掏，清掏后</w:t>
            </w:r>
            <w:r>
              <w:rPr>
                <w:rFonts w:hint="eastAsia" w:ascii="Times New Roman" w:hAnsi="Times New Roman" w:eastAsia="宋体" w:cs="Times New Roman"/>
                <w:color w:val="auto"/>
                <w:sz w:val="24"/>
                <w:szCs w:val="24"/>
                <w:u w:val="single" w:color="auto"/>
                <w:lang w:val="en-US" w:eastAsia="zh-CN"/>
              </w:rPr>
              <w:t>的</w:t>
            </w:r>
            <w:r>
              <w:rPr>
                <w:rFonts w:hint="default" w:ascii="Times New Roman" w:hAnsi="Times New Roman" w:eastAsia="宋体" w:cs="Times New Roman"/>
                <w:color w:val="auto"/>
                <w:sz w:val="24"/>
                <w:szCs w:val="24"/>
                <w:u w:val="single" w:color="auto"/>
                <w:lang w:eastAsia="zh-CN"/>
              </w:rPr>
              <w:t>污泥</w:t>
            </w:r>
            <w:r>
              <w:rPr>
                <w:rFonts w:hint="eastAsia" w:ascii="Times New Roman" w:hAnsi="Times New Roman" w:eastAsia="宋体" w:cs="Times New Roman"/>
                <w:color w:val="auto"/>
                <w:sz w:val="24"/>
                <w:szCs w:val="24"/>
                <w:u w:val="single" w:color="auto"/>
                <w:lang w:val="en-US" w:eastAsia="zh-CN"/>
              </w:rPr>
              <w:t>使用污泥压滤机进行压滤后，</w:t>
            </w:r>
            <w:r>
              <w:rPr>
                <w:rFonts w:hint="default" w:ascii="Times New Roman" w:hAnsi="Times New Roman" w:eastAsia="宋体" w:cs="Times New Roman"/>
                <w:color w:val="auto"/>
                <w:sz w:val="24"/>
                <w:szCs w:val="24"/>
                <w:u w:val="single" w:color="auto"/>
                <w:lang w:eastAsia="zh-CN"/>
              </w:rPr>
              <w:t>交由岳阳市方向固废安全处置有限公司处理</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压滤后污泥量为5.5</w:t>
            </w:r>
            <w:r>
              <w:rPr>
                <w:rFonts w:hint="default" w:ascii="Times New Roman" w:hAnsi="Times New Roman" w:eastAsia="宋体" w:cs="Times New Roman"/>
                <w:color w:val="auto"/>
                <w:sz w:val="24"/>
                <w:szCs w:val="24"/>
                <w:u w:val="single" w:color="auto"/>
                <w:lang w:eastAsia="zh-CN"/>
              </w:rPr>
              <w:t>t/a</w:t>
            </w:r>
            <w:r>
              <w:rPr>
                <w:rFonts w:hint="eastAsia" w:cs="Times New Roman"/>
                <w:color w:val="auto"/>
                <w:sz w:val="24"/>
                <w:szCs w:val="24"/>
                <w:u w:val="single" w:color="auto"/>
                <w:lang w:val="en-US" w:eastAsia="zh-CN"/>
              </w:rPr>
              <w:t>（含水率80%）</w:t>
            </w:r>
            <w:r>
              <w:rPr>
                <w:rFonts w:hint="default" w:ascii="Times New Roman" w:hAnsi="Times New Roman" w:eastAsia="宋体" w:cs="Times New Roman"/>
                <w:color w:val="auto"/>
                <w:sz w:val="24"/>
                <w:szCs w:val="24"/>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eastAsia" w:ascii="Times New Roman" w:hAnsi="Times New Roman" w:eastAsia="宋体" w:cs="Times New Roman"/>
                <w:color w:val="auto"/>
                <w:sz w:val="24"/>
                <w:szCs w:val="24"/>
                <w:u w:val="single" w:color="auto"/>
                <w:lang w:val="en-US" w:eastAsia="zh-CN"/>
              </w:rPr>
              <w:t>根据</w:t>
            </w:r>
            <w:r>
              <w:rPr>
                <w:rFonts w:hint="eastAsia" w:cs="Times New Roman"/>
                <w:color w:val="auto"/>
                <w:sz w:val="24"/>
                <w:szCs w:val="24"/>
                <w:u w:val="single" w:color="auto"/>
                <w:lang w:val="en-US" w:eastAsia="zh-CN"/>
              </w:rPr>
              <w:t>污水处理站工艺</w:t>
            </w:r>
            <w:r>
              <w:rPr>
                <w:rFonts w:hint="eastAsia" w:ascii="Times New Roman" w:hAnsi="Times New Roman" w:eastAsia="宋体" w:cs="Times New Roman"/>
                <w:color w:val="auto"/>
                <w:sz w:val="24"/>
                <w:szCs w:val="24"/>
                <w:u w:val="single" w:color="auto"/>
                <w:lang w:val="en-US" w:eastAsia="zh-CN"/>
              </w:rPr>
              <w:t>，需定期对污水处理站格栅渣进行清掏，格栅渣产生量</w:t>
            </w:r>
            <w:r>
              <w:rPr>
                <w:rFonts w:hint="eastAsia" w:cs="Times New Roman"/>
                <w:color w:val="auto"/>
                <w:sz w:val="24"/>
                <w:szCs w:val="24"/>
                <w:u w:val="single" w:color="auto"/>
                <w:lang w:val="en-US" w:eastAsia="zh-CN"/>
              </w:rPr>
              <w:t>约</w:t>
            </w:r>
            <w:r>
              <w:rPr>
                <w:rFonts w:hint="eastAsia" w:ascii="Times New Roman" w:hAnsi="Times New Roman" w:eastAsia="宋体" w:cs="Times New Roman"/>
                <w:color w:val="auto"/>
                <w:sz w:val="24"/>
                <w:szCs w:val="24"/>
                <w:u w:val="single" w:color="auto"/>
                <w:lang w:val="en-US" w:eastAsia="zh-CN"/>
              </w:rPr>
              <w:t>0.5t/a。</w:t>
            </w:r>
            <w:r>
              <w:rPr>
                <w:rFonts w:hint="eastAsia" w:cs="Times New Roman"/>
                <w:color w:val="auto"/>
                <w:sz w:val="24"/>
                <w:szCs w:val="24"/>
                <w:u w:val="single" w:color="auto"/>
                <w:lang w:val="en-US" w:eastAsia="zh-CN"/>
              </w:rPr>
              <w:t>清掏后消毒暂存</w:t>
            </w:r>
            <w:r>
              <w:rPr>
                <w:rFonts w:hint="eastAsia" w:eastAsia="宋体" w:cs="Times New Roman"/>
                <w:color w:val="auto"/>
                <w:sz w:val="24"/>
                <w:szCs w:val="24"/>
                <w:u w:val="single" w:color="auto"/>
                <w:lang w:val="en-US" w:eastAsia="zh-CN"/>
              </w:rPr>
              <w:t>，</w:t>
            </w:r>
            <w:r>
              <w:rPr>
                <w:rFonts w:hint="default" w:ascii="Times New Roman" w:hAnsi="Times New Roman" w:eastAsia="宋体" w:cs="Times New Roman"/>
                <w:color w:val="auto"/>
                <w:sz w:val="24"/>
                <w:szCs w:val="24"/>
                <w:u w:val="single" w:color="auto"/>
                <w:lang w:eastAsia="zh-CN"/>
              </w:rPr>
              <w:t>交由岳阳市方向固废安全处置有限公司处理。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single" w:color="auto"/>
                <w:lang w:val="en-US" w:eastAsia="zh-CN"/>
              </w:rPr>
            </w:pPr>
            <w:r>
              <w:rPr>
                <w:rFonts w:hint="eastAsia" w:cs="Times New Roman"/>
                <w:color w:val="auto"/>
                <w:sz w:val="24"/>
                <w:szCs w:val="24"/>
                <w:u w:val="single" w:color="auto"/>
                <w:lang w:val="en-US" w:eastAsia="zh-CN"/>
              </w:rPr>
              <w:t>综上所述，本项目化粪池</w:t>
            </w:r>
            <w:r>
              <w:rPr>
                <w:rFonts w:hint="default" w:ascii="Times New Roman" w:hAnsi="Times New Roman" w:eastAsia="宋体" w:cs="Times New Roman"/>
                <w:color w:val="auto"/>
                <w:sz w:val="24"/>
                <w:szCs w:val="24"/>
                <w:highlight w:val="none"/>
                <w:lang w:eastAsia="zh-CN"/>
              </w:rPr>
              <w:t>污泥量约为</w:t>
            </w:r>
            <w:r>
              <w:rPr>
                <w:rFonts w:hint="eastAsia" w:cs="Times New Roman"/>
                <w:color w:val="auto"/>
                <w:sz w:val="24"/>
                <w:szCs w:val="24"/>
                <w:highlight w:val="none"/>
                <w:lang w:val="en-US" w:eastAsia="zh-CN"/>
              </w:rPr>
              <w:t>6.565</w:t>
            </w:r>
            <w:r>
              <w:rPr>
                <w:rFonts w:hint="default" w:ascii="Times New Roman" w:hAnsi="Times New Roman" w:eastAsia="宋体" w:cs="Times New Roman"/>
                <w:color w:val="auto"/>
                <w:sz w:val="24"/>
                <w:szCs w:val="24"/>
                <w:highlight w:val="none"/>
                <w:lang w:eastAsia="zh-CN"/>
              </w:rPr>
              <w:t>t/a</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污水处理站污泥产生量为</w:t>
            </w:r>
            <w:r>
              <w:rPr>
                <w:rFonts w:hint="eastAsia" w:cs="Times New Roman"/>
                <w:color w:val="auto"/>
                <w:sz w:val="24"/>
                <w:szCs w:val="24"/>
                <w:u w:val="single" w:color="auto"/>
                <w:lang w:val="en-US" w:eastAsia="zh-CN"/>
              </w:rPr>
              <w:t>5.5</w:t>
            </w:r>
            <w:r>
              <w:rPr>
                <w:rFonts w:hint="default" w:ascii="Times New Roman" w:hAnsi="Times New Roman" w:eastAsia="宋体" w:cs="Times New Roman"/>
                <w:color w:val="auto"/>
                <w:sz w:val="24"/>
                <w:szCs w:val="24"/>
                <w:u w:val="single" w:color="auto"/>
                <w:lang w:eastAsia="zh-CN"/>
              </w:rPr>
              <w:t>t/a</w:t>
            </w:r>
            <w:r>
              <w:rPr>
                <w:rFonts w:hint="eastAsia" w:ascii="Times New Roman" w:hAnsi="Times New Roman" w:eastAsia="宋体" w:cs="Times New Roman"/>
                <w:color w:val="auto"/>
                <w:sz w:val="24"/>
                <w:szCs w:val="24"/>
                <w:u w:val="single" w:color="auto"/>
                <w:lang w:eastAsia="zh-CN"/>
              </w:rPr>
              <w:t>，</w:t>
            </w:r>
            <w:r>
              <w:rPr>
                <w:rFonts w:hint="eastAsia" w:ascii="Times New Roman" w:hAnsi="Times New Roman" w:eastAsia="宋体" w:cs="Times New Roman"/>
                <w:color w:val="auto"/>
                <w:sz w:val="24"/>
                <w:szCs w:val="24"/>
                <w:u w:val="single" w:color="auto"/>
                <w:lang w:val="en-US" w:eastAsia="zh-CN"/>
              </w:rPr>
              <w:t>格栅渣产生量</w:t>
            </w:r>
            <w:r>
              <w:rPr>
                <w:rFonts w:hint="eastAsia" w:cs="Times New Roman"/>
                <w:color w:val="auto"/>
                <w:sz w:val="24"/>
                <w:szCs w:val="24"/>
                <w:u w:val="single" w:color="auto"/>
                <w:lang w:val="en-US" w:eastAsia="zh-CN"/>
              </w:rPr>
              <w:t>约</w:t>
            </w:r>
            <w:r>
              <w:rPr>
                <w:rFonts w:hint="eastAsia" w:ascii="Times New Roman" w:hAnsi="Times New Roman" w:eastAsia="宋体" w:cs="Times New Roman"/>
                <w:color w:val="auto"/>
                <w:sz w:val="24"/>
                <w:szCs w:val="24"/>
                <w:u w:val="single" w:color="auto"/>
                <w:lang w:val="en-US" w:eastAsia="zh-CN"/>
              </w:rPr>
              <w:t>0.5t/a，则污泥产生总量为</w:t>
            </w:r>
            <w:r>
              <w:rPr>
                <w:rFonts w:hint="eastAsia" w:cs="Times New Roman"/>
                <w:color w:val="auto"/>
                <w:sz w:val="24"/>
                <w:szCs w:val="24"/>
                <w:u w:val="single" w:color="auto"/>
                <w:lang w:val="en-US" w:eastAsia="zh-CN"/>
              </w:rPr>
              <w:t>12.565</w:t>
            </w:r>
            <w:r>
              <w:rPr>
                <w:rFonts w:hint="eastAsia" w:ascii="Times New Roman" w:hAnsi="Times New Roman" w:eastAsia="宋体" w:cs="Times New Roman"/>
                <w:color w:val="auto"/>
                <w:sz w:val="24"/>
                <w:szCs w:val="24"/>
                <w:u w:val="single" w:color="auto"/>
                <w:lang w:val="en-US" w:eastAsia="zh-CN"/>
              </w:rPr>
              <w:t>t/a。</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u w:val="none" w:color="auto"/>
                <w:lang w:val="en-US" w:eastAsia="zh-CN"/>
              </w:rPr>
            </w:pPr>
            <w:r>
              <w:rPr>
                <w:rFonts w:hint="eastAsia" w:ascii="微软雅黑" w:hAnsi="微软雅黑" w:eastAsia="微软雅黑" w:cs="微软雅黑"/>
                <w:color w:val="auto"/>
                <w:sz w:val="24"/>
                <w:szCs w:val="24"/>
                <w:u w:val="none" w:color="auto"/>
                <w:lang w:val="en-US" w:eastAsia="zh-CN"/>
              </w:rPr>
              <w:t>⑥</w:t>
            </w:r>
            <w:r>
              <w:rPr>
                <w:rFonts w:hint="eastAsia" w:ascii="Times New Roman" w:hAnsi="Times New Roman" w:eastAsia="宋体" w:cs="Times New Roman"/>
                <w:color w:val="auto"/>
                <w:sz w:val="24"/>
                <w:szCs w:val="24"/>
                <w:u w:val="none" w:color="auto"/>
                <w:lang w:val="en-US" w:eastAsia="zh-CN"/>
              </w:rPr>
              <w:t>废紫外灯管</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医废间采用紫外线灯进行消毒，会产生废紫外灯管，产生量约</w:t>
            </w:r>
            <w:r>
              <w:rPr>
                <w:rFonts w:hint="default" w:ascii="Times New Roman" w:hAnsi="Times New Roman" w:eastAsia="宋体" w:cs="Times New Roman"/>
                <w:color w:val="auto"/>
                <w:sz w:val="24"/>
                <w:szCs w:val="24"/>
                <w:u w:val="none" w:color="auto"/>
                <w:lang w:val="en-US" w:eastAsia="zh-CN"/>
              </w:rPr>
              <w:t>0.01t/a</w:t>
            </w:r>
            <w:r>
              <w:rPr>
                <w:rFonts w:hint="eastAsia" w:ascii="Times New Roman" w:hAnsi="Times New Roman" w:eastAsia="宋体" w:cs="Times New Roman"/>
                <w:color w:val="auto"/>
                <w:sz w:val="24"/>
                <w:szCs w:val="24"/>
                <w:u w:val="none" w:color="auto"/>
                <w:lang w:val="en-US" w:eastAsia="zh-CN"/>
              </w:rPr>
              <w:t>，属于《国家危险废弃物名录》中的</w:t>
            </w:r>
            <w:r>
              <w:rPr>
                <w:rFonts w:hint="default" w:ascii="Times New Roman" w:hAnsi="Times New Roman" w:eastAsia="宋体" w:cs="Times New Roman"/>
                <w:color w:val="auto"/>
                <w:sz w:val="24"/>
                <w:szCs w:val="24"/>
                <w:u w:val="none" w:color="auto"/>
                <w:lang w:val="en-US" w:eastAsia="zh-CN"/>
              </w:rPr>
              <w:t>HW29</w:t>
            </w:r>
            <w:r>
              <w:rPr>
                <w:rFonts w:hint="eastAsia" w:ascii="Times New Roman" w:hAnsi="Times New Roman" w:eastAsia="宋体" w:cs="Times New Roman"/>
                <w:color w:val="auto"/>
                <w:sz w:val="24"/>
                <w:szCs w:val="24"/>
                <w:u w:val="none" w:color="auto"/>
                <w:lang w:val="en-US" w:eastAsia="zh-CN"/>
              </w:rPr>
              <w:t>类危废（废物代码：</w:t>
            </w:r>
            <w:r>
              <w:rPr>
                <w:rFonts w:hint="default" w:ascii="Times New Roman" w:hAnsi="Times New Roman" w:eastAsia="宋体" w:cs="Times New Roman"/>
                <w:color w:val="auto"/>
                <w:sz w:val="24"/>
                <w:szCs w:val="24"/>
                <w:u w:val="none" w:color="auto"/>
                <w:lang w:val="en-US" w:eastAsia="zh-CN"/>
              </w:rPr>
              <w:t>900-023-29</w:t>
            </w:r>
            <w:r>
              <w:rPr>
                <w:rFonts w:hint="eastAsia" w:ascii="Times New Roman" w:hAnsi="Times New Roman" w:eastAsia="宋体" w:cs="Times New Roman"/>
                <w:color w:val="auto"/>
                <w:sz w:val="24"/>
                <w:szCs w:val="24"/>
                <w:u w:val="none" w:color="auto"/>
                <w:lang w:val="en-US" w:eastAsia="zh-CN"/>
              </w:rPr>
              <w:t>），经专用容器密封收集暂存于医废间，交由有危废资质单位清运处置。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表4-</w:t>
            </w:r>
            <w:r>
              <w:rPr>
                <w:rFonts w:hint="eastAsia" w:ascii="Times New Roman" w:hAnsi="Times New Roman" w:eastAsia="宋体" w:cs="Times New Roman"/>
                <w:color w:val="auto"/>
                <w:sz w:val="24"/>
                <w:szCs w:val="24"/>
                <w:u w:val="none" w:color="auto"/>
                <w:lang w:val="en-US" w:eastAsia="zh-CN"/>
              </w:rPr>
              <w:t>1</w:t>
            </w:r>
            <w:r>
              <w:rPr>
                <w:rFonts w:hint="eastAsia" w:cs="Times New Roman"/>
                <w:color w:val="auto"/>
                <w:sz w:val="24"/>
                <w:szCs w:val="24"/>
                <w:u w:val="none" w:color="auto"/>
                <w:lang w:val="en-US" w:eastAsia="zh-CN"/>
              </w:rPr>
              <w:t>4</w:t>
            </w:r>
            <w:r>
              <w:rPr>
                <w:rFonts w:hint="eastAsia"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lang w:eastAsia="zh-CN"/>
              </w:rPr>
              <w:t>固废汇总一览表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0"/>
              <w:gridCol w:w="650"/>
              <w:gridCol w:w="937"/>
              <w:gridCol w:w="580"/>
              <w:gridCol w:w="1313"/>
              <w:gridCol w:w="812"/>
              <w:gridCol w:w="879"/>
              <w:gridCol w:w="654"/>
              <w:gridCol w:w="63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序号</w:t>
                  </w:r>
                </w:p>
              </w:tc>
              <w:tc>
                <w:tcPr>
                  <w:tcW w:w="65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固废</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属性</w:t>
                  </w: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固体</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名称</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形态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废物类别</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及代码</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危害特性</w:t>
                  </w:r>
                </w:p>
              </w:tc>
              <w:tc>
                <w:tcPr>
                  <w:tcW w:w="879"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产生量（t/a）</w:t>
                  </w:r>
                </w:p>
              </w:tc>
              <w:tc>
                <w:tcPr>
                  <w:tcW w:w="65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收集方式</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贮存周期</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暂存及处理措施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1</w:t>
                  </w:r>
                </w:p>
              </w:tc>
              <w:tc>
                <w:tcPr>
                  <w:tcW w:w="65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生活垃圾</w:t>
                  </w: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生活垃圾</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w:t>
                  </w:r>
                </w:p>
              </w:tc>
              <w:tc>
                <w:tcPr>
                  <w:tcW w:w="879"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44.895</w:t>
                  </w:r>
                </w:p>
              </w:tc>
              <w:tc>
                <w:tcPr>
                  <w:tcW w:w="65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垃圾桶</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2</w:t>
                  </w:r>
                </w:p>
              </w:tc>
              <w:tc>
                <w:tcPr>
                  <w:tcW w:w="650"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一般固废</w:t>
                  </w: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输液瓶（袋）和玻璃瓶</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w:t>
                  </w:r>
                </w:p>
              </w:tc>
              <w:tc>
                <w:tcPr>
                  <w:tcW w:w="879"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5</w:t>
                  </w:r>
                </w:p>
              </w:tc>
              <w:tc>
                <w:tcPr>
                  <w:tcW w:w="65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收集袋</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月</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交由湖南</w:t>
                  </w:r>
                  <w:r>
                    <w:rPr>
                      <w:rFonts w:hint="eastAsia" w:ascii="Times New Roman" w:hAnsi="Times New Roman" w:eastAsia="宋体" w:cs="Times New Roman"/>
                      <w:color w:val="auto"/>
                      <w:sz w:val="21"/>
                      <w:szCs w:val="21"/>
                      <w:highlight w:val="none"/>
                      <w:u w:val="none" w:color="auto"/>
                      <w:lang w:val="en-US" w:eastAsia="zh-CN"/>
                    </w:rPr>
                    <w:t>博晟卫生材料有限公司</w:t>
                  </w:r>
                  <w:r>
                    <w:rPr>
                      <w:rFonts w:hint="default" w:ascii="Times New Roman" w:hAnsi="Times New Roman" w:eastAsia="宋体" w:cs="Times New Roman"/>
                      <w:color w:val="auto"/>
                      <w:sz w:val="21"/>
                      <w:szCs w:val="21"/>
                      <w:highlight w:val="none"/>
                      <w:u w:val="none" w:color="auto"/>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3</w:t>
                  </w: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9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废包装</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材料</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w:t>
                  </w:r>
                </w:p>
              </w:tc>
              <w:tc>
                <w:tcPr>
                  <w:tcW w:w="879"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eastAsia="zh-CN"/>
                    </w:rPr>
                    <w:t>1.0</w:t>
                  </w:r>
                </w:p>
              </w:tc>
              <w:tc>
                <w:tcPr>
                  <w:tcW w:w="654"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仓库</w:t>
                  </w:r>
                </w:p>
              </w:tc>
              <w:tc>
                <w:tcPr>
                  <w:tcW w:w="637"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收集后出售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restart"/>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4</w:t>
                  </w:r>
                </w:p>
              </w:tc>
              <w:tc>
                <w:tcPr>
                  <w:tcW w:w="650"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危险废物</w:t>
                  </w:r>
                </w:p>
              </w:tc>
              <w:tc>
                <w:tcPr>
                  <w:tcW w:w="937"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医疗废物</w:t>
                  </w:r>
                </w:p>
              </w:tc>
              <w:tc>
                <w:tcPr>
                  <w:tcW w:w="580"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841-001-01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In</w:t>
                  </w:r>
                </w:p>
              </w:tc>
              <w:tc>
                <w:tcPr>
                  <w:tcW w:w="879"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12.41</w:t>
                  </w:r>
                </w:p>
              </w:tc>
              <w:tc>
                <w:tcPr>
                  <w:tcW w:w="654"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医疗废物专用容器</w:t>
                  </w:r>
                </w:p>
              </w:tc>
              <w:tc>
                <w:tcPr>
                  <w:tcW w:w="637"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2天</w:t>
                  </w:r>
                </w:p>
              </w:tc>
              <w:tc>
                <w:tcPr>
                  <w:tcW w:w="1094" w:type="dxa"/>
                  <w:vMerge w:val="restart"/>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暂存在医疗废物暂存间，交由岳阳市方向固废安全处置有限公司处理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9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58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841-002-01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In</w:t>
                  </w:r>
                </w:p>
              </w:tc>
              <w:tc>
                <w:tcPr>
                  <w:tcW w:w="879"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5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109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9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58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841-003-01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In</w:t>
                  </w:r>
                </w:p>
              </w:tc>
              <w:tc>
                <w:tcPr>
                  <w:tcW w:w="879"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5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109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9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58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841-004-01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T/C/I/R</w:t>
                  </w:r>
                </w:p>
              </w:tc>
              <w:tc>
                <w:tcPr>
                  <w:tcW w:w="879"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5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109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9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58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841-005-01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T</w:t>
                  </w:r>
                </w:p>
              </w:tc>
              <w:tc>
                <w:tcPr>
                  <w:tcW w:w="879"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5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637"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1094"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5</w:t>
                  </w: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937"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污泥</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固态</w:t>
                  </w:r>
                </w:p>
              </w:tc>
              <w:tc>
                <w:tcPr>
                  <w:tcW w:w="1313"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HW01</w:t>
                  </w:r>
                </w:p>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841-001-01</w:t>
                  </w:r>
                </w:p>
              </w:tc>
              <w:tc>
                <w:tcPr>
                  <w:tcW w:w="812"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In</w:t>
                  </w:r>
                </w:p>
              </w:tc>
              <w:tc>
                <w:tcPr>
                  <w:tcW w:w="879"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12.565t</w:t>
                  </w:r>
                </w:p>
              </w:tc>
              <w:tc>
                <w:tcPr>
                  <w:tcW w:w="65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single"/>
                      <w:lang w:val="en-US" w:eastAsia="zh-CN"/>
                    </w:rPr>
                    <w:t>收集袋</w:t>
                  </w:r>
                </w:p>
              </w:tc>
              <w:tc>
                <w:tcPr>
                  <w:tcW w:w="637" w:type="dxa"/>
                  <w:noWrap w:val="0"/>
                  <w:vAlign w:val="center"/>
                </w:tcPr>
                <w:p>
                  <w:pPr>
                    <w:pStyle w:val="43"/>
                    <w:spacing w:line="240" w:lineRule="auto"/>
                    <w:ind w:right="0" w:rightChars="0"/>
                    <w:jc w:val="center"/>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w:t>
                  </w:r>
                </w:p>
              </w:tc>
              <w:tc>
                <w:tcPr>
                  <w:tcW w:w="1094"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产生污泥定期</w:t>
                  </w:r>
                  <w:r>
                    <w:rPr>
                      <w:rFonts w:hint="eastAsia" w:cs="Times New Roman"/>
                      <w:color w:val="auto"/>
                      <w:sz w:val="21"/>
                      <w:szCs w:val="21"/>
                      <w:highlight w:val="none"/>
                      <w:u w:val="none" w:color="auto"/>
                      <w:lang w:val="en-US" w:eastAsia="zh-CN"/>
                    </w:rPr>
                    <w:t>进</w:t>
                  </w:r>
                  <w:r>
                    <w:rPr>
                      <w:rFonts w:hint="eastAsia" w:ascii="Times New Roman" w:hAnsi="Times New Roman" w:eastAsia="宋体" w:cs="Times New Roman"/>
                      <w:color w:val="auto"/>
                      <w:sz w:val="21"/>
                      <w:szCs w:val="21"/>
                      <w:highlight w:val="none"/>
                      <w:u w:val="none" w:color="auto"/>
                      <w:lang w:val="en-US" w:eastAsia="zh-CN"/>
                    </w:rPr>
                    <w:t>行压滤</w:t>
                  </w:r>
                  <w:r>
                    <w:rPr>
                      <w:rFonts w:hint="default" w:ascii="Times New Roman" w:hAnsi="Times New Roman" w:eastAsia="宋体" w:cs="Times New Roman"/>
                      <w:color w:val="auto"/>
                      <w:sz w:val="21"/>
                      <w:szCs w:val="21"/>
                      <w:highlight w:val="none"/>
                      <w:u w:val="none" w:color="auto"/>
                    </w:rPr>
                    <w:t>，</w:t>
                  </w:r>
                  <w:r>
                    <w:rPr>
                      <w:rFonts w:hint="eastAsia" w:ascii="Times New Roman" w:hAnsi="Times New Roman" w:eastAsia="宋体" w:cs="Times New Roman"/>
                      <w:color w:val="auto"/>
                      <w:sz w:val="21"/>
                      <w:szCs w:val="21"/>
                      <w:highlight w:val="none"/>
                      <w:u w:val="none" w:color="auto"/>
                      <w:lang w:val="en-US" w:eastAsia="zh-CN"/>
                    </w:rPr>
                    <w:t>格栅渣清掏后</w:t>
                  </w:r>
                  <w:r>
                    <w:rPr>
                      <w:rFonts w:hint="eastAsia" w:cs="Times New Roman"/>
                      <w:color w:val="auto"/>
                      <w:sz w:val="21"/>
                      <w:szCs w:val="21"/>
                      <w:highlight w:val="none"/>
                      <w:u w:val="none" w:color="auto"/>
                      <w:lang w:val="en-US" w:eastAsia="zh-CN"/>
                    </w:rPr>
                    <w:t>消毒</w:t>
                  </w:r>
                  <w:r>
                    <w:rPr>
                      <w:rFonts w:hint="eastAsia" w:ascii="Times New Roman" w:hAnsi="Times New Roman" w:eastAsia="宋体" w:cs="Times New Roman"/>
                      <w:color w:val="auto"/>
                      <w:sz w:val="21"/>
                      <w:szCs w:val="21"/>
                      <w:highlight w:val="none"/>
                      <w:u w:val="none" w:color="auto"/>
                      <w:lang w:val="en-US" w:eastAsia="zh-CN"/>
                    </w:rPr>
                    <w:t>暂存，</w:t>
                  </w:r>
                  <w:r>
                    <w:rPr>
                      <w:rFonts w:hint="default" w:ascii="Times New Roman" w:hAnsi="Times New Roman" w:eastAsia="宋体" w:cs="Times New Roman"/>
                      <w:color w:val="auto"/>
                      <w:sz w:val="21"/>
                      <w:szCs w:val="21"/>
                      <w:highlight w:val="none"/>
                      <w:u w:val="none" w:color="auto"/>
                    </w:rPr>
                    <w:t>交由岳阳市方向固废安全处置有限公司处理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w:t>
                  </w:r>
                </w:p>
              </w:tc>
              <w:tc>
                <w:tcPr>
                  <w:tcW w:w="650" w:type="dxa"/>
                  <w:vMerge w:val="continue"/>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eastAsia="zh-CN"/>
                    </w:rPr>
                  </w:pPr>
                </w:p>
              </w:tc>
              <w:tc>
                <w:tcPr>
                  <w:tcW w:w="937" w:type="dxa"/>
                  <w:noWrap w:val="0"/>
                  <w:vAlign w:val="center"/>
                </w:tcPr>
                <w:p>
                  <w:pPr>
                    <w:pStyle w:val="43"/>
                    <w:spacing w:line="240" w:lineRule="auto"/>
                    <w:ind w:right="0" w:right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废紫外灯</w:t>
                  </w:r>
                </w:p>
              </w:tc>
              <w:tc>
                <w:tcPr>
                  <w:tcW w:w="580" w:type="dxa"/>
                  <w:noWrap w:val="0"/>
                  <w:vAlign w:val="center"/>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固态</w:t>
                  </w:r>
                </w:p>
              </w:tc>
              <w:tc>
                <w:tcPr>
                  <w:tcW w:w="1313" w:type="dxa"/>
                  <w:noWrap w:val="0"/>
                  <w:vAlign w:val="top"/>
                </w:tcPr>
                <w:p>
                  <w:pPr>
                    <w:pStyle w:val="43"/>
                    <w:spacing w:line="240" w:lineRule="auto"/>
                    <w:ind w:right="0" w:right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HW</w:t>
                  </w:r>
                  <w:r>
                    <w:rPr>
                      <w:rFonts w:hint="eastAsia" w:ascii="Times New Roman" w:hAnsi="Times New Roman" w:eastAsia="宋体" w:cs="Times New Roman"/>
                      <w:color w:val="auto"/>
                      <w:sz w:val="21"/>
                      <w:szCs w:val="21"/>
                      <w:highlight w:val="none"/>
                      <w:u w:val="none" w:color="auto"/>
                      <w:lang w:val="en-US" w:eastAsia="zh-CN"/>
                    </w:rPr>
                    <w:t>29</w:t>
                  </w:r>
                </w:p>
                <w:p>
                  <w:pPr>
                    <w:spacing w:before="57" w:line="195" w:lineRule="auto"/>
                    <w:ind w:left="175" w:left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3"/>
                      <w:sz w:val="21"/>
                      <w:szCs w:val="21"/>
                    </w:rPr>
                    <w:t>900-023-29</w:t>
                  </w:r>
                </w:p>
              </w:tc>
              <w:tc>
                <w:tcPr>
                  <w:tcW w:w="812" w:type="dxa"/>
                  <w:noWrap w:val="0"/>
                  <w:vAlign w:val="top"/>
                </w:tcPr>
                <w:p>
                  <w:pPr>
                    <w:spacing w:before="57" w:line="195" w:lineRule="auto"/>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2"/>
                      <w:sz w:val="21"/>
                      <w:szCs w:val="21"/>
                    </w:rPr>
                    <w:t>0.01</w:t>
                  </w:r>
                </w:p>
              </w:tc>
              <w:tc>
                <w:tcPr>
                  <w:tcW w:w="879" w:type="dxa"/>
                  <w:noWrap w:val="0"/>
                  <w:vAlign w:val="top"/>
                </w:tcPr>
                <w:p>
                  <w:pPr>
                    <w:spacing w:before="57" w:line="195" w:lineRule="auto"/>
                    <w:ind w:left="175" w:leftChars="0"/>
                    <w:rPr>
                      <w:rFonts w:hint="eastAsia" w:cs="Times New Roman"/>
                      <w:color w:val="auto"/>
                      <w:sz w:val="21"/>
                      <w:szCs w:val="21"/>
                      <w:highlight w:val="none"/>
                      <w:u w:val="none" w:color="auto"/>
                      <w:lang w:val="en-US" w:eastAsia="zh-CN"/>
                    </w:rPr>
                  </w:pPr>
                  <w:r>
                    <w:rPr>
                      <w:rFonts w:hint="default" w:ascii="Times New Roman" w:hAnsi="Times New Roman" w:eastAsia="宋体" w:cs="Times New Roman"/>
                      <w:color w:val="auto"/>
                      <w:spacing w:val="2"/>
                      <w:sz w:val="21"/>
                      <w:szCs w:val="21"/>
                    </w:rPr>
                    <w:t>0.01</w:t>
                  </w:r>
                </w:p>
              </w:tc>
              <w:tc>
                <w:tcPr>
                  <w:tcW w:w="654" w:type="dxa"/>
                  <w:noWrap w:val="0"/>
                  <w:vAlign w:val="top"/>
                </w:tcPr>
                <w:p>
                  <w:pPr>
                    <w:spacing w:before="57" w:line="195" w:lineRule="auto"/>
                    <w:jc w:val="center"/>
                    <w:rPr>
                      <w:rFonts w:hint="default" w:ascii="Times New Roman" w:hAnsi="Times New Roman" w:eastAsia="宋体" w:cs="Times New Roman"/>
                      <w:color w:val="auto"/>
                      <w:sz w:val="21"/>
                      <w:szCs w:val="21"/>
                      <w:highlight w:val="none"/>
                      <w:u w:val="single"/>
                      <w:lang w:val="en-US" w:eastAsia="zh-CN"/>
                    </w:rPr>
                  </w:pPr>
                  <w:r>
                    <w:rPr>
                      <w:rFonts w:hint="eastAsia" w:cs="Times New Roman"/>
                      <w:color w:val="auto"/>
                      <w:sz w:val="21"/>
                      <w:szCs w:val="21"/>
                      <w:highlight w:val="none"/>
                      <w:u w:val="single"/>
                      <w:lang w:val="en-US" w:eastAsia="zh-CN"/>
                    </w:rPr>
                    <w:t>/</w:t>
                  </w:r>
                </w:p>
              </w:tc>
              <w:tc>
                <w:tcPr>
                  <w:tcW w:w="637" w:type="dxa"/>
                  <w:noWrap w:val="0"/>
                  <w:vAlign w:val="top"/>
                </w:tcPr>
                <w:p>
                  <w:pPr>
                    <w:spacing w:before="58" w:line="274" w:lineRule="exact"/>
                    <w:ind w:left="294" w:leftChars="0"/>
                    <w:rPr>
                      <w:rFonts w:hint="eastAsia" w:cs="Times New Roman"/>
                      <w:color w:val="auto"/>
                      <w:sz w:val="21"/>
                      <w:szCs w:val="21"/>
                      <w:highlight w:val="none"/>
                      <w:u w:val="none" w:color="auto"/>
                      <w:lang w:val="en-US" w:eastAsia="zh-CN"/>
                    </w:rPr>
                  </w:pPr>
                  <w:r>
                    <w:rPr>
                      <w:rFonts w:hint="default" w:ascii="Times New Roman" w:hAnsi="Times New Roman" w:eastAsia="宋体" w:cs="Times New Roman"/>
                      <w:color w:val="auto"/>
                      <w:spacing w:val="2"/>
                      <w:position w:val="1"/>
                      <w:sz w:val="21"/>
                      <w:szCs w:val="21"/>
                    </w:rPr>
                    <w:t>/</w:t>
                  </w:r>
                </w:p>
              </w:tc>
              <w:tc>
                <w:tcPr>
                  <w:tcW w:w="1094" w:type="dxa"/>
                  <w:noWrap w:val="0"/>
                  <w:vAlign w:val="top"/>
                </w:tcPr>
                <w:p>
                  <w:pPr>
                    <w:pStyle w:val="59"/>
                    <w:spacing w:before="35" w:line="228" w:lineRule="auto"/>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rPr>
                    <w:t>暂存于医疗</w:t>
                  </w:r>
                  <w:r>
                    <w:rPr>
                      <w:rFonts w:hint="default" w:ascii="Times New Roman" w:hAnsi="Times New Roman" w:eastAsia="宋体" w:cs="Times New Roman"/>
                      <w:color w:val="auto"/>
                      <w:spacing w:val="7"/>
                      <w:sz w:val="21"/>
                      <w:szCs w:val="21"/>
                    </w:rPr>
                    <w:t>废物暂存</w:t>
                  </w:r>
                  <w:r>
                    <w:rPr>
                      <w:rFonts w:hint="default" w:ascii="Times New Roman" w:hAnsi="Times New Roman" w:eastAsia="宋体" w:cs="Times New Roman"/>
                      <w:color w:val="auto"/>
                      <w:spacing w:val="4"/>
                      <w:sz w:val="21"/>
                      <w:szCs w:val="21"/>
                    </w:rPr>
                    <w:t>间，定期由</w:t>
                  </w:r>
                  <w:r>
                    <w:rPr>
                      <w:rFonts w:hint="default" w:ascii="Times New Roman" w:hAnsi="Times New Roman" w:eastAsia="宋体" w:cs="Times New Roman"/>
                      <w:color w:val="auto"/>
                      <w:spacing w:val="7"/>
                      <w:sz w:val="21"/>
                      <w:szCs w:val="21"/>
                    </w:rPr>
                    <w:t>有危废资质</w:t>
                  </w:r>
                  <w:r>
                    <w:rPr>
                      <w:rFonts w:hint="default" w:ascii="Times New Roman" w:hAnsi="Times New Roman" w:eastAsia="宋体" w:cs="Times New Roman"/>
                      <w:color w:val="auto"/>
                      <w:spacing w:val="6"/>
                      <w:sz w:val="21"/>
                      <w:szCs w:val="21"/>
                    </w:rPr>
                    <w:t>单位处置</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2</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lang w:eastAsia="zh-CN"/>
              </w:rPr>
              <w:t>环境管理要求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本项目固体</w:t>
            </w:r>
            <w:r>
              <w:rPr>
                <w:rFonts w:hint="default" w:ascii="Times New Roman" w:hAnsi="Times New Roman" w:eastAsia="宋体" w:cs="Times New Roman"/>
                <w:color w:val="auto"/>
                <w:kern w:val="0"/>
                <w:sz w:val="24"/>
                <w:szCs w:val="24"/>
                <w:u w:val="none" w:color="auto"/>
                <w:lang w:eastAsia="zh-CN"/>
              </w:rPr>
              <w:t>废物</w:t>
            </w:r>
            <w:r>
              <w:rPr>
                <w:rFonts w:hint="default" w:ascii="Times New Roman" w:hAnsi="Times New Roman" w:eastAsia="宋体" w:cs="Times New Roman"/>
                <w:color w:val="auto"/>
                <w:sz w:val="24"/>
                <w:szCs w:val="24"/>
                <w:u w:val="none" w:color="auto"/>
                <w:lang w:eastAsia="zh-CN"/>
              </w:rPr>
              <w:t>主要有生活垃圾、输液瓶（袋）和玻璃瓶、废包装材料、医疗废物、污水处理站污泥等。根据固体废物性质及成份的不同，采取相应的处理及处置措施，尽量实现固体废物的资源化、减量化和无害化。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val="en-US" w:eastAsia="zh-CN"/>
              </w:rPr>
              <w:t>1）</w:t>
            </w:r>
            <w:r>
              <w:rPr>
                <w:rFonts w:hint="default" w:ascii="Times New Roman" w:hAnsi="Times New Roman" w:eastAsia="宋体" w:cs="Times New Roman"/>
                <w:color w:val="auto"/>
                <w:sz w:val="24"/>
                <w:szCs w:val="24"/>
                <w:u w:val="none" w:color="auto"/>
                <w:lang w:eastAsia="zh-CN"/>
              </w:rPr>
              <w:t>生活垃圾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本项目在院区设置大型垃圾桶，收集生活垃圾，交由环卫部门处理。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lang w:eastAsia="zh-CN"/>
              </w:rPr>
              <w:t>一般固废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本项目产生的输液瓶（袋）和玻璃瓶存放在一般工业固废暂存间，用于临时存放一般固体废物，产生的一般固废定期清理，不在院内长时间堆放；废包装材料收集后</w:t>
            </w:r>
            <w:r>
              <w:rPr>
                <w:rFonts w:hint="eastAsia" w:ascii="Times New Roman" w:hAnsi="Times New Roman" w:eastAsia="宋体" w:cs="Times New Roman"/>
                <w:color w:val="auto"/>
                <w:sz w:val="24"/>
                <w:szCs w:val="24"/>
                <w:u w:val="none" w:color="auto"/>
                <w:lang w:val="en-US" w:eastAsia="zh-CN"/>
              </w:rPr>
              <w:t>出售</w:t>
            </w:r>
            <w:r>
              <w:rPr>
                <w:rFonts w:hint="default" w:ascii="Times New Roman" w:hAnsi="Times New Roman" w:eastAsia="宋体" w:cs="Times New Roman"/>
                <w:color w:val="auto"/>
                <w:sz w:val="24"/>
                <w:szCs w:val="24"/>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lang w:eastAsia="zh-CN"/>
              </w:rPr>
              <w:t>危险废物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医疗废物暂存间设置应符合《医疗废物管理条例</w:t>
            </w:r>
            <w:r>
              <w:rPr>
                <w:rFonts w:hint="eastAsia"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lang w:eastAsia="zh-CN"/>
              </w:rPr>
              <w:t>医疗废物集中处置技术规范》（环发〔2003〕206号）、《危险废物贮存污染控制标准》（GB18597-2</w:t>
            </w:r>
            <w:r>
              <w:rPr>
                <w:rFonts w:hint="eastAsia" w:ascii="Times New Roman" w:hAnsi="Times New Roman" w:eastAsia="宋体" w:cs="Times New Roman"/>
                <w:color w:val="auto"/>
                <w:sz w:val="24"/>
                <w:szCs w:val="24"/>
                <w:u w:val="single" w:color="auto"/>
                <w:lang w:val="en-US" w:eastAsia="zh-CN"/>
              </w:rPr>
              <w:t>023</w:t>
            </w:r>
            <w:r>
              <w:rPr>
                <w:rFonts w:hint="default" w:ascii="Times New Roman" w:hAnsi="Times New Roman" w:eastAsia="宋体" w:cs="Times New Roman"/>
                <w:color w:val="auto"/>
                <w:sz w:val="24"/>
                <w:szCs w:val="24"/>
                <w:u w:val="single" w:color="auto"/>
                <w:lang w:eastAsia="zh-CN"/>
              </w:rPr>
              <w:t>）中的相关要求，具体如下。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医疗废物暂存间建设要求：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①必须与</w:t>
            </w:r>
            <w:r>
              <w:rPr>
                <w:rFonts w:hint="default" w:ascii="Times New Roman" w:hAnsi="Times New Roman" w:eastAsia="宋体" w:cs="Times New Roman"/>
                <w:color w:val="auto"/>
                <w:kern w:val="0"/>
                <w:sz w:val="24"/>
                <w:szCs w:val="24"/>
                <w:u w:val="single" w:color="auto"/>
                <w:lang w:eastAsia="zh-CN"/>
              </w:rPr>
              <w:t>生活</w:t>
            </w:r>
            <w:r>
              <w:rPr>
                <w:rFonts w:hint="default" w:ascii="Times New Roman" w:hAnsi="Times New Roman" w:eastAsia="宋体" w:cs="Times New Roman"/>
                <w:color w:val="auto"/>
                <w:sz w:val="24"/>
                <w:szCs w:val="24"/>
                <w:u w:val="single" w:color="auto"/>
                <w:lang w:eastAsia="zh-CN"/>
              </w:rPr>
              <w:t>垃圾存放地分开，有防雨淋的装置，地基高度应确保设施内不受雨洪冲击或浸泡；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②必须与医疗区、食品加工区和人员活动密集区隔开，方便医疗废物的装卸、装卸人员及运送车辆的出入；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③应有严密的封闭措施，设专人管理，避免非工作人员进出，以及防鼠、防蚊蝇、防蟑螂、防盗以及预防儿童接触等安全措施；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④地面和1.0米高的墙裙须进行防渗处理，地面有良好的排水性能，易于清洁和消毒，产生的废水应采用管道直接排入医疗卫生机构内的医疗废水消毒、处理系统，禁止将产生的废水直接排入外环境；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⑤房外宜设有供水龙头，以供暂存间的清洗用；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⑥避免</w:t>
            </w:r>
            <w:r>
              <w:rPr>
                <w:rFonts w:hint="default" w:ascii="Times New Roman" w:hAnsi="Times New Roman" w:eastAsia="宋体" w:cs="Times New Roman"/>
                <w:color w:val="auto"/>
                <w:kern w:val="0"/>
                <w:sz w:val="24"/>
                <w:szCs w:val="24"/>
                <w:u w:val="single" w:color="auto"/>
                <w:lang w:eastAsia="zh-CN"/>
              </w:rPr>
              <w:t>阳光</w:t>
            </w:r>
            <w:r>
              <w:rPr>
                <w:rFonts w:hint="default" w:ascii="Times New Roman" w:hAnsi="Times New Roman" w:eastAsia="宋体" w:cs="Times New Roman"/>
                <w:color w:val="auto"/>
                <w:sz w:val="24"/>
                <w:szCs w:val="24"/>
                <w:u w:val="single" w:color="auto"/>
                <w:lang w:eastAsia="zh-CN"/>
              </w:rPr>
              <w:t>直射房内，应有良好的照明设备和通风条件，应有消防措施；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⑦房内应张贴“禁止吸烟、饮食”的警示标识；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⑧在房外的明显处同时设置危险废物和医疗废物的警示标识；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⑨危险</w:t>
            </w:r>
            <w:r>
              <w:rPr>
                <w:rFonts w:hint="default" w:ascii="Times New Roman" w:hAnsi="Times New Roman" w:eastAsia="宋体" w:cs="Times New Roman"/>
                <w:color w:val="auto"/>
                <w:kern w:val="0"/>
                <w:sz w:val="24"/>
                <w:szCs w:val="24"/>
                <w:u w:val="single" w:color="auto"/>
                <w:lang w:eastAsia="zh-CN"/>
              </w:rPr>
              <w:t>废物</w:t>
            </w:r>
            <w:r>
              <w:rPr>
                <w:rFonts w:hint="default" w:ascii="Times New Roman" w:hAnsi="Times New Roman" w:eastAsia="宋体" w:cs="Times New Roman"/>
                <w:color w:val="auto"/>
                <w:sz w:val="24"/>
                <w:szCs w:val="24"/>
                <w:u w:val="single" w:color="auto"/>
                <w:lang w:eastAsia="zh-CN"/>
              </w:rPr>
              <w:t>暂存区周边应设计围堰，防止污染物外泄。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医疗废物暂存间卫生要求：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①每天应在废物清运之后消毒冲洗，冲洗液应排入医疗卫生机构内的医疗废水消毒、处理系统。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②医疗废物</w:t>
            </w:r>
            <w:r>
              <w:rPr>
                <w:rFonts w:hint="default" w:ascii="Times New Roman" w:hAnsi="Times New Roman" w:eastAsia="宋体" w:cs="Times New Roman"/>
                <w:color w:val="auto"/>
                <w:kern w:val="0"/>
                <w:sz w:val="24"/>
                <w:szCs w:val="24"/>
                <w:u w:val="single" w:color="auto"/>
                <w:lang w:eastAsia="zh-CN"/>
              </w:rPr>
              <w:t>暂时</w:t>
            </w:r>
            <w:r>
              <w:rPr>
                <w:rFonts w:hint="default" w:ascii="Times New Roman" w:hAnsi="Times New Roman" w:eastAsia="宋体" w:cs="Times New Roman"/>
                <w:color w:val="auto"/>
                <w:sz w:val="24"/>
                <w:szCs w:val="24"/>
                <w:u w:val="single" w:color="auto"/>
                <w:lang w:eastAsia="zh-CN"/>
              </w:rPr>
              <w:t>贮存柜（箱）应每天消毒一次。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暂存时间要求：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①应防止</w:t>
            </w:r>
            <w:r>
              <w:rPr>
                <w:rFonts w:hint="default" w:ascii="Times New Roman" w:hAnsi="Times New Roman" w:eastAsia="宋体" w:cs="Times New Roman"/>
                <w:color w:val="auto"/>
                <w:kern w:val="0"/>
                <w:sz w:val="24"/>
                <w:szCs w:val="24"/>
                <w:u w:val="single" w:color="auto"/>
                <w:lang w:eastAsia="zh-CN"/>
              </w:rPr>
              <w:t>医疗</w:t>
            </w:r>
            <w:r>
              <w:rPr>
                <w:rFonts w:hint="default" w:ascii="Times New Roman" w:hAnsi="Times New Roman" w:eastAsia="宋体" w:cs="Times New Roman"/>
                <w:color w:val="auto"/>
                <w:sz w:val="24"/>
                <w:szCs w:val="24"/>
                <w:u w:val="single" w:color="auto"/>
                <w:lang w:eastAsia="zh-CN"/>
              </w:rPr>
              <w:t>废物在暂存间中腐败散发恶臭，尽量做到日产日清；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②确实不能做到日产日清，且当地最高气温高于25℃时，应将医疗废物低温暂时贮存，暂时贮存温度应低于20℃，时间最长不超过48小时。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val="en-US" w:eastAsia="zh-CN"/>
              </w:rPr>
            </w:pPr>
            <w:r>
              <w:rPr>
                <w:rFonts w:hint="eastAsia" w:ascii="Times New Roman" w:hAnsi="Times New Roman" w:eastAsia="宋体" w:cs="Times New Roman"/>
                <w:color w:val="auto"/>
                <w:sz w:val="24"/>
                <w:szCs w:val="24"/>
                <w:u w:val="single" w:color="auto"/>
                <w:lang w:val="en-US" w:eastAsia="zh-CN"/>
              </w:rPr>
              <w:t>医院设有独立的危废暂存间，位于院内东侧，采取了防雨淋、日晒的措施，贴有标识并专人管理。西侧是停车场，方便医疗废物的装卸及运送车辆出入，同时与医疗区、食堂以及宿舍有一定距离。危废暂存间位置设置合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医院污泥处理处置：</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污泥清执行《医疗机构水污染物排放标准》（GB18466-2005）中表4医疗机构污泥控制标准，并按危险废物处理处置要求，交由有资质单位处理。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日常管理要求：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①须做好危险废物情况的纪录，记录上须注明危险废物的名称、来源、数量、特性和包装容器的类别、入库日期、堆放区域、废物出库日期及接收单位名称；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②加强固废在</w:t>
            </w:r>
            <w:r>
              <w:rPr>
                <w:rFonts w:hint="default" w:ascii="Times New Roman" w:hAnsi="Times New Roman" w:eastAsia="宋体" w:cs="Times New Roman"/>
                <w:color w:val="auto"/>
                <w:kern w:val="0"/>
                <w:sz w:val="24"/>
                <w:szCs w:val="24"/>
                <w:u w:val="single" w:color="auto"/>
                <w:lang w:eastAsia="zh-CN"/>
              </w:rPr>
              <w:t>院内</w:t>
            </w:r>
            <w:r>
              <w:rPr>
                <w:rFonts w:hint="default" w:ascii="Times New Roman" w:hAnsi="Times New Roman" w:eastAsia="宋体" w:cs="Times New Roman"/>
                <w:color w:val="auto"/>
                <w:sz w:val="24"/>
                <w:szCs w:val="24"/>
                <w:u w:val="single" w:color="auto"/>
                <w:lang w:eastAsia="zh-CN"/>
              </w:rPr>
              <w:t>和院外的转运管理；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③定期对地面</w:t>
            </w:r>
            <w:r>
              <w:rPr>
                <w:rFonts w:hint="default" w:ascii="Times New Roman" w:hAnsi="Times New Roman" w:eastAsia="宋体" w:cs="Times New Roman"/>
                <w:color w:val="auto"/>
                <w:kern w:val="0"/>
                <w:sz w:val="24"/>
                <w:szCs w:val="24"/>
                <w:u w:val="single" w:color="auto"/>
                <w:lang w:eastAsia="zh-CN"/>
              </w:rPr>
              <w:t>进行</w:t>
            </w:r>
            <w:r>
              <w:rPr>
                <w:rFonts w:hint="default" w:ascii="Times New Roman" w:hAnsi="Times New Roman" w:eastAsia="宋体" w:cs="Times New Roman"/>
                <w:color w:val="auto"/>
                <w:sz w:val="24"/>
                <w:szCs w:val="24"/>
                <w:u w:val="single" w:color="auto"/>
                <w:lang w:eastAsia="zh-CN"/>
              </w:rPr>
              <w:t>检查，发现破损，应及时进行修理；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④医疗废物暂存间必须按《环境保护图形标志-固体废物贮存（处置）场》（GB15562.2-1995）</w:t>
            </w:r>
            <w:r>
              <w:rPr>
                <w:rFonts w:hint="eastAsia" w:ascii="Times New Roman" w:hAnsi="Times New Roman" w:eastAsia="宋体" w:cs="Times New Roman"/>
                <w:color w:val="auto"/>
                <w:sz w:val="24"/>
                <w:szCs w:val="24"/>
                <w:u w:val="single" w:color="auto"/>
                <w:lang w:val="en-US" w:eastAsia="zh-CN"/>
              </w:rPr>
              <w:t>及第1号修改单</w:t>
            </w:r>
            <w:r>
              <w:rPr>
                <w:rFonts w:hint="default" w:ascii="Times New Roman" w:hAnsi="Times New Roman" w:eastAsia="宋体" w:cs="Times New Roman"/>
                <w:color w:val="auto"/>
                <w:sz w:val="24"/>
                <w:szCs w:val="24"/>
                <w:u w:val="single" w:color="auto"/>
                <w:lang w:eastAsia="zh-CN"/>
              </w:rPr>
              <w:t>等的规定设置警示标志；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⑤贮存容器应有明显标志，具有耐腐蚀、耐压、密封和不与所贮存的废物发生反应等特性；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⑥按照《</w:t>
            </w:r>
            <w:r>
              <w:rPr>
                <w:rFonts w:hint="default" w:ascii="Times New Roman" w:hAnsi="Times New Roman" w:eastAsia="宋体" w:cs="Times New Roman"/>
                <w:color w:val="auto"/>
                <w:kern w:val="0"/>
                <w:sz w:val="24"/>
                <w:szCs w:val="24"/>
                <w:u w:val="single" w:color="auto"/>
                <w:lang w:eastAsia="zh-CN"/>
              </w:rPr>
              <w:t>医疗</w:t>
            </w:r>
            <w:r>
              <w:rPr>
                <w:rFonts w:hint="default" w:ascii="Times New Roman" w:hAnsi="Times New Roman" w:eastAsia="宋体" w:cs="Times New Roman"/>
                <w:color w:val="auto"/>
                <w:sz w:val="24"/>
                <w:szCs w:val="24"/>
                <w:u w:val="single" w:color="auto"/>
                <w:lang w:eastAsia="zh-CN"/>
              </w:rPr>
              <w:t>废物专用包装袋、容器和警示标志标准》（HJ421-2008</w:t>
            </w:r>
            <w:r>
              <w:rPr>
                <w:rFonts w:hint="eastAsia"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lang w:eastAsia="zh-CN"/>
              </w:rPr>
              <w:t>，根据医疗废物的类别，将医疗废物分置于符合的包装物或者容器内；在盛装医疗废物前，应当对医疗废物包装物或者容器进行认真检查，确保无破损、渗漏</w:t>
            </w:r>
            <w:r>
              <w:rPr>
                <w:rFonts w:hint="eastAsia" w:cs="Times New Roman"/>
                <w:color w:val="auto"/>
                <w:sz w:val="24"/>
                <w:szCs w:val="24"/>
                <w:u w:val="single" w:color="auto"/>
                <w:lang w:eastAsia="zh-CN"/>
              </w:rPr>
              <w:t>和其他</w:t>
            </w:r>
            <w:r>
              <w:rPr>
                <w:rFonts w:hint="default" w:ascii="Times New Roman" w:hAnsi="Times New Roman" w:eastAsia="宋体" w:cs="Times New Roman"/>
                <w:color w:val="auto"/>
                <w:sz w:val="24"/>
                <w:szCs w:val="24"/>
                <w:u w:val="single" w:color="auto"/>
                <w:lang w:eastAsia="zh-CN"/>
              </w:rPr>
              <w:t>缺陷；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⑦医疗</w:t>
            </w:r>
            <w:r>
              <w:rPr>
                <w:rFonts w:hint="default" w:ascii="Times New Roman" w:hAnsi="Times New Roman" w:eastAsia="宋体" w:cs="Times New Roman"/>
                <w:color w:val="auto"/>
                <w:kern w:val="0"/>
                <w:sz w:val="24"/>
                <w:szCs w:val="24"/>
                <w:u w:val="single" w:color="auto"/>
                <w:lang w:eastAsia="zh-CN"/>
              </w:rPr>
              <w:t>废物</w:t>
            </w:r>
            <w:r>
              <w:rPr>
                <w:rFonts w:hint="default" w:ascii="Times New Roman" w:hAnsi="Times New Roman" w:eastAsia="宋体" w:cs="Times New Roman"/>
                <w:color w:val="auto"/>
                <w:sz w:val="24"/>
                <w:szCs w:val="24"/>
                <w:u w:val="single" w:color="auto"/>
                <w:lang w:eastAsia="zh-CN"/>
              </w:rPr>
              <w:t>不混合收集：放入包装物或者容器内的损伤性废物不得取出。当盛装的医疗废物达到包装物或者容器的3/4时，应当使用有效的封口方式，使包装物或者容器的封口紧实、严密。</w:t>
            </w:r>
          </w:p>
          <w:p>
            <w:pPr>
              <w:rPr>
                <w:rFonts w:hint="default"/>
                <w:color w:val="auto"/>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val="en-US" w:eastAsia="zh-CN"/>
              </w:rPr>
              <w:t xml:space="preserve">5 </w:t>
            </w:r>
            <w:r>
              <w:rPr>
                <w:rFonts w:hint="default" w:ascii="Times New Roman" w:hAnsi="Times New Roman" w:eastAsia="宋体" w:cs="Times New Roman"/>
                <w:b/>
                <w:bCs/>
                <w:color w:val="auto"/>
                <w:kern w:val="0"/>
                <w:sz w:val="24"/>
                <w:szCs w:val="24"/>
                <w:u w:val="none" w:color="auto"/>
                <w:lang w:eastAsia="zh-CN"/>
              </w:rPr>
              <w:t>内外环境对本项目的影响分析</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外环境</w:t>
            </w:r>
            <w:r>
              <w:rPr>
                <w:rFonts w:hint="default" w:ascii="Times New Roman" w:hAnsi="Times New Roman" w:eastAsia="宋体" w:cs="Times New Roman"/>
                <w:color w:val="auto"/>
                <w:kern w:val="0"/>
                <w:sz w:val="24"/>
                <w:szCs w:val="24"/>
                <w:u w:val="none" w:color="auto"/>
                <w:lang w:eastAsia="zh-CN"/>
              </w:rPr>
              <w:t>对本</w:t>
            </w:r>
            <w:r>
              <w:rPr>
                <w:rFonts w:hint="default" w:ascii="Times New Roman" w:hAnsi="Times New Roman" w:eastAsia="宋体" w:cs="Times New Roman"/>
                <w:color w:val="auto"/>
                <w:sz w:val="24"/>
                <w:szCs w:val="24"/>
                <w:u w:val="none" w:color="auto"/>
                <w:lang w:eastAsia="zh-CN"/>
              </w:rPr>
              <w:t>项目影响分析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根据调查，项目周边主要以居民区为主，没有集中式生产的工业企业，故项目在区域内可能受到的主要外环境污染源为道路的汽车噪声。外环境对本项目的噪声影响主要来源于</w:t>
            </w:r>
            <w:r>
              <w:rPr>
                <w:rFonts w:hint="eastAsia" w:ascii="Times New Roman" w:hAnsi="Times New Roman" w:eastAsia="宋体" w:cs="Times New Roman"/>
                <w:color w:val="auto"/>
                <w:sz w:val="24"/>
                <w:szCs w:val="24"/>
                <w:u w:val="none" w:color="auto"/>
                <w:lang w:val="en-US" w:eastAsia="zh-CN"/>
              </w:rPr>
              <w:t>南</w:t>
            </w:r>
            <w:r>
              <w:rPr>
                <w:rFonts w:hint="default" w:ascii="Times New Roman" w:hAnsi="Times New Roman" w:eastAsia="宋体" w:cs="Times New Roman"/>
                <w:color w:val="auto"/>
                <w:sz w:val="24"/>
                <w:szCs w:val="24"/>
                <w:u w:val="none" w:color="auto"/>
                <w:lang w:eastAsia="zh-CN"/>
              </w:rPr>
              <w:t>侧马路行驶的车辆，本项目</w:t>
            </w:r>
            <w:r>
              <w:rPr>
                <w:rFonts w:hint="eastAsia" w:ascii="Times New Roman" w:hAnsi="Times New Roman" w:eastAsia="宋体" w:cs="Times New Roman"/>
                <w:color w:val="auto"/>
                <w:sz w:val="24"/>
                <w:szCs w:val="24"/>
                <w:u w:val="none" w:color="auto"/>
                <w:lang w:val="en-US" w:eastAsia="zh-CN"/>
              </w:rPr>
              <w:t>门急诊楼距</w:t>
            </w:r>
            <w:r>
              <w:rPr>
                <w:rFonts w:hint="default" w:ascii="Times New Roman" w:hAnsi="Times New Roman" w:eastAsia="宋体" w:cs="Times New Roman"/>
                <w:color w:val="auto"/>
                <w:sz w:val="24"/>
                <w:szCs w:val="24"/>
                <w:u w:val="none" w:color="auto"/>
                <w:lang w:eastAsia="zh-CN"/>
              </w:rPr>
              <w:t>道路</w:t>
            </w:r>
            <w:r>
              <w:rPr>
                <w:rFonts w:hint="default" w:ascii="Times New Roman" w:hAnsi="Times New Roman" w:eastAsia="宋体" w:cs="Times New Roman"/>
                <w:color w:val="auto"/>
                <w:sz w:val="24"/>
                <w:szCs w:val="24"/>
                <w:highlight w:val="none"/>
                <w:u w:val="none" w:color="auto"/>
                <w:lang w:eastAsia="zh-CN"/>
              </w:rPr>
              <w:t>约</w:t>
            </w:r>
            <w:r>
              <w:rPr>
                <w:rFonts w:hint="eastAsia" w:ascii="Times New Roman" w:hAnsi="Times New Roman" w:eastAsia="宋体" w:cs="Times New Roman"/>
                <w:color w:val="auto"/>
                <w:sz w:val="24"/>
                <w:szCs w:val="24"/>
                <w:highlight w:val="none"/>
                <w:u w:val="none" w:color="auto"/>
                <w:lang w:val="en-US" w:eastAsia="zh-CN"/>
              </w:rPr>
              <w:t>30</w:t>
            </w:r>
            <w:r>
              <w:rPr>
                <w:rFonts w:hint="default" w:ascii="Times New Roman" w:hAnsi="Times New Roman" w:eastAsia="宋体" w:cs="Times New Roman"/>
                <w:color w:val="auto"/>
                <w:sz w:val="24"/>
                <w:szCs w:val="24"/>
                <w:highlight w:val="none"/>
                <w:u w:val="none" w:color="auto"/>
                <w:lang w:eastAsia="zh-CN"/>
              </w:rPr>
              <w:t>m</w:t>
            </w:r>
            <w:r>
              <w:rPr>
                <w:rFonts w:hint="default" w:ascii="Times New Roman" w:hAnsi="Times New Roman" w:eastAsia="宋体" w:cs="Times New Roman"/>
                <w:color w:val="auto"/>
                <w:sz w:val="24"/>
                <w:szCs w:val="24"/>
                <w:u w:val="none" w:color="auto"/>
                <w:lang w:eastAsia="zh-CN"/>
              </w:rPr>
              <w:t>，该道路车流噪声对本项目影响较小。此外，</w:t>
            </w:r>
            <w:r>
              <w:rPr>
                <w:rFonts w:hint="eastAsia" w:ascii="Times New Roman" w:hAnsi="Times New Roman" w:eastAsia="宋体" w:cs="Times New Roman"/>
                <w:color w:val="auto"/>
                <w:sz w:val="24"/>
                <w:szCs w:val="24"/>
                <w:u w:val="none" w:color="auto"/>
                <w:lang w:val="en-US" w:eastAsia="zh-CN"/>
              </w:rPr>
              <w:t>进入院内车辆</w:t>
            </w:r>
            <w:r>
              <w:rPr>
                <w:rFonts w:hint="default" w:ascii="Times New Roman" w:hAnsi="Times New Roman" w:eastAsia="宋体" w:cs="Times New Roman"/>
                <w:color w:val="auto"/>
                <w:sz w:val="24"/>
                <w:szCs w:val="24"/>
                <w:u w:val="none" w:color="auto"/>
                <w:lang w:eastAsia="zh-CN"/>
              </w:rPr>
              <w:t>主要为病人就医时的自驾车、员工私家车等，所有车辆进入项目范围后均低速行驶，</w:t>
            </w:r>
            <w:r>
              <w:rPr>
                <w:rFonts w:hint="eastAsia" w:ascii="Times New Roman" w:hAnsi="Times New Roman" w:eastAsia="宋体" w:cs="Times New Roman"/>
                <w:color w:val="auto"/>
                <w:sz w:val="24"/>
                <w:szCs w:val="24"/>
                <w:u w:val="none" w:color="auto"/>
                <w:lang w:val="en-US" w:eastAsia="zh-CN"/>
              </w:rPr>
              <w:t>正常情况下</w:t>
            </w:r>
            <w:r>
              <w:rPr>
                <w:rFonts w:hint="default" w:ascii="Times New Roman" w:hAnsi="Times New Roman" w:eastAsia="宋体" w:cs="Times New Roman"/>
                <w:color w:val="auto"/>
                <w:sz w:val="24"/>
                <w:szCs w:val="24"/>
                <w:u w:val="none" w:color="auto"/>
                <w:lang w:eastAsia="zh-CN"/>
              </w:rPr>
              <w:t>对项目内部声环境</w:t>
            </w:r>
            <w:r>
              <w:rPr>
                <w:rFonts w:hint="eastAsia" w:ascii="Times New Roman" w:hAnsi="Times New Roman" w:eastAsia="宋体" w:cs="Times New Roman"/>
                <w:color w:val="auto"/>
                <w:sz w:val="24"/>
                <w:szCs w:val="24"/>
                <w:u w:val="none" w:color="auto"/>
                <w:lang w:val="en-US" w:eastAsia="zh-CN"/>
              </w:rPr>
              <w:t>影响较小</w:t>
            </w:r>
            <w:r>
              <w:rPr>
                <w:rFonts w:hint="default" w:ascii="Times New Roman" w:hAnsi="Times New Roman" w:eastAsia="宋体" w:cs="Times New Roman"/>
                <w:color w:val="auto"/>
                <w:sz w:val="24"/>
                <w:szCs w:val="24"/>
                <w:u w:val="none" w:color="auto"/>
                <w:lang w:eastAsia="zh-CN"/>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内环境对本项目影响分析</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本项目产生的各类污染物对自身产生影响的主要污染源为</w:t>
            </w:r>
            <w:r>
              <w:rPr>
                <w:rFonts w:hint="eastAsia" w:ascii="Times New Roman" w:hAnsi="Times New Roman" w:eastAsia="宋体" w:cs="Times New Roman"/>
                <w:color w:val="auto"/>
                <w:sz w:val="24"/>
                <w:szCs w:val="24"/>
                <w:u w:val="none" w:color="auto"/>
                <w:lang w:eastAsia="zh-CN"/>
              </w:rPr>
              <w:t>地埋式污水处理系统</w:t>
            </w:r>
            <w:r>
              <w:rPr>
                <w:rFonts w:hint="default" w:ascii="Times New Roman" w:hAnsi="Times New Roman" w:eastAsia="宋体" w:cs="Times New Roman"/>
                <w:color w:val="auto"/>
                <w:sz w:val="24"/>
                <w:szCs w:val="24"/>
                <w:u w:val="none" w:color="auto"/>
                <w:lang w:eastAsia="zh-CN"/>
              </w:rPr>
              <w:t>废气、</w:t>
            </w:r>
            <w:r>
              <w:rPr>
                <w:rFonts w:hint="eastAsia" w:ascii="Times New Roman" w:hAnsi="Times New Roman" w:eastAsia="宋体" w:cs="Times New Roman"/>
                <w:color w:val="auto"/>
                <w:sz w:val="24"/>
                <w:szCs w:val="24"/>
                <w:u w:val="none" w:color="auto"/>
                <w:lang w:val="en-US" w:eastAsia="zh-CN"/>
              </w:rPr>
              <w:t>医疗</w:t>
            </w:r>
            <w:r>
              <w:rPr>
                <w:rFonts w:hint="default" w:ascii="Times New Roman" w:hAnsi="Times New Roman" w:eastAsia="宋体" w:cs="Times New Roman"/>
                <w:color w:val="auto"/>
                <w:sz w:val="24"/>
                <w:szCs w:val="24"/>
                <w:u w:val="none" w:color="auto"/>
                <w:lang w:eastAsia="zh-CN"/>
              </w:rPr>
              <w:t>废气及噪声。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本项目</w:t>
            </w:r>
            <w:r>
              <w:rPr>
                <w:rFonts w:hint="eastAsia" w:ascii="Times New Roman" w:hAnsi="Times New Roman" w:eastAsia="宋体" w:cs="Times New Roman"/>
                <w:color w:val="auto"/>
                <w:sz w:val="24"/>
                <w:szCs w:val="24"/>
                <w:u w:val="none" w:color="auto"/>
                <w:lang w:eastAsia="zh-CN"/>
              </w:rPr>
              <w:t>污水处理站</w:t>
            </w:r>
            <w:r>
              <w:rPr>
                <w:rFonts w:hint="default" w:ascii="Times New Roman" w:hAnsi="Times New Roman" w:eastAsia="宋体" w:cs="Times New Roman"/>
                <w:color w:val="auto"/>
                <w:sz w:val="24"/>
                <w:szCs w:val="24"/>
                <w:u w:val="none" w:color="auto"/>
                <w:lang w:eastAsia="zh-CN"/>
              </w:rPr>
              <w:t>位于</w:t>
            </w:r>
            <w:r>
              <w:rPr>
                <w:rFonts w:hint="eastAsia" w:ascii="Times New Roman" w:hAnsi="Times New Roman" w:eastAsia="宋体" w:cs="Times New Roman"/>
                <w:color w:val="auto"/>
                <w:sz w:val="24"/>
                <w:szCs w:val="24"/>
                <w:u w:val="none" w:color="auto"/>
                <w:lang w:val="en-US" w:eastAsia="zh-CN"/>
              </w:rPr>
              <w:t>门急诊楼东北角</w:t>
            </w:r>
            <w:r>
              <w:rPr>
                <w:rFonts w:hint="default" w:ascii="Times New Roman" w:hAnsi="Times New Roman" w:eastAsia="宋体" w:cs="Times New Roman"/>
                <w:color w:val="auto"/>
                <w:sz w:val="24"/>
                <w:szCs w:val="24"/>
                <w:u w:val="none" w:color="auto"/>
                <w:lang w:eastAsia="zh-CN"/>
              </w:rPr>
              <w:t>，属于地埋式，采取密闭措施，经喷洒除臭剂后NH</w:t>
            </w:r>
            <w:r>
              <w:rPr>
                <w:rFonts w:hint="default" w:ascii="Times New Roman" w:hAnsi="Times New Roman" w:eastAsia="宋体" w:cs="Times New Roman"/>
                <w:color w:val="auto"/>
                <w:sz w:val="24"/>
                <w:szCs w:val="24"/>
                <w:u w:val="none" w:color="auto"/>
                <w:vertAlign w:val="subscript"/>
                <w:lang w:eastAsia="zh-CN"/>
              </w:rPr>
              <w:t>3</w:t>
            </w:r>
            <w:r>
              <w:rPr>
                <w:rFonts w:hint="default" w:ascii="Times New Roman" w:hAnsi="Times New Roman" w:eastAsia="宋体" w:cs="Times New Roman"/>
                <w:color w:val="auto"/>
                <w:sz w:val="24"/>
                <w:szCs w:val="24"/>
                <w:u w:val="none" w:color="auto"/>
                <w:lang w:eastAsia="zh-CN"/>
              </w:rPr>
              <w:t>、H</w:t>
            </w:r>
            <w:r>
              <w:rPr>
                <w:rFonts w:hint="default" w:ascii="Times New Roman" w:hAnsi="Times New Roman" w:eastAsia="宋体" w:cs="Times New Roman"/>
                <w:color w:val="auto"/>
                <w:sz w:val="24"/>
                <w:szCs w:val="24"/>
                <w:u w:val="none" w:color="auto"/>
                <w:vertAlign w:val="subscript"/>
                <w:lang w:eastAsia="zh-CN"/>
              </w:rPr>
              <w:t>2</w:t>
            </w:r>
            <w:r>
              <w:rPr>
                <w:rFonts w:hint="default" w:ascii="Times New Roman" w:hAnsi="Times New Roman" w:eastAsia="宋体" w:cs="Times New Roman"/>
                <w:color w:val="auto"/>
                <w:sz w:val="24"/>
                <w:szCs w:val="24"/>
                <w:u w:val="none" w:color="auto"/>
                <w:lang w:eastAsia="zh-CN"/>
              </w:rPr>
              <w:t>S排放浓度可达到《医疗机构水污染物排放标准》（GB18466-2005）表3污水处理设施周边大气污染物最高允许浓度的排放要求。在加强对污水处理站的运行维护与管理，并落实好除臭措施的基础上，污水处理站臭气对本项目产生的影响较小。</w:t>
            </w:r>
            <w:r>
              <w:rPr>
                <w:rFonts w:hint="eastAsia" w:ascii="Times New Roman" w:hAnsi="Times New Roman" w:eastAsia="宋体" w:cs="Times New Roman"/>
                <w:color w:val="auto"/>
                <w:sz w:val="24"/>
                <w:szCs w:val="24"/>
                <w:u w:val="none" w:color="auto"/>
                <w:lang w:val="en-US" w:eastAsia="zh-CN"/>
              </w:rPr>
              <w:t>加药机设在室内，运行时噪声影响不大</w:t>
            </w:r>
            <w:r>
              <w:rPr>
                <w:rFonts w:hint="default" w:ascii="Times New Roman" w:hAnsi="Times New Roman" w:eastAsia="宋体" w:cs="Times New Roman"/>
                <w:color w:val="auto"/>
                <w:sz w:val="24"/>
                <w:szCs w:val="24"/>
                <w:u w:val="none" w:color="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val="en-US" w:eastAsia="zh-CN"/>
              </w:rPr>
              <w:t xml:space="preserve">6 </w:t>
            </w:r>
            <w:r>
              <w:rPr>
                <w:rFonts w:hint="default" w:ascii="Times New Roman" w:hAnsi="Times New Roman" w:eastAsia="宋体" w:cs="Times New Roman"/>
                <w:b/>
                <w:bCs/>
                <w:color w:val="auto"/>
                <w:kern w:val="0"/>
                <w:sz w:val="24"/>
                <w:szCs w:val="24"/>
                <w:u w:val="none" w:color="auto"/>
                <w:lang w:eastAsia="zh-CN"/>
              </w:rPr>
              <w:t>本项目对地下水、土壤影响分析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本项目对院区地面进行</w:t>
            </w:r>
            <w:r>
              <w:rPr>
                <w:rFonts w:hint="eastAsia" w:ascii="Times New Roman" w:hAnsi="Times New Roman" w:eastAsia="宋体" w:cs="Times New Roman"/>
                <w:color w:val="auto"/>
                <w:sz w:val="24"/>
                <w:szCs w:val="24"/>
                <w:u w:val="none" w:color="auto"/>
                <w:lang w:val="en-US" w:eastAsia="zh-CN"/>
              </w:rPr>
              <w:t>了</w:t>
            </w:r>
            <w:r>
              <w:rPr>
                <w:rFonts w:hint="default" w:ascii="Times New Roman" w:hAnsi="Times New Roman" w:eastAsia="宋体" w:cs="Times New Roman"/>
                <w:color w:val="auto"/>
                <w:sz w:val="24"/>
                <w:szCs w:val="24"/>
                <w:u w:val="none" w:color="auto"/>
                <w:lang w:eastAsia="zh-CN"/>
              </w:rPr>
              <w:t>硬化，一般固废暂存间将按照《一般工业固体废物贮存和填埋污染控制标准》（GB18599-2020）中相关要求进行建设。医疗废物暂存间将按照《危险废物贮存污染控制标准》（GB18597-2</w:t>
            </w:r>
            <w:r>
              <w:rPr>
                <w:rFonts w:hint="eastAsia" w:ascii="Times New Roman" w:hAnsi="Times New Roman" w:eastAsia="宋体" w:cs="Times New Roman"/>
                <w:color w:val="auto"/>
                <w:sz w:val="24"/>
                <w:szCs w:val="24"/>
                <w:u w:val="none" w:color="auto"/>
                <w:lang w:val="en-US" w:eastAsia="zh-CN"/>
              </w:rPr>
              <w:t>023</w:t>
            </w:r>
            <w:r>
              <w:rPr>
                <w:rFonts w:hint="default" w:ascii="Times New Roman" w:hAnsi="Times New Roman" w:eastAsia="宋体" w:cs="Times New Roman"/>
                <w:color w:val="auto"/>
                <w:sz w:val="24"/>
                <w:szCs w:val="24"/>
                <w:u w:val="none" w:color="auto"/>
                <w:lang w:eastAsia="zh-CN"/>
              </w:rPr>
              <w:t>）、《医疗废物集中处置技术规范》（环发〔2003〕206号）和《医疗废物管理条例》中相关要求进行建设。项目不需要进行地下水、土壤跟踪监测。</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val="en-US" w:eastAsia="zh-CN"/>
              </w:rPr>
              <w:t xml:space="preserve">7 </w:t>
            </w:r>
            <w:r>
              <w:rPr>
                <w:rFonts w:hint="default" w:ascii="Times New Roman" w:hAnsi="Times New Roman" w:eastAsia="宋体" w:cs="Times New Roman"/>
                <w:b/>
                <w:bCs/>
                <w:color w:val="auto"/>
                <w:kern w:val="0"/>
                <w:sz w:val="24"/>
                <w:szCs w:val="24"/>
                <w:u w:val="none" w:color="auto"/>
                <w:lang w:eastAsia="zh-CN"/>
              </w:rPr>
              <w:t>本项目对生态环境影响分析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本项目在院内进行改扩建，未新增用地，施工期短，采取</w:t>
            </w:r>
            <w:r>
              <w:rPr>
                <w:rFonts w:hint="eastAsia" w:ascii="Times New Roman" w:hAnsi="Times New Roman" w:eastAsia="宋体" w:cs="Times New Roman"/>
                <w:color w:val="auto"/>
                <w:sz w:val="24"/>
                <w:szCs w:val="24"/>
                <w:u w:val="none" w:color="auto"/>
                <w:lang w:val="en-US" w:eastAsia="zh-CN"/>
              </w:rPr>
              <w:t>一系列措施</w:t>
            </w:r>
            <w:r>
              <w:rPr>
                <w:rFonts w:hint="default" w:ascii="Times New Roman" w:hAnsi="Times New Roman" w:eastAsia="宋体" w:cs="Times New Roman"/>
                <w:color w:val="auto"/>
                <w:sz w:val="24"/>
                <w:szCs w:val="24"/>
                <w:u w:val="none" w:color="auto"/>
                <w:lang w:eastAsia="zh-CN"/>
              </w:rPr>
              <w:t>情况下，</w:t>
            </w:r>
            <w:r>
              <w:rPr>
                <w:rFonts w:hint="eastAsia" w:ascii="Times New Roman" w:hAnsi="Times New Roman" w:eastAsia="宋体" w:cs="Times New Roman"/>
                <w:color w:val="auto"/>
                <w:sz w:val="24"/>
                <w:szCs w:val="24"/>
                <w:u w:val="none" w:color="auto"/>
                <w:lang w:val="en-US" w:eastAsia="zh-CN"/>
              </w:rPr>
              <w:t>生态环境</w:t>
            </w:r>
            <w:r>
              <w:rPr>
                <w:rFonts w:hint="default" w:ascii="Times New Roman" w:hAnsi="Times New Roman" w:eastAsia="宋体" w:cs="Times New Roman"/>
                <w:color w:val="auto"/>
                <w:sz w:val="24"/>
                <w:szCs w:val="24"/>
                <w:u w:val="none" w:color="auto"/>
                <w:lang w:eastAsia="zh-CN"/>
              </w:rPr>
              <w:t>影响较小。</w:t>
            </w:r>
          </w:p>
          <w:p>
            <w:pPr>
              <w:pStyle w:val="10"/>
              <w:rPr>
                <w:rFonts w:hint="default"/>
                <w:color w:val="auto"/>
                <w:lang w:eastAsia="zh-CN"/>
              </w:rPr>
            </w:pPr>
          </w:p>
          <w:p>
            <w:pPr>
              <w:pStyle w:val="11"/>
              <w:rPr>
                <w:rFonts w:hint="default"/>
                <w:color w:val="auto"/>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val="en-US" w:eastAsia="zh-CN"/>
              </w:rPr>
              <w:t xml:space="preserve">8 </w:t>
            </w:r>
            <w:r>
              <w:rPr>
                <w:rFonts w:hint="default" w:ascii="Times New Roman" w:hAnsi="Times New Roman" w:eastAsia="宋体" w:cs="Times New Roman"/>
                <w:b/>
                <w:bCs/>
                <w:color w:val="auto"/>
                <w:kern w:val="0"/>
                <w:sz w:val="24"/>
                <w:szCs w:val="24"/>
                <w:u w:val="none" w:color="auto"/>
                <w:lang w:eastAsia="zh-CN"/>
              </w:rPr>
              <w:t>环境风险</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1</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lang w:eastAsia="zh-CN"/>
              </w:rPr>
              <w:t>风险源调查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本项目涉及有毒</w:t>
            </w:r>
            <w:r>
              <w:rPr>
                <w:rFonts w:hint="default" w:ascii="Times New Roman" w:hAnsi="Times New Roman" w:eastAsia="宋体" w:cs="Times New Roman"/>
                <w:color w:val="auto"/>
                <w:kern w:val="0"/>
                <w:sz w:val="24"/>
                <w:szCs w:val="24"/>
                <w:u w:val="none" w:color="auto"/>
              </w:rPr>
              <w:t>有害</w:t>
            </w:r>
            <w:r>
              <w:rPr>
                <w:rFonts w:hint="default" w:ascii="Times New Roman" w:hAnsi="Times New Roman" w:eastAsia="宋体" w:cs="Times New Roman"/>
                <w:color w:val="auto"/>
                <w:sz w:val="24"/>
                <w:szCs w:val="24"/>
                <w:u w:val="none" w:color="auto"/>
              </w:rPr>
              <w:t>和易燃易爆等危险物质和风险源分布情况详见下表。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表4-</w:t>
            </w:r>
            <w:r>
              <w:rPr>
                <w:rFonts w:hint="eastAsia" w:ascii="Times New Roman" w:hAnsi="Times New Roman" w:eastAsia="宋体" w:cs="Times New Roman"/>
                <w:color w:val="auto"/>
                <w:sz w:val="24"/>
                <w:szCs w:val="24"/>
                <w:u w:val="none" w:color="auto"/>
                <w:lang w:val="en-US" w:eastAsia="zh-CN"/>
              </w:rPr>
              <w:t>1</w:t>
            </w:r>
            <w:r>
              <w:rPr>
                <w:rFonts w:hint="eastAsia" w:cs="Times New Roman"/>
                <w:color w:val="auto"/>
                <w:sz w:val="24"/>
                <w:szCs w:val="24"/>
                <w:u w:val="none" w:color="auto"/>
                <w:lang w:val="en-US" w:eastAsia="zh-CN"/>
              </w:rPr>
              <w:t>5</w:t>
            </w:r>
            <w:r>
              <w:rPr>
                <w:rFonts w:hint="eastAsia"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rPr>
              <w:t>危险物质和风险源分布情况一览表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063"/>
              <w:gridCol w:w="1762"/>
              <w:gridCol w:w="1688"/>
              <w:gridCol w:w="125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pStyle w:val="49"/>
                    <w:bidi w:val="0"/>
                    <w:rPr>
                      <w:rFonts w:hint="default"/>
                      <w:color w:val="auto"/>
                    </w:rPr>
                  </w:pPr>
                  <w:r>
                    <w:rPr>
                      <w:rFonts w:hint="default"/>
                      <w:color w:val="auto"/>
                    </w:rPr>
                    <w:t>序号</w:t>
                  </w:r>
                </w:p>
              </w:tc>
              <w:tc>
                <w:tcPr>
                  <w:tcW w:w="1063" w:type="dxa"/>
                  <w:noWrap w:val="0"/>
                  <w:vAlign w:val="center"/>
                </w:tcPr>
                <w:p>
                  <w:pPr>
                    <w:pStyle w:val="49"/>
                    <w:bidi w:val="0"/>
                    <w:rPr>
                      <w:rFonts w:hint="default"/>
                      <w:color w:val="auto"/>
                    </w:rPr>
                  </w:pPr>
                  <w:r>
                    <w:rPr>
                      <w:rFonts w:hint="default"/>
                      <w:color w:val="auto"/>
                    </w:rPr>
                    <w:t>危险物质</w:t>
                  </w:r>
                </w:p>
              </w:tc>
              <w:tc>
                <w:tcPr>
                  <w:tcW w:w="1762" w:type="dxa"/>
                  <w:noWrap w:val="0"/>
                  <w:vAlign w:val="center"/>
                </w:tcPr>
                <w:p>
                  <w:pPr>
                    <w:pStyle w:val="49"/>
                    <w:bidi w:val="0"/>
                    <w:rPr>
                      <w:rFonts w:hint="default"/>
                      <w:color w:val="auto"/>
                    </w:rPr>
                  </w:pPr>
                  <w:r>
                    <w:rPr>
                      <w:rFonts w:hint="default"/>
                      <w:color w:val="auto"/>
                    </w:rPr>
                    <w:t>分布情况</w:t>
                  </w:r>
                </w:p>
              </w:tc>
              <w:tc>
                <w:tcPr>
                  <w:tcW w:w="1688" w:type="dxa"/>
                  <w:noWrap w:val="0"/>
                  <w:vAlign w:val="center"/>
                </w:tcPr>
                <w:p>
                  <w:pPr>
                    <w:pStyle w:val="49"/>
                    <w:bidi w:val="0"/>
                    <w:rPr>
                      <w:rFonts w:hint="default"/>
                      <w:color w:val="auto"/>
                    </w:rPr>
                  </w:pPr>
                  <w:r>
                    <w:rPr>
                      <w:rFonts w:hint="default"/>
                      <w:color w:val="auto"/>
                    </w:rPr>
                    <w:t>最大存在量/t</w:t>
                  </w:r>
                </w:p>
              </w:tc>
              <w:tc>
                <w:tcPr>
                  <w:tcW w:w="1250" w:type="dxa"/>
                  <w:noWrap w:val="0"/>
                  <w:vAlign w:val="center"/>
                </w:tcPr>
                <w:p>
                  <w:pPr>
                    <w:pStyle w:val="49"/>
                    <w:bidi w:val="0"/>
                    <w:rPr>
                      <w:rFonts w:hint="default"/>
                      <w:color w:val="auto"/>
                    </w:rPr>
                  </w:pPr>
                  <w:r>
                    <w:rPr>
                      <w:rFonts w:hint="default"/>
                      <w:color w:val="auto"/>
                    </w:rPr>
                    <w:t>临界量/t</w:t>
                  </w:r>
                </w:p>
              </w:tc>
              <w:tc>
                <w:tcPr>
                  <w:tcW w:w="1506" w:type="dxa"/>
                  <w:noWrap w:val="0"/>
                  <w:vAlign w:val="center"/>
                </w:tcPr>
                <w:p>
                  <w:pPr>
                    <w:pStyle w:val="49"/>
                    <w:bidi w:val="0"/>
                    <w:rPr>
                      <w:rFonts w:hint="default"/>
                      <w:color w:val="auto"/>
                    </w:rPr>
                  </w:pPr>
                  <w:r>
                    <w:rPr>
                      <w:rFonts w:hint="default"/>
                      <w:color w:val="auto"/>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pStyle w:val="49"/>
                    <w:bidi w:val="0"/>
                    <w:rPr>
                      <w:rFonts w:hint="default"/>
                      <w:color w:val="auto"/>
                    </w:rPr>
                  </w:pPr>
                  <w:r>
                    <w:rPr>
                      <w:rFonts w:hint="default"/>
                      <w:color w:val="auto"/>
                    </w:rPr>
                    <w:t>1</w:t>
                  </w:r>
                </w:p>
              </w:tc>
              <w:tc>
                <w:tcPr>
                  <w:tcW w:w="1063" w:type="dxa"/>
                  <w:noWrap w:val="0"/>
                  <w:vAlign w:val="center"/>
                </w:tcPr>
                <w:p>
                  <w:pPr>
                    <w:pStyle w:val="49"/>
                    <w:bidi w:val="0"/>
                    <w:rPr>
                      <w:rFonts w:hint="default"/>
                      <w:color w:val="auto"/>
                    </w:rPr>
                  </w:pPr>
                  <w:r>
                    <w:rPr>
                      <w:rFonts w:hint="default"/>
                      <w:color w:val="auto"/>
                    </w:rPr>
                    <w:t>酒精</w:t>
                  </w:r>
                </w:p>
              </w:tc>
              <w:tc>
                <w:tcPr>
                  <w:tcW w:w="1762" w:type="dxa"/>
                  <w:noWrap w:val="0"/>
                  <w:vAlign w:val="center"/>
                </w:tcPr>
                <w:p>
                  <w:pPr>
                    <w:pStyle w:val="49"/>
                    <w:bidi w:val="0"/>
                    <w:rPr>
                      <w:rFonts w:hint="default"/>
                      <w:color w:val="auto"/>
                    </w:rPr>
                  </w:pPr>
                  <w:r>
                    <w:rPr>
                      <w:rFonts w:hint="default"/>
                      <w:color w:val="auto"/>
                    </w:rPr>
                    <w:t>库房</w:t>
                  </w:r>
                </w:p>
              </w:tc>
              <w:tc>
                <w:tcPr>
                  <w:tcW w:w="1688" w:type="dxa"/>
                  <w:noWrap w:val="0"/>
                  <w:vAlign w:val="center"/>
                </w:tcPr>
                <w:p>
                  <w:pPr>
                    <w:pStyle w:val="49"/>
                    <w:bidi w:val="0"/>
                    <w:rPr>
                      <w:rFonts w:hint="default"/>
                      <w:color w:val="auto"/>
                    </w:rPr>
                  </w:pPr>
                  <w:r>
                    <w:rPr>
                      <w:rFonts w:hint="default"/>
                      <w:color w:val="auto"/>
                    </w:rPr>
                    <w:t>0.01</w:t>
                  </w:r>
                </w:p>
              </w:tc>
              <w:tc>
                <w:tcPr>
                  <w:tcW w:w="1250" w:type="dxa"/>
                  <w:noWrap w:val="0"/>
                  <w:vAlign w:val="center"/>
                </w:tcPr>
                <w:p>
                  <w:pPr>
                    <w:pStyle w:val="49"/>
                    <w:bidi w:val="0"/>
                    <w:rPr>
                      <w:rFonts w:hint="default"/>
                      <w:color w:val="auto"/>
                    </w:rPr>
                  </w:pPr>
                  <w:r>
                    <w:rPr>
                      <w:rFonts w:hint="default"/>
                      <w:color w:val="auto"/>
                    </w:rPr>
                    <w:t>50</w:t>
                  </w:r>
                </w:p>
              </w:tc>
              <w:tc>
                <w:tcPr>
                  <w:tcW w:w="1506" w:type="dxa"/>
                  <w:noWrap w:val="0"/>
                  <w:vAlign w:val="center"/>
                </w:tcPr>
                <w:p>
                  <w:pPr>
                    <w:pStyle w:val="49"/>
                    <w:bidi w:val="0"/>
                    <w:rPr>
                      <w:rFonts w:hint="default"/>
                      <w:color w:val="auto"/>
                    </w:rPr>
                  </w:pPr>
                  <w:r>
                    <w:rPr>
                      <w:rFonts w:hint="default"/>
                      <w:color w:val="auto"/>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pStyle w:val="49"/>
                    <w:bidi w:val="0"/>
                    <w:rPr>
                      <w:rFonts w:hint="default"/>
                      <w:color w:val="auto"/>
                    </w:rPr>
                  </w:pPr>
                  <w:r>
                    <w:rPr>
                      <w:rFonts w:hint="default"/>
                      <w:color w:val="auto"/>
                    </w:rPr>
                    <w:t>2</w:t>
                  </w:r>
                </w:p>
              </w:tc>
              <w:tc>
                <w:tcPr>
                  <w:tcW w:w="1063" w:type="dxa"/>
                  <w:noWrap w:val="0"/>
                  <w:vAlign w:val="center"/>
                </w:tcPr>
                <w:p>
                  <w:pPr>
                    <w:pStyle w:val="49"/>
                    <w:bidi w:val="0"/>
                    <w:rPr>
                      <w:rFonts w:hint="default"/>
                      <w:color w:val="auto"/>
                    </w:rPr>
                  </w:pPr>
                  <w:r>
                    <w:rPr>
                      <w:rFonts w:hint="default"/>
                      <w:color w:val="auto"/>
                    </w:rPr>
                    <w:t>柴油</w:t>
                  </w:r>
                </w:p>
              </w:tc>
              <w:tc>
                <w:tcPr>
                  <w:tcW w:w="1762" w:type="dxa"/>
                  <w:noWrap w:val="0"/>
                  <w:vAlign w:val="center"/>
                </w:tcPr>
                <w:p>
                  <w:pPr>
                    <w:pStyle w:val="49"/>
                    <w:bidi w:val="0"/>
                    <w:rPr>
                      <w:rFonts w:hint="default"/>
                      <w:color w:val="auto"/>
                    </w:rPr>
                  </w:pPr>
                  <w:r>
                    <w:rPr>
                      <w:rFonts w:hint="default"/>
                      <w:color w:val="auto"/>
                    </w:rPr>
                    <w:t>发电机房</w:t>
                  </w:r>
                </w:p>
              </w:tc>
              <w:tc>
                <w:tcPr>
                  <w:tcW w:w="1688" w:type="dxa"/>
                  <w:noWrap w:val="0"/>
                  <w:vAlign w:val="center"/>
                </w:tcPr>
                <w:p>
                  <w:pPr>
                    <w:pStyle w:val="49"/>
                    <w:bidi w:val="0"/>
                    <w:rPr>
                      <w:rFonts w:hint="default"/>
                      <w:color w:val="auto"/>
                    </w:rPr>
                  </w:pPr>
                  <w:r>
                    <w:rPr>
                      <w:rFonts w:hint="default"/>
                      <w:color w:val="auto"/>
                    </w:rPr>
                    <w:t>0.1</w:t>
                  </w:r>
                </w:p>
              </w:tc>
              <w:tc>
                <w:tcPr>
                  <w:tcW w:w="1250" w:type="dxa"/>
                  <w:noWrap w:val="0"/>
                  <w:vAlign w:val="center"/>
                </w:tcPr>
                <w:p>
                  <w:pPr>
                    <w:pStyle w:val="49"/>
                    <w:bidi w:val="0"/>
                    <w:rPr>
                      <w:rFonts w:hint="default"/>
                      <w:color w:val="auto"/>
                    </w:rPr>
                  </w:pPr>
                  <w:r>
                    <w:rPr>
                      <w:rFonts w:hint="default"/>
                      <w:color w:val="auto"/>
                    </w:rPr>
                    <w:t>2500</w:t>
                  </w:r>
                </w:p>
              </w:tc>
              <w:tc>
                <w:tcPr>
                  <w:tcW w:w="1506" w:type="dxa"/>
                  <w:noWrap w:val="0"/>
                  <w:vAlign w:val="center"/>
                </w:tcPr>
                <w:p>
                  <w:pPr>
                    <w:pStyle w:val="49"/>
                    <w:bidi w:val="0"/>
                    <w:rPr>
                      <w:rFonts w:hint="default"/>
                      <w:color w:val="auto"/>
                    </w:rPr>
                  </w:pPr>
                  <w:r>
                    <w:rPr>
                      <w:rFonts w:hint="default"/>
                      <w:color w:val="auto"/>
                    </w:rPr>
                    <w:t>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pStyle w:val="49"/>
                    <w:bidi w:val="0"/>
                    <w:rPr>
                      <w:rFonts w:hint="default"/>
                      <w:color w:val="auto"/>
                    </w:rPr>
                  </w:pPr>
                  <w:r>
                    <w:rPr>
                      <w:rFonts w:hint="default"/>
                      <w:color w:val="auto"/>
                    </w:rPr>
                    <w:t>3</w:t>
                  </w:r>
                </w:p>
              </w:tc>
              <w:tc>
                <w:tcPr>
                  <w:tcW w:w="1063" w:type="dxa"/>
                  <w:noWrap w:val="0"/>
                  <w:vAlign w:val="center"/>
                </w:tcPr>
                <w:p>
                  <w:pPr>
                    <w:pStyle w:val="49"/>
                    <w:bidi w:val="0"/>
                    <w:rPr>
                      <w:rFonts w:hint="default"/>
                      <w:color w:val="auto"/>
                    </w:rPr>
                  </w:pPr>
                  <w:r>
                    <w:rPr>
                      <w:rFonts w:hint="default"/>
                      <w:color w:val="auto"/>
                    </w:rPr>
                    <w:t>二氧化氯</w:t>
                  </w:r>
                </w:p>
              </w:tc>
              <w:tc>
                <w:tcPr>
                  <w:tcW w:w="1762" w:type="dxa"/>
                  <w:noWrap w:val="0"/>
                  <w:vAlign w:val="center"/>
                </w:tcPr>
                <w:p>
                  <w:pPr>
                    <w:pStyle w:val="49"/>
                    <w:bidi w:val="0"/>
                    <w:rPr>
                      <w:rFonts w:hint="default"/>
                      <w:color w:val="auto"/>
                    </w:rPr>
                  </w:pPr>
                  <w:r>
                    <w:rPr>
                      <w:rFonts w:hint="default"/>
                      <w:color w:val="auto"/>
                    </w:rPr>
                    <w:t>污水处理站</w:t>
                  </w:r>
                </w:p>
              </w:tc>
              <w:tc>
                <w:tcPr>
                  <w:tcW w:w="1688" w:type="dxa"/>
                  <w:noWrap w:val="0"/>
                  <w:vAlign w:val="center"/>
                </w:tcPr>
                <w:p>
                  <w:pPr>
                    <w:pStyle w:val="49"/>
                    <w:bidi w:val="0"/>
                    <w:rPr>
                      <w:rFonts w:hint="default"/>
                      <w:color w:val="auto"/>
                    </w:rPr>
                  </w:pPr>
                  <w:r>
                    <w:rPr>
                      <w:rFonts w:hint="default"/>
                      <w:color w:val="auto"/>
                    </w:rPr>
                    <w:t>0.01</w:t>
                  </w:r>
                </w:p>
              </w:tc>
              <w:tc>
                <w:tcPr>
                  <w:tcW w:w="1250" w:type="dxa"/>
                  <w:noWrap w:val="0"/>
                  <w:vAlign w:val="center"/>
                </w:tcPr>
                <w:p>
                  <w:pPr>
                    <w:pStyle w:val="49"/>
                    <w:bidi w:val="0"/>
                    <w:rPr>
                      <w:rFonts w:hint="default"/>
                      <w:color w:val="auto"/>
                    </w:rPr>
                  </w:pPr>
                  <w:r>
                    <w:rPr>
                      <w:rFonts w:hint="default"/>
                      <w:color w:val="auto"/>
                    </w:rPr>
                    <w:t>0.5</w:t>
                  </w:r>
                </w:p>
              </w:tc>
              <w:tc>
                <w:tcPr>
                  <w:tcW w:w="1506" w:type="dxa"/>
                  <w:noWrap w:val="0"/>
                  <w:vAlign w:val="center"/>
                </w:tcPr>
                <w:p>
                  <w:pPr>
                    <w:pStyle w:val="49"/>
                    <w:bidi w:val="0"/>
                    <w:rPr>
                      <w:rFonts w:hint="default"/>
                      <w:color w:val="auto"/>
                    </w:rPr>
                  </w:pPr>
                  <w:r>
                    <w:rPr>
                      <w:rFonts w:hint="default"/>
                      <w:color w:val="auto"/>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pStyle w:val="49"/>
                    <w:bidi w:val="0"/>
                    <w:rPr>
                      <w:rFonts w:hint="default"/>
                      <w:color w:val="auto"/>
                    </w:rPr>
                  </w:pPr>
                  <w:r>
                    <w:rPr>
                      <w:rFonts w:hint="default"/>
                      <w:color w:val="auto"/>
                    </w:rPr>
                    <w:t>4</w:t>
                  </w:r>
                </w:p>
              </w:tc>
              <w:tc>
                <w:tcPr>
                  <w:tcW w:w="1063" w:type="dxa"/>
                  <w:noWrap w:val="0"/>
                  <w:vAlign w:val="center"/>
                </w:tcPr>
                <w:p>
                  <w:pPr>
                    <w:pStyle w:val="49"/>
                    <w:bidi w:val="0"/>
                    <w:rPr>
                      <w:rFonts w:hint="default"/>
                      <w:color w:val="auto"/>
                    </w:rPr>
                  </w:pPr>
                  <w:r>
                    <w:rPr>
                      <w:rFonts w:hint="default"/>
                      <w:color w:val="auto"/>
                    </w:rPr>
                    <w:t>医疗废物</w:t>
                  </w:r>
                </w:p>
              </w:tc>
              <w:tc>
                <w:tcPr>
                  <w:tcW w:w="1762" w:type="dxa"/>
                  <w:noWrap w:val="0"/>
                  <w:vAlign w:val="center"/>
                </w:tcPr>
                <w:p>
                  <w:pPr>
                    <w:pStyle w:val="49"/>
                    <w:bidi w:val="0"/>
                    <w:rPr>
                      <w:rFonts w:hint="default"/>
                      <w:color w:val="auto"/>
                    </w:rPr>
                  </w:pPr>
                  <w:r>
                    <w:rPr>
                      <w:rFonts w:hint="default"/>
                      <w:color w:val="auto"/>
                    </w:rPr>
                    <w:t>医疗废物暂存间</w:t>
                  </w:r>
                </w:p>
              </w:tc>
              <w:tc>
                <w:tcPr>
                  <w:tcW w:w="1688" w:type="dxa"/>
                  <w:noWrap w:val="0"/>
                  <w:vAlign w:val="center"/>
                </w:tcPr>
                <w:p>
                  <w:pPr>
                    <w:pStyle w:val="49"/>
                    <w:bidi w:val="0"/>
                    <w:rPr>
                      <w:rFonts w:hint="default"/>
                      <w:color w:val="auto"/>
                      <w:lang w:val="en-US"/>
                    </w:rPr>
                  </w:pPr>
                  <w:r>
                    <w:rPr>
                      <w:rFonts w:hint="eastAsia"/>
                      <w:color w:val="auto"/>
                      <w:lang w:val="en-US" w:eastAsia="zh-CN"/>
                    </w:rPr>
                    <w:t>0.068</w:t>
                  </w:r>
                </w:p>
              </w:tc>
              <w:tc>
                <w:tcPr>
                  <w:tcW w:w="1250" w:type="dxa"/>
                  <w:noWrap w:val="0"/>
                  <w:vAlign w:val="center"/>
                </w:tcPr>
                <w:p>
                  <w:pPr>
                    <w:pStyle w:val="49"/>
                    <w:bidi w:val="0"/>
                    <w:rPr>
                      <w:rFonts w:hint="default"/>
                      <w:color w:val="auto"/>
                    </w:rPr>
                  </w:pPr>
                  <w:r>
                    <w:rPr>
                      <w:rFonts w:hint="default"/>
                      <w:color w:val="auto"/>
                    </w:rPr>
                    <w:t>50</w:t>
                  </w:r>
                </w:p>
              </w:tc>
              <w:tc>
                <w:tcPr>
                  <w:tcW w:w="1506" w:type="dxa"/>
                  <w:noWrap w:val="0"/>
                  <w:vAlign w:val="center"/>
                </w:tcPr>
                <w:p>
                  <w:pPr>
                    <w:pStyle w:val="49"/>
                    <w:bidi w:val="0"/>
                    <w:rPr>
                      <w:rFonts w:hint="default"/>
                      <w:color w:val="auto"/>
                      <w:lang w:val="en-US" w:eastAsia="zh-CN"/>
                    </w:rPr>
                  </w:pPr>
                  <w:r>
                    <w:rPr>
                      <w:rFonts w:hint="default"/>
                      <w:color w:val="auto"/>
                    </w:rPr>
                    <w:t>0.00</w:t>
                  </w:r>
                  <w:r>
                    <w:rPr>
                      <w:rFonts w:hint="eastAsia"/>
                      <w:color w:val="auto"/>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0" w:type="dxa"/>
                  <w:gridSpan w:val="5"/>
                  <w:noWrap w:val="0"/>
                  <w:vAlign w:val="center"/>
                </w:tcPr>
                <w:p>
                  <w:pPr>
                    <w:pStyle w:val="49"/>
                    <w:bidi w:val="0"/>
                    <w:rPr>
                      <w:rFonts w:hint="default"/>
                      <w:color w:val="auto"/>
                    </w:rPr>
                  </w:pPr>
                  <w:r>
                    <w:rPr>
                      <w:rFonts w:hint="default"/>
                      <w:color w:val="auto"/>
                    </w:rPr>
                    <w:t>项目Q值合计</w:t>
                  </w:r>
                </w:p>
              </w:tc>
              <w:tc>
                <w:tcPr>
                  <w:tcW w:w="1506" w:type="dxa"/>
                  <w:noWrap w:val="0"/>
                  <w:vAlign w:val="center"/>
                </w:tcPr>
                <w:p>
                  <w:pPr>
                    <w:pStyle w:val="49"/>
                    <w:bidi w:val="0"/>
                    <w:rPr>
                      <w:rFonts w:hint="default"/>
                      <w:color w:val="auto"/>
                      <w:lang w:val="en-US"/>
                    </w:rPr>
                  </w:pPr>
                  <w:r>
                    <w:rPr>
                      <w:rFonts w:hint="default"/>
                      <w:color w:val="auto"/>
                    </w:rPr>
                    <w:t>0.02</w:t>
                  </w:r>
                  <w:r>
                    <w:rPr>
                      <w:rFonts w:hint="eastAsia"/>
                      <w:color w:val="auto"/>
                      <w:lang w:val="en-US" w:eastAsia="zh-CN"/>
                    </w:rPr>
                    <w:t>16</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left"/>
              <w:textAlignment w:val="auto"/>
              <w:rPr>
                <w:rFonts w:hint="default" w:ascii="Times New Roman" w:hAnsi="Times New Roman" w:eastAsia="宋体" w:cs="Times New Roman"/>
                <w:color w:val="auto"/>
                <w:spacing w:val="-3"/>
                <w:sz w:val="24"/>
                <w:szCs w:val="24"/>
                <w:u w:val="none" w:color="auto"/>
              </w:rPr>
            </w:pPr>
            <w:r>
              <w:rPr>
                <w:rFonts w:hint="default" w:ascii="Times New Roman" w:hAnsi="Times New Roman" w:eastAsia="宋体" w:cs="Times New Roman"/>
                <w:color w:val="auto"/>
                <w:spacing w:val="-9"/>
                <w:sz w:val="24"/>
                <w:szCs w:val="24"/>
                <w:u w:val="none" w:color="auto"/>
              </w:rPr>
              <w:t>由上表</w:t>
            </w:r>
            <w:r>
              <w:rPr>
                <w:rFonts w:hint="default" w:ascii="Times New Roman" w:hAnsi="Times New Roman" w:eastAsia="宋体" w:cs="Times New Roman"/>
                <w:color w:val="auto"/>
                <w:kern w:val="0"/>
                <w:sz w:val="24"/>
                <w:szCs w:val="24"/>
                <w:u w:val="none" w:color="auto"/>
              </w:rPr>
              <w:t>可知</w:t>
            </w:r>
            <w:r>
              <w:rPr>
                <w:rFonts w:hint="default" w:ascii="Times New Roman" w:hAnsi="Times New Roman" w:eastAsia="宋体" w:cs="Times New Roman"/>
                <w:color w:val="auto"/>
                <w:spacing w:val="-9"/>
                <w:sz w:val="24"/>
                <w:szCs w:val="24"/>
                <w:u w:val="none" w:color="auto"/>
              </w:rPr>
              <w:t>，Q</w:t>
            </w:r>
            <w:r>
              <w:rPr>
                <w:rFonts w:hint="default" w:ascii="Times New Roman" w:hAnsi="Times New Roman" w:eastAsia="宋体" w:cs="Times New Roman"/>
                <w:color w:val="auto"/>
                <w:sz w:val="24"/>
                <w:szCs w:val="24"/>
                <w:u w:val="none" w:color="auto"/>
              </w:rPr>
              <w:t>值为</w:t>
            </w:r>
            <w:r>
              <w:rPr>
                <w:rFonts w:hint="default" w:ascii="Times New Roman" w:hAnsi="Times New Roman" w:eastAsia="宋体" w:cs="Times New Roman"/>
                <w:color w:val="auto"/>
                <w:spacing w:val="-6"/>
                <w:sz w:val="24"/>
                <w:szCs w:val="24"/>
                <w:u w:val="none" w:color="auto"/>
              </w:rPr>
              <w:t>0.</w:t>
            </w:r>
            <w:r>
              <w:rPr>
                <w:rFonts w:hint="eastAsia" w:ascii="Times New Roman" w:hAnsi="Times New Roman" w:eastAsia="宋体" w:cs="Times New Roman"/>
                <w:color w:val="auto"/>
                <w:spacing w:val="-6"/>
                <w:sz w:val="24"/>
                <w:szCs w:val="24"/>
                <w:u w:val="none" w:color="auto"/>
                <w:lang w:val="en-US" w:eastAsia="zh-CN"/>
              </w:rPr>
              <w:t>02</w:t>
            </w:r>
            <w:r>
              <w:rPr>
                <w:rFonts w:hint="eastAsia" w:cs="Times New Roman"/>
                <w:color w:val="auto"/>
                <w:spacing w:val="-6"/>
                <w:sz w:val="24"/>
                <w:szCs w:val="24"/>
                <w:u w:val="none" w:color="auto"/>
                <w:lang w:val="en-US" w:eastAsia="zh-CN"/>
              </w:rPr>
              <w:t>16</w:t>
            </w:r>
            <w:r>
              <w:rPr>
                <w:rFonts w:hint="default" w:ascii="Times New Roman" w:hAnsi="Times New Roman" w:eastAsia="宋体" w:cs="Times New Roman"/>
                <w:color w:val="auto"/>
                <w:spacing w:val="-6"/>
                <w:sz w:val="24"/>
                <w:szCs w:val="24"/>
                <w:u w:val="none" w:color="auto"/>
              </w:rPr>
              <w:t>，属于</w:t>
            </w:r>
            <w:r>
              <w:rPr>
                <w:rFonts w:hint="default" w:ascii="Times New Roman" w:hAnsi="Times New Roman" w:eastAsia="宋体" w:cs="Times New Roman"/>
                <w:color w:val="auto"/>
                <w:spacing w:val="-3"/>
                <w:sz w:val="24"/>
                <w:szCs w:val="24"/>
                <w:u w:val="none" w:color="auto"/>
              </w:rPr>
              <w:t>Q＜1，因此可判定本项目环境风险潜势为Ⅰ。</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2</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lang w:eastAsia="zh-CN"/>
              </w:rPr>
              <w:t>环境影响途径及环境风险防范措施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①</w:t>
            </w:r>
            <w:r>
              <w:rPr>
                <w:rFonts w:hint="eastAsia" w:cs="Times New Roman"/>
                <w:color w:val="auto"/>
                <w:spacing w:val="-3"/>
                <w:sz w:val="24"/>
                <w:szCs w:val="24"/>
                <w:u w:val="none" w:color="auto"/>
                <w:lang w:val="en-US" w:eastAsia="zh-CN"/>
              </w:rPr>
              <w:t>化学品泄漏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环境影响途径：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医院使用的酒精消毒剂具有易挥发性、易燃性等特征。若酒精泄漏遇明火可能会发生火灾事件，火灾烟气对大气环境会产生不利影响，从而危害人的身体健康。</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风险防范</w:t>
            </w:r>
            <w:r>
              <w:rPr>
                <w:rFonts w:hint="default" w:ascii="Times New Roman" w:hAnsi="Times New Roman" w:eastAsia="宋体" w:cs="Times New Roman"/>
                <w:color w:val="auto"/>
                <w:kern w:val="0"/>
                <w:sz w:val="24"/>
                <w:szCs w:val="24"/>
                <w:u w:val="none" w:color="auto"/>
                <w:lang w:eastAsia="zh-CN"/>
              </w:rPr>
              <w:t>措施</w:t>
            </w:r>
            <w:r>
              <w:rPr>
                <w:rFonts w:hint="default" w:ascii="Times New Roman" w:hAnsi="Times New Roman" w:eastAsia="宋体" w:cs="Times New Roman"/>
                <w:color w:val="auto"/>
                <w:spacing w:val="-3"/>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将酒精贮存于阴凉、干燥、通风处。远离火种、热源，</w:t>
            </w:r>
            <w:r>
              <w:rPr>
                <w:rFonts w:hint="eastAsia" w:cs="Times New Roman"/>
                <w:color w:val="auto"/>
                <w:spacing w:val="-3"/>
                <w:sz w:val="24"/>
                <w:szCs w:val="24"/>
                <w:u w:val="none" w:color="auto"/>
                <w:lang w:eastAsia="zh-CN"/>
              </w:rPr>
              <w:t>防止阳光</w:t>
            </w:r>
            <w:r>
              <w:rPr>
                <w:rFonts w:hint="default" w:ascii="Times New Roman" w:hAnsi="Times New Roman" w:eastAsia="宋体" w:cs="Times New Roman"/>
                <w:color w:val="auto"/>
                <w:spacing w:val="-3"/>
                <w:sz w:val="24"/>
                <w:szCs w:val="24"/>
                <w:u w:val="none" w:color="auto"/>
                <w:lang w:eastAsia="zh-CN"/>
              </w:rPr>
              <w:t>直射。保持容器密封，应与碱类、氧化剂、还原剂等分开存放，切忌混储。搬运作业要注意个人防护。搬运时要轻装轻卸，防止包装和容器损坏。装运该物品的车辆气管必须配备阻火装置，禁止使用易产生火花的机械设备和工具装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②</w:t>
            </w:r>
            <w:r>
              <w:rPr>
                <w:rFonts w:hint="eastAsia" w:cs="Times New Roman"/>
                <w:color w:val="auto"/>
                <w:spacing w:val="-3"/>
                <w:sz w:val="24"/>
                <w:szCs w:val="24"/>
                <w:u w:val="none" w:color="auto"/>
                <w:lang w:val="en-US" w:eastAsia="zh-CN"/>
              </w:rPr>
              <w:t>医疗废物泄漏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环境影响途径：</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本项目医疗废物在暂存和转移过程中如发生泄漏，将会污染到院区及道路沿线周边环境，因此，必须加强防范避免发生。</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1）</w:t>
            </w:r>
            <w:r>
              <w:rPr>
                <w:rFonts w:hint="default" w:ascii="Times New Roman" w:hAnsi="Times New Roman" w:eastAsia="宋体" w:cs="Times New Roman"/>
                <w:color w:val="auto"/>
                <w:spacing w:val="-3"/>
                <w:sz w:val="24"/>
                <w:szCs w:val="24"/>
                <w:u w:val="none" w:color="auto"/>
                <w:lang w:eastAsia="zh-CN"/>
              </w:rPr>
              <w:t>应按照《医疗废物管理条例</w:t>
            </w:r>
            <w:r>
              <w:rPr>
                <w:rFonts w:hint="eastAsia" w:cs="Times New Roman"/>
                <w:color w:val="auto"/>
                <w:spacing w:val="-3"/>
                <w:sz w:val="24"/>
                <w:szCs w:val="24"/>
                <w:u w:val="none" w:color="auto"/>
                <w:lang w:eastAsia="zh-CN"/>
              </w:rPr>
              <w:t>》《</w:t>
            </w:r>
            <w:r>
              <w:rPr>
                <w:rFonts w:hint="default" w:ascii="Times New Roman" w:hAnsi="Times New Roman" w:eastAsia="宋体" w:cs="Times New Roman"/>
                <w:color w:val="auto"/>
                <w:spacing w:val="-3"/>
                <w:sz w:val="24"/>
                <w:szCs w:val="24"/>
                <w:u w:val="none" w:color="auto"/>
                <w:lang w:eastAsia="zh-CN"/>
              </w:rPr>
              <w:t>医疗废物集中处置技术规范</w:t>
            </w:r>
            <w:r>
              <w:rPr>
                <w:rFonts w:hint="eastAsia" w:cs="Times New Roman"/>
                <w:color w:val="auto"/>
                <w:spacing w:val="-3"/>
                <w:sz w:val="24"/>
                <w:szCs w:val="24"/>
                <w:u w:val="none" w:color="auto"/>
                <w:lang w:eastAsia="zh-CN"/>
              </w:rPr>
              <w:t>》《</w:t>
            </w:r>
            <w:r>
              <w:rPr>
                <w:rFonts w:hint="default" w:ascii="Times New Roman" w:hAnsi="Times New Roman" w:eastAsia="宋体" w:cs="Times New Roman"/>
                <w:color w:val="auto"/>
                <w:spacing w:val="-3"/>
                <w:sz w:val="24"/>
                <w:szCs w:val="24"/>
                <w:u w:val="none" w:color="auto"/>
                <w:lang w:eastAsia="zh-CN"/>
              </w:rPr>
              <w:t>危险废物贮存污染控制标准》等要求建设医疗废物暂存间；</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2）</w:t>
            </w:r>
            <w:r>
              <w:rPr>
                <w:rFonts w:hint="default" w:ascii="Times New Roman" w:hAnsi="Times New Roman" w:eastAsia="宋体" w:cs="Times New Roman"/>
                <w:color w:val="auto"/>
                <w:spacing w:val="-3"/>
                <w:sz w:val="24"/>
                <w:szCs w:val="24"/>
                <w:u w:val="none" w:color="auto"/>
                <w:lang w:eastAsia="zh-CN"/>
              </w:rPr>
              <w:t>危险废物均应以符合要求的专门容器盛装，并实行分区暂存，不得混贮，严禁不相容物质混贮；</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3）</w:t>
            </w:r>
            <w:r>
              <w:rPr>
                <w:rFonts w:hint="default" w:ascii="Times New Roman" w:hAnsi="Times New Roman" w:eastAsia="宋体" w:cs="Times New Roman"/>
                <w:color w:val="auto"/>
                <w:spacing w:val="-3"/>
                <w:sz w:val="24"/>
                <w:szCs w:val="24"/>
                <w:u w:val="none" w:color="auto"/>
                <w:lang w:eastAsia="zh-CN"/>
              </w:rPr>
              <w:t>加强日常监控，组织专人负责医疗废物暂存间安全，以杜绝安全隐患；</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4）</w:t>
            </w:r>
            <w:r>
              <w:rPr>
                <w:rFonts w:hint="default" w:ascii="Times New Roman" w:hAnsi="Times New Roman" w:eastAsia="宋体" w:cs="Times New Roman"/>
                <w:color w:val="auto"/>
                <w:spacing w:val="-3"/>
                <w:sz w:val="24"/>
                <w:szCs w:val="24"/>
                <w:u w:val="none" w:color="auto"/>
                <w:lang w:eastAsia="zh-CN"/>
              </w:rPr>
              <w:t>建议建设单位对医院医疗废物如实填写运行记录，并妥善保存。管理中明确污染事故防止对策和制定污染事故应急预案。</w:t>
            </w:r>
            <w:r>
              <w:rPr>
                <w:rFonts w:hint="eastAsia" w:cs="Times New Roman"/>
                <w:color w:val="auto"/>
                <w:spacing w:val="-3"/>
                <w:sz w:val="24"/>
                <w:szCs w:val="24"/>
                <w:u w:val="none" w:color="auto"/>
                <w:lang w:eastAsia="zh-CN"/>
              </w:rPr>
              <w:t>一旦</w:t>
            </w:r>
            <w:r>
              <w:rPr>
                <w:rFonts w:hint="default" w:ascii="Times New Roman" w:hAnsi="Times New Roman" w:eastAsia="宋体" w:cs="Times New Roman"/>
                <w:color w:val="auto"/>
                <w:spacing w:val="-3"/>
                <w:sz w:val="24"/>
                <w:szCs w:val="24"/>
                <w:u w:val="none" w:color="auto"/>
                <w:lang w:eastAsia="zh-CN"/>
              </w:rPr>
              <w:t>发生以上事故情况时，管理方应按“事故情况下的应急程序”进行操作。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③</w:t>
            </w:r>
            <w:r>
              <w:rPr>
                <w:rFonts w:hint="default" w:ascii="Times New Roman" w:hAnsi="Times New Roman" w:eastAsia="宋体" w:cs="Times New Roman"/>
                <w:color w:val="auto"/>
                <w:spacing w:val="-3"/>
                <w:sz w:val="24"/>
                <w:szCs w:val="24"/>
                <w:u w:val="none" w:color="auto"/>
                <w:lang w:eastAsia="zh-CN"/>
              </w:rPr>
              <w:t>污水处理站废水非正常排放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环境影响途径：</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污水发生事故排放一般是在紧急停电时，或污水处理设备发生故障而停止运转，药剂供应不到位或处理药剂失效等情况下，或者未按规程进行正确的操作导致污水不能达标而外排。其中最严重的情况是医疗废水不经处理直接通过</w:t>
            </w:r>
            <w:r>
              <w:rPr>
                <w:rFonts w:hint="eastAsia" w:ascii="Times New Roman" w:hAnsi="Times New Roman" w:eastAsia="宋体" w:cs="Times New Roman"/>
                <w:color w:val="auto"/>
                <w:spacing w:val="-3"/>
                <w:sz w:val="24"/>
                <w:szCs w:val="24"/>
                <w:u w:val="none" w:color="auto"/>
                <w:lang w:val="en-US" w:eastAsia="zh-CN"/>
              </w:rPr>
              <w:t>污水</w:t>
            </w:r>
            <w:r>
              <w:rPr>
                <w:rFonts w:hint="default" w:ascii="Times New Roman" w:hAnsi="Times New Roman" w:eastAsia="宋体" w:cs="Times New Roman"/>
                <w:color w:val="auto"/>
                <w:spacing w:val="-3"/>
                <w:sz w:val="24"/>
                <w:szCs w:val="24"/>
                <w:u w:val="none" w:color="auto"/>
                <w:lang w:eastAsia="zh-CN"/>
              </w:rPr>
              <w:t>管网排入</w:t>
            </w:r>
            <w:r>
              <w:rPr>
                <w:rFonts w:hint="eastAsia" w:ascii="Times New Roman" w:hAnsi="Times New Roman" w:eastAsia="宋体" w:cs="Times New Roman"/>
                <w:color w:val="auto"/>
                <w:spacing w:val="-3"/>
                <w:sz w:val="24"/>
                <w:szCs w:val="24"/>
                <w:u w:val="none" w:color="auto"/>
                <w:lang w:eastAsia="zh-CN"/>
              </w:rPr>
              <w:t>湘阴县</w:t>
            </w:r>
            <w:r>
              <w:rPr>
                <w:rFonts w:hint="eastAsia" w:ascii="Times New Roman" w:hAnsi="Times New Roman" w:eastAsia="宋体" w:cs="Times New Roman"/>
                <w:color w:val="auto"/>
                <w:spacing w:val="-3"/>
                <w:sz w:val="24"/>
                <w:szCs w:val="24"/>
                <w:u w:val="none" w:color="auto"/>
                <w:lang w:val="en-US" w:eastAsia="zh-CN"/>
              </w:rPr>
              <w:t>东</w:t>
            </w:r>
            <w:r>
              <w:rPr>
                <w:rFonts w:hint="eastAsia" w:ascii="Times New Roman" w:hAnsi="Times New Roman" w:eastAsia="宋体" w:cs="Times New Roman"/>
                <w:color w:val="auto"/>
                <w:spacing w:val="-3"/>
                <w:sz w:val="24"/>
                <w:szCs w:val="24"/>
                <w:u w:val="none" w:color="auto"/>
                <w:lang w:eastAsia="zh-CN"/>
              </w:rPr>
              <w:t>塘镇污水处理厂</w:t>
            </w:r>
            <w:r>
              <w:rPr>
                <w:rFonts w:hint="default" w:ascii="Times New Roman" w:hAnsi="Times New Roman" w:eastAsia="宋体" w:cs="Times New Roman"/>
                <w:color w:val="auto"/>
                <w:spacing w:val="-3"/>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1）</w:t>
            </w:r>
            <w:r>
              <w:rPr>
                <w:rFonts w:hint="default" w:ascii="Times New Roman" w:hAnsi="Times New Roman" w:eastAsia="宋体" w:cs="Times New Roman"/>
                <w:color w:val="auto"/>
                <w:spacing w:val="-3"/>
                <w:sz w:val="24"/>
                <w:szCs w:val="24"/>
                <w:u w:val="none" w:color="auto"/>
                <w:lang w:eastAsia="zh-CN"/>
              </w:rPr>
              <w:t>提高</w:t>
            </w:r>
            <w:r>
              <w:rPr>
                <w:rFonts w:hint="default" w:ascii="Times New Roman" w:hAnsi="Times New Roman" w:eastAsia="宋体" w:cs="Times New Roman"/>
                <w:color w:val="auto"/>
                <w:kern w:val="0"/>
                <w:sz w:val="24"/>
                <w:szCs w:val="24"/>
                <w:u w:val="none" w:color="auto"/>
                <w:lang w:eastAsia="zh-CN"/>
              </w:rPr>
              <w:t>污水</w:t>
            </w:r>
            <w:r>
              <w:rPr>
                <w:rFonts w:hint="default" w:ascii="Times New Roman" w:hAnsi="Times New Roman" w:eastAsia="宋体" w:cs="Times New Roman"/>
                <w:color w:val="auto"/>
                <w:spacing w:val="-3"/>
                <w:sz w:val="24"/>
                <w:szCs w:val="24"/>
                <w:u w:val="none" w:color="auto"/>
                <w:lang w:eastAsia="zh-CN"/>
              </w:rPr>
              <w:t>处理设施自动化程度，提高投药准确率和污水处理站的处理效果，医院污水接触消毒的时间应控制在1小时以上。</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2）</w:t>
            </w:r>
            <w:r>
              <w:rPr>
                <w:rFonts w:hint="default" w:ascii="Times New Roman" w:hAnsi="Times New Roman" w:eastAsia="宋体" w:cs="Times New Roman"/>
                <w:color w:val="auto"/>
                <w:spacing w:val="-3"/>
                <w:sz w:val="24"/>
                <w:szCs w:val="24"/>
                <w:u w:val="none" w:color="auto"/>
                <w:lang w:eastAsia="zh-CN"/>
              </w:rPr>
              <w:t>加强环保设备的保养和维护，保证设备的正常运转率，设置两台加药设备，防止设备故障时污水处理站无法运行，一台加药设备作为备用。</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3）</w:t>
            </w:r>
            <w:r>
              <w:rPr>
                <w:rFonts w:hint="default" w:ascii="Times New Roman" w:hAnsi="Times New Roman" w:eastAsia="宋体" w:cs="Times New Roman"/>
                <w:color w:val="auto"/>
                <w:spacing w:val="-3"/>
                <w:sz w:val="24"/>
                <w:szCs w:val="24"/>
                <w:u w:val="none" w:color="auto"/>
                <w:lang w:eastAsia="zh-CN"/>
              </w:rPr>
              <w:t>加强对污水处理站技术人员和操作人员的培训，熟练掌握污水处理站工艺技术原理和运行经验及设备的操作说明，加强工作人员的岗位责任管理，减少人员因素产生的故障。</w:t>
            </w:r>
          </w:p>
          <w:p>
            <w:pPr>
              <w:adjustRightInd w:val="0"/>
              <w:snapToGrid w:val="0"/>
              <w:spacing w:line="360" w:lineRule="auto"/>
              <w:ind w:firstLine="468" w:firstLineChars="200"/>
              <w:jc w:val="left"/>
              <w:rPr>
                <w:rFonts w:hint="default" w:ascii="Times New Roman" w:hAnsi="Times New Roman" w:eastAsia="宋体" w:cs="Times New Roman"/>
                <w:color w:val="auto"/>
                <w:spacing w:val="-3"/>
                <w:sz w:val="24"/>
                <w:szCs w:val="24"/>
                <w:u w:val="none" w:color="auto"/>
                <w:lang w:eastAsia="zh-CN"/>
              </w:rPr>
            </w:pPr>
            <w:r>
              <w:rPr>
                <w:rFonts w:hint="eastAsia" w:ascii="Times New Roman" w:hAnsi="Times New Roman" w:eastAsia="宋体" w:cs="Times New Roman"/>
                <w:color w:val="auto"/>
                <w:spacing w:val="-3"/>
                <w:sz w:val="24"/>
                <w:szCs w:val="24"/>
                <w:u w:val="none" w:color="auto"/>
                <w:lang w:val="en-US" w:eastAsia="zh-CN"/>
              </w:rPr>
              <w:t>4）</w:t>
            </w:r>
            <w:r>
              <w:rPr>
                <w:rFonts w:hint="default" w:ascii="Times New Roman" w:hAnsi="Times New Roman" w:eastAsia="宋体" w:cs="Times New Roman"/>
                <w:color w:val="auto"/>
                <w:spacing w:val="-3"/>
                <w:sz w:val="24"/>
                <w:szCs w:val="24"/>
                <w:u w:val="none" w:color="auto"/>
                <w:lang w:eastAsia="zh-CN"/>
              </w:rPr>
              <w:t>污水</w:t>
            </w:r>
            <w:r>
              <w:rPr>
                <w:rFonts w:hint="default" w:ascii="Times New Roman" w:hAnsi="Times New Roman" w:eastAsia="宋体" w:cs="Times New Roman"/>
                <w:color w:val="auto"/>
                <w:kern w:val="0"/>
                <w:sz w:val="24"/>
                <w:szCs w:val="24"/>
                <w:u w:val="none" w:color="auto"/>
                <w:lang w:eastAsia="zh-CN"/>
              </w:rPr>
              <w:t>处理站</w:t>
            </w:r>
            <w:r>
              <w:rPr>
                <w:rFonts w:hint="default" w:ascii="Times New Roman" w:hAnsi="Times New Roman" w:eastAsia="宋体" w:cs="Times New Roman"/>
                <w:color w:val="auto"/>
                <w:spacing w:val="-3"/>
                <w:sz w:val="24"/>
                <w:szCs w:val="24"/>
                <w:u w:val="none" w:color="auto"/>
                <w:lang w:eastAsia="zh-CN"/>
              </w:rPr>
              <w:t>设计上应考虑留有一定的回流的处理缓冲能力和设施；建立废水非正常排放事故应急池。根据《医院污水处理工程技术规范》（HJ2029-2013）12.4.1规定：医院污水处理工程设置应急事故池，以贮存处理系统事故或其他突发事件时医院污水。传染病医院污水处理工程应急事故池容积不小于日排放量的100%，非传染病医院污水处理工程应急事故池容积不小于日排放量的30%。</w:t>
            </w:r>
            <w:r>
              <w:rPr>
                <w:rFonts w:hint="eastAsia" w:ascii="Times New Roman" w:hAnsi="Times New Roman" w:eastAsia="宋体" w:cs="Times New Roman"/>
                <w:color w:val="auto"/>
                <w:spacing w:val="-3"/>
                <w:sz w:val="24"/>
                <w:szCs w:val="24"/>
                <w:u w:val="none" w:color="auto"/>
                <w:lang w:val="en-US" w:eastAsia="zh-CN"/>
              </w:rPr>
              <w:t>医</w:t>
            </w:r>
            <w:r>
              <w:rPr>
                <w:rFonts w:hint="eastAsia"/>
                <w:color w:val="auto"/>
                <w:spacing w:val="-3"/>
                <w:sz w:val="24"/>
                <w:u w:val="none" w:color="auto"/>
              </w:rPr>
              <w:t>院</w:t>
            </w:r>
            <w:r>
              <w:rPr>
                <w:color w:val="auto"/>
                <w:spacing w:val="-3"/>
                <w:sz w:val="24"/>
                <w:u w:val="none" w:color="auto"/>
              </w:rPr>
              <w:t>污水产生量为</w:t>
            </w:r>
            <w:r>
              <w:rPr>
                <w:rFonts w:hint="eastAsia"/>
                <w:color w:val="auto"/>
                <w:spacing w:val="-3"/>
                <w:sz w:val="24"/>
                <w:u w:val="none" w:color="auto"/>
                <w:lang w:val="en-US" w:eastAsia="zh-CN"/>
              </w:rPr>
              <w:t>17.702</w:t>
            </w:r>
            <w:r>
              <w:rPr>
                <w:color w:val="auto"/>
                <w:spacing w:val="-3"/>
                <w:sz w:val="24"/>
                <w:u w:val="none" w:color="auto"/>
              </w:rPr>
              <w:t>m</w:t>
            </w:r>
            <w:r>
              <w:rPr>
                <w:color w:val="auto"/>
                <w:spacing w:val="-3"/>
                <w:sz w:val="24"/>
                <w:u w:val="none" w:color="auto"/>
                <w:vertAlign w:val="superscript"/>
              </w:rPr>
              <w:t>3</w:t>
            </w:r>
            <w:r>
              <w:rPr>
                <w:color w:val="auto"/>
                <w:spacing w:val="-3"/>
                <w:sz w:val="24"/>
                <w:u w:val="none" w:color="auto"/>
              </w:rPr>
              <w:t>/d，不设传染病房，因此，为满足需求，应急事故池设计容积不小于</w:t>
            </w:r>
            <w:r>
              <w:rPr>
                <w:rFonts w:hint="eastAsia"/>
                <w:color w:val="auto"/>
                <w:spacing w:val="-3"/>
                <w:sz w:val="24"/>
                <w:u w:val="none" w:color="auto"/>
                <w:lang w:val="en-US" w:eastAsia="zh-CN"/>
              </w:rPr>
              <w:t>5.3</w:t>
            </w:r>
            <w:r>
              <w:rPr>
                <w:color w:val="auto"/>
                <w:spacing w:val="-3"/>
                <w:sz w:val="24"/>
                <w:u w:val="none" w:color="auto"/>
              </w:rPr>
              <w:t>m</w:t>
            </w:r>
            <w:r>
              <w:rPr>
                <w:color w:val="auto"/>
                <w:spacing w:val="-3"/>
                <w:sz w:val="24"/>
                <w:u w:val="none" w:color="auto"/>
                <w:vertAlign w:val="superscript"/>
              </w:rPr>
              <w:t>3</w:t>
            </w:r>
            <w:r>
              <w:rPr>
                <w:color w:val="auto"/>
                <w:spacing w:val="-3"/>
                <w:sz w:val="24"/>
                <w:u w:val="none" w:color="auto"/>
              </w:rPr>
              <w:t>，</w:t>
            </w:r>
            <w:r>
              <w:rPr>
                <w:rFonts w:hint="eastAsia"/>
                <w:color w:val="auto"/>
                <w:spacing w:val="-3"/>
                <w:sz w:val="24"/>
                <w:u w:val="none" w:color="auto"/>
                <w:lang w:val="en-US" w:eastAsia="zh-CN"/>
              </w:rPr>
              <w:t>环评要求新建</w:t>
            </w:r>
            <w:r>
              <w:rPr>
                <w:rStyle w:val="27"/>
                <w:rFonts w:hint="eastAsia"/>
                <w:color w:val="auto"/>
                <w:u w:val="single" w:color="auto"/>
                <w:lang w:val="en-US" w:eastAsia="zh-CN"/>
              </w:rPr>
              <w:t>事故应急池，最大容量为12m</w:t>
            </w:r>
            <w:r>
              <w:rPr>
                <w:rStyle w:val="27"/>
                <w:rFonts w:hint="eastAsia"/>
                <w:color w:val="auto"/>
                <w:u w:val="single" w:color="auto"/>
                <w:vertAlign w:val="superscript"/>
                <w:lang w:val="en-US" w:eastAsia="zh-CN"/>
              </w:rPr>
              <w:t>3</w:t>
            </w:r>
            <w:r>
              <w:rPr>
                <w:rStyle w:val="27"/>
                <w:rFonts w:hint="eastAsia"/>
                <w:color w:val="auto"/>
                <w:u w:val="single" w:color="auto"/>
                <w:lang w:val="en-US" w:eastAsia="zh-CN"/>
              </w:rPr>
              <w:t>（长3m</w:t>
            </w:r>
            <w:r>
              <w:rPr>
                <w:rStyle w:val="27"/>
                <w:rFonts w:hint="default"/>
                <w:color w:val="auto"/>
                <w:u w:val="single" w:color="auto"/>
                <w:lang w:val="en-US" w:eastAsia="zh-CN"/>
              </w:rPr>
              <w:t>×</w:t>
            </w:r>
            <w:r>
              <w:rPr>
                <w:rStyle w:val="27"/>
                <w:rFonts w:hint="eastAsia"/>
                <w:color w:val="auto"/>
                <w:u w:val="single" w:color="auto"/>
                <w:lang w:val="en-US" w:eastAsia="zh-CN"/>
              </w:rPr>
              <w:t>高3m</w:t>
            </w:r>
            <w:r>
              <w:rPr>
                <w:rStyle w:val="27"/>
                <w:rFonts w:hint="default"/>
                <w:color w:val="auto"/>
                <w:u w:val="single" w:color="auto"/>
                <w:lang w:val="en-US" w:eastAsia="zh-CN"/>
              </w:rPr>
              <w:t>×</w:t>
            </w:r>
            <w:r>
              <w:rPr>
                <w:rStyle w:val="27"/>
                <w:rFonts w:hint="eastAsia"/>
                <w:color w:val="auto"/>
                <w:u w:val="single" w:color="auto"/>
                <w:lang w:val="en-US" w:eastAsia="zh-CN"/>
              </w:rPr>
              <w:t>宽2m）</w:t>
            </w:r>
            <w:r>
              <w:rPr>
                <w:rFonts w:hint="eastAsia" w:cs="Times New Roman"/>
                <w:color w:val="auto"/>
                <w:sz w:val="24"/>
                <w:szCs w:val="24"/>
                <w:u w:val="none" w:color="auto"/>
                <w:vertAlign w:val="baseline"/>
                <w:lang w:val="en-US" w:eastAsia="zh-CN"/>
              </w:rPr>
              <w:t>，可以满足事故要求</w:t>
            </w:r>
            <w:r>
              <w:rPr>
                <w:color w:val="auto"/>
                <w:spacing w:val="-3"/>
                <w:sz w:val="24"/>
                <w:u w:val="non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34" w:firstLineChars="100"/>
              <w:jc w:val="left"/>
              <w:textAlignment w:val="auto"/>
              <w:rPr>
                <w:rFonts w:hint="default" w:ascii="Times New Roman" w:hAnsi="Times New Roman" w:eastAsia="宋体" w:cs="Times New Roman"/>
                <w:b w:val="0"/>
                <w:bCs w:val="0"/>
                <w:color w:val="auto"/>
                <w:spacing w:val="-3"/>
                <w:sz w:val="24"/>
                <w:szCs w:val="24"/>
                <w:u w:val="none" w:color="auto"/>
                <w:lang w:eastAsia="zh-CN"/>
              </w:rPr>
            </w:pPr>
            <w:r>
              <w:rPr>
                <w:rFonts w:hint="eastAsia" w:ascii="微软雅黑" w:hAnsi="微软雅黑" w:eastAsia="微软雅黑" w:cs="微软雅黑"/>
                <w:b w:val="0"/>
                <w:bCs w:val="0"/>
                <w:color w:val="auto"/>
                <w:spacing w:val="-3"/>
                <w:sz w:val="24"/>
                <w:szCs w:val="24"/>
                <w:u w:val="none" w:color="auto"/>
                <w:lang w:eastAsia="zh-CN"/>
              </w:rPr>
              <w:t>④</w:t>
            </w:r>
            <w:r>
              <w:rPr>
                <w:rFonts w:hint="default" w:ascii="Times New Roman" w:hAnsi="Times New Roman" w:eastAsia="宋体" w:cs="Times New Roman"/>
                <w:b w:val="0"/>
                <w:bCs w:val="0"/>
                <w:color w:val="auto"/>
                <w:spacing w:val="-3"/>
                <w:sz w:val="24"/>
                <w:szCs w:val="24"/>
                <w:u w:val="none" w:color="auto"/>
                <w:lang w:eastAsia="zh-CN"/>
              </w:rPr>
              <w:t>备用</w:t>
            </w:r>
            <w:r>
              <w:rPr>
                <w:rFonts w:hint="eastAsia" w:cs="Times New Roman"/>
                <w:b w:val="0"/>
                <w:bCs w:val="0"/>
                <w:color w:val="auto"/>
                <w:spacing w:val="-3"/>
                <w:sz w:val="24"/>
                <w:szCs w:val="24"/>
                <w:u w:val="none" w:color="auto"/>
                <w:lang w:eastAsia="zh-CN"/>
              </w:rPr>
              <w:t>柴油泄漏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环境影响途径：</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柴油泄漏，污染地面。柴油存在发电机房，其发生泄漏的可能性较小。</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none" w:color="auto"/>
                <w:lang w:eastAsia="zh-CN"/>
              </w:rPr>
            </w:pPr>
            <w:r>
              <w:rPr>
                <w:rFonts w:hint="default" w:ascii="Times New Roman" w:hAnsi="Times New Roman" w:eastAsia="宋体" w:cs="Times New Roman"/>
                <w:color w:val="auto"/>
                <w:spacing w:val="-3"/>
                <w:sz w:val="24"/>
                <w:szCs w:val="24"/>
                <w:u w:val="none" w:color="auto"/>
                <w:lang w:eastAsia="zh-CN"/>
              </w:rPr>
              <w:t>柴油桶存放区域设置托盘防渗。</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single" w:color="auto"/>
                <w:lang w:eastAsia="zh-CN"/>
              </w:rPr>
            </w:pPr>
            <w:r>
              <w:rPr>
                <w:rFonts w:hint="eastAsia" w:ascii="微软雅黑" w:hAnsi="微软雅黑" w:eastAsia="微软雅黑" w:cs="微软雅黑"/>
                <w:color w:val="auto"/>
                <w:spacing w:val="-3"/>
                <w:sz w:val="24"/>
                <w:szCs w:val="24"/>
                <w:u w:val="single" w:color="auto"/>
                <w:lang w:eastAsia="zh-CN"/>
              </w:rPr>
              <w:t>⑤</w:t>
            </w:r>
            <w:r>
              <w:rPr>
                <w:rFonts w:hint="default" w:ascii="Times New Roman" w:hAnsi="Times New Roman" w:eastAsia="宋体" w:cs="Times New Roman"/>
                <w:color w:val="auto"/>
                <w:spacing w:val="-3"/>
                <w:sz w:val="24"/>
                <w:szCs w:val="24"/>
                <w:u w:val="single" w:color="auto"/>
                <w:lang w:eastAsia="zh-CN"/>
              </w:rPr>
              <w:t>火灾引发次生环境风险</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single" w:color="auto"/>
                <w:lang w:eastAsia="zh-CN"/>
              </w:rPr>
            </w:pPr>
            <w:r>
              <w:rPr>
                <w:rFonts w:hint="default" w:ascii="Times New Roman" w:hAnsi="Times New Roman" w:eastAsia="宋体" w:cs="Times New Roman"/>
                <w:color w:val="auto"/>
                <w:spacing w:val="-3"/>
                <w:sz w:val="24"/>
                <w:szCs w:val="24"/>
                <w:u w:val="single" w:color="auto"/>
                <w:lang w:eastAsia="zh-CN"/>
              </w:rPr>
              <w:t>环境影响途径：</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single" w:color="auto"/>
                <w:lang w:val="en-US" w:eastAsia="zh-CN"/>
              </w:rPr>
            </w:pPr>
            <w:r>
              <w:rPr>
                <w:rFonts w:hint="default" w:ascii="Times New Roman" w:hAnsi="Times New Roman" w:eastAsia="宋体" w:cs="Times New Roman"/>
                <w:color w:val="auto"/>
                <w:spacing w:val="-3"/>
                <w:sz w:val="24"/>
                <w:szCs w:val="24"/>
                <w:u w:val="single" w:color="auto"/>
                <w:lang w:eastAsia="zh-CN"/>
              </w:rPr>
              <w:t>医院属于公共场所，因明火、设备电路短路、静电和雷击等易发生重大火灾</w:t>
            </w:r>
            <w:r>
              <w:rPr>
                <w:rFonts w:hint="eastAsia" w:cs="Times New Roman"/>
                <w:color w:val="auto"/>
                <w:spacing w:val="-3"/>
                <w:sz w:val="24"/>
                <w:szCs w:val="24"/>
                <w:u w:val="single" w:color="auto"/>
                <w:lang w:eastAsia="zh-CN"/>
              </w:rPr>
              <w:t>，</w:t>
            </w:r>
            <w:r>
              <w:rPr>
                <w:rFonts w:hint="default" w:ascii="Times New Roman" w:hAnsi="Times New Roman" w:eastAsia="宋体" w:cs="Times New Roman"/>
                <w:color w:val="auto"/>
                <w:spacing w:val="-3"/>
                <w:sz w:val="24"/>
                <w:szCs w:val="24"/>
                <w:u w:val="single" w:color="auto"/>
                <w:lang w:eastAsia="zh-CN"/>
              </w:rPr>
              <w:t>医院使用的酒精属易燃物质，泄漏遭遇明火也可能导致火灾事故的发生引</w:t>
            </w:r>
            <w:r>
              <w:rPr>
                <w:rFonts w:hint="eastAsia" w:eastAsia="宋体" w:cs="Times New Roman"/>
                <w:color w:val="auto"/>
                <w:spacing w:val="-3"/>
                <w:sz w:val="24"/>
                <w:szCs w:val="24"/>
                <w:u w:val="single" w:color="auto"/>
                <w:lang w:val="en-US" w:eastAsia="zh-CN"/>
              </w:rPr>
              <w:t>火灾</w:t>
            </w:r>
            <w:r>
              <w:rPr>
                <w:rFonts w:hint="default" w:ascii="Times New Roman" w:hAnsi="Times New Roman" w:eastAsia="宋体" w:cs="Times New Roman"/>
                <w:color w:val="auto"/>
                <w:spacing w:val="-3"/>
                <w:sz w:val="24"/>
                <w:szCs w:val="24"/>
                <w:u w:val="single" w:color="auto"/>
                <w:lang w:eastAsia="zh-CN"/>
              </w:rPr>
              <w:t>发次生环境风险</w:t>
            </w:r>
            <w:r>
              <w:rPr>
                <w:rFonts w:hint="eastAsia" w:cs="Times New Roman"/>
                <w:color w:val="auto"/>
                <w:spacing w:val="-3"/>
                <w:sz w:val="24"/>
                <w:szCs w:val="24"/>
                <w:u w:val="single" w:color="auto"/>
                <w:lang w:eastAsia="zh-CN"/>
              </w:rPr>
              <w:t>，</w:t>
            </w:r>
            <w:r>
              <w:rPr>
                <w:rFonts w:hint="eastAsia" w:cs="Times New Roman"/>
                <w:color w:val="auto"/>
                <w:spacing w:val="-3"/>
                <w:sz w:val="24"/>
                <w:szCs w:val="24"/>
                <w:u w:val="single" w:color="auto"/>
                <w:lang w:val="en-US" w:eastAsia="zh-CN"/>
              </w:rPr>
              <w:t>若燃烧至药房，将会产生一些含氯等有害气体，对环境和周边居民产生影响</w:t>
            </w:r>
            <w:r>
              <w:rPr>
                <w:rFonts w:hint="eastAsia" w:eastAsia="宋体" w:cs="Times New Roman"/>
                <w:color w:val="auto"/>
                <w:spacing w:val="-3"/>
                <w:sz w:val="24"/>
                <w:szCs w:val="24"/>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single" w:color="auto"/>
                <w:lang w:eastAsia="zh-CN"/>
              </w:rPr>
            </w:pPr>
            <w:r>
              <w:rPr>
                <w:rFonts w:hint="default" w:ascii="Times New Roman" w:hAnsi="Times New Roman" w:eastAsia="宋体" w:cs="Times New Roman"/>
                <w:color w:val="auto"/>
                <w:spacing w:val="-3"/>
                <w:sz w:val="24"/>
                <w:szCs w:val="24"/>
                <w:u w:val="single" w:color="auto"/>
                <w:lang w:eastAsia="zh-CN"/>
              </w:rPr>
              <w:t>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single" w:color="auto"/>
                <w:lang w:eastAsia="zh-CN"/>
              </w:rPr>
            </w:pPr>
            <w:r>
              <w:rPr>
                <w:rFonts w:hint="default" w:ascii="Times New Roman" w:hAnsi="Times New Roman" w:eastAsia="宋体" w:cs="Times New Roman"/>
                <w:color w:val="auto"/>
                <w:spacing w:val="-3"/>
                <w:sz w:val="24"/>
                <w:szCs w:val="24"/>
                <w:u w:val="single" w:color="auto"/>
                <w:lang w:eastAsia="zh-CN"/>
              </w:rPr>
              <w:t>灭火的过程引发相关次生环境事件，如火灾时会产生大量消防废水，若消防废水未经收集处理而直接排入外环境，将导致水污染事件，而火灾产生的大量烟气，将会对周围的环境空气造成一定的影响。医院不属于工业企业，消防废水中主要污染物为SS和COD。医院设置了应急事故池，但只能容纳</w:t>
            </w:r>
            <w:r>
              <w:rPr>
                <w:rFonts w:hint="eastAsia" w:cs="Times New Roman"/>
                <w:color w:val="auto"/>
                <w:spacing w:val="-3"/>
                <w:sz w:val="24"/>
                <w:szCs w:val="24"/>
                <w:u w:val="single" w:color="auto"/>
                <w:lang w:val="en-US" w:eastAsia="zh-CN"/>
              </w:rPr>
              <w:t>12</w:t>
            </w:r>
            <w:r>
              <w:rPr>
                <w:rFonts w:hint="default" w:ascii="Times New Roman" w:hAnsi="Times New Roman" w:eastAsia="宋体" w:cs="Times New Roman"/>
                <w:color w:val="auto"/>
                <w:spacing w:val="-3"/>
                <w:sz w:val="24"/>
                <w:szCs w:val="24"/>
                <w:u w:val="single" w:color="auto"/>
                <w:lang w:eastAsia="zh-CN"/>
              </w:rPr>
              <w:t>m</w:t>
            </w:r>
            <w:r>
              <w:rPr>
                <w:rFonts w:hint="default" w:ascii="Times New Roman" w:hAnsi="Times New Roman" w:eastAsia="宋体" w:cs="Times New Roman"/>
                <w:color w:val="auto"/>
                <w:spacing w:val="-3"/>
                <w:sz w:val="24"/>
                <w:szCs w:val="24"/>
                <w:u w:val="single" w:color="auto"/>
                <w:vertAlign w:val="superscript"/>
                <w:lang w:eastAsia="zh-CN"/>
              </w:rPr>
              <w:t>3</w:t>
            </w:r>
            <w:r>
              <w:rPr>
                <w:rFonts w:hint="default" w:ascii="Times New Roman" w:hAnsi="Times New Roman" w:eastAsia="宋体" w:cs="Times New Roman"/>
                <w:color w:val="auto"/>
                <w:spacing w:val="-3"/>
                <w:sz w:val="24"/>
                <w:szCs w:val="24"/>
                <w:u w:val="single" w:color="auto"/>
                <w:lang w:eastAsia="zh-CN"/>
              </w:rPr>
              <w:t>的废水，故发生火灾事故时，立即拨打119火警电话，截流堵漏，消防废水可收集至空桶，后由处理站处理或交由有资质单位处理。</w:t>
            </w:r>
          </w:p>
          <w:p>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left"/>
              <w:textAlignment w:val="auto"/>
              <w:rPr>
                <w:rFonts w:hint="default" w:ascii="Times New Roman" w:hAnsi="Times New Roman" w:eastAsia="宋体" w:cs="Times New Roman"/>
                <w:color w:val="auto"/>
                <w:spacing w:val="-3"/>
                <w:sz w:val="24"/>
                <w:szCs w:val="24"/>
                <w:u w:val="single" w:color="auto"/>
                <w:lang w:eastAsia="zh-CN"/>
              </w:rPr>
            </w:pPr>
            <w:r>
              <w:rPr>
                <w:rFonts w:hint="default" w:ascii="Times New Roman" w:hAnsi="Times New Roman" w:eastAsia="宋体" w:cs="Times New Roman"/>
                <w:color w:val="auto"/>
                <w:spacing w:val="-3"/>
                <w:sz w:val="24"/>
                <w:szCs w:val="24"/>
                <w:u w:val="single" w:color="auto"/>
                <w:lang w:eastAsia="zh-CN"/>
              </w:rPr>
              <w:t>火灾</w:t>
            </w:r>
            <w:r>
              <w:rPr>
                <w:rFonts w:hint="eastAsia" w:cs="Times New Roman"/>
                <w:color w:val="auto"/>
                <w:spacing w:val="-3"/>
                <w:sz w:val="24"/>
                <w:szCs w:val="24"/>
                <w:u w:val="single" w:color="auto"/>
                <w:lang w:val="en-US" w:eastAsia="zh-CN"/>
              </w:rPr>
              <w:t>对</w:t>
            </w:r>
            <w:r>
              <w:rPr>
                <w:rFonts w:hint="default" w:ascii="Times New Roman" w:hAnsi="Times New Roman" w:eastAsia="宋体" w:cs="Times New Roman"/>
                <w:color w:val="auto"/>
                <w:spacing w:val="-3"/>
                <w:sz w:val="24"/>
                <w:szCs w:val="24"/>
                <w:u w:val="single" w:color="auto"/>
                <w:lang w:eastAsia="zh-CN"/>
              </w:rPr>
              <w:t>主要燃烧产物主要为二氧化碳、一氧化碳、烟尘等。</w:t>
            </w:r>
            <w:r>
              <w:rPr>
                <w:rFonts w:hint="eastAsia" w:cs="Times New Roman"/>
                <w:color w:val="auto"/>
                <w:spacing w:val="-3"/>
                <w:sz w:val="24"/>
                <w:szCs w:val="24"/>
                <w:u w:val="single" w:color="auto"/>
                <w:lang w:val="en-US" w:eastAsia="zh-CN"/>
              </w:rPr>
              <w:t>若燃烧至药房，将会产生一些含氯气体。</w:t>
            </w:r>
            <w:r>
              <w:rPr>
                <w:rFonts w:hint="default" w:ascii="Times New Roman" w:hAnsi="Times New Roman" w:eastAsia="宋体" w:cs="Times New Roman"/>
                <w:color w:val="auto"/>
                <w:spacing w:val="-3"/>
                <w:sz w:val="24"/>
                <w:szCs w:val="24"/>
                <w:u w:val="single" w:color="auto"/>
                <w:lang w:eastAsia="zh-CN"/>
              </w:rPr>
              <w:t>若大规模发生火灾，可能会产生大量的烟尘，产生的后果视火灾的大小而定，大火可使医院周边半径50~100米的地区产生大量烟尘，影响周围环境空气，项目通过及时疏散周边居民，启动相应的应急预案，及时对火灾进行扑灭，对其周边环境空气影响较小，且随着火灾的扑灭，这些影响也将消失。</w:t>
            </w:r>
          </w:p>
          <w:p>
            <w:pPr>
              <w:pStyle w:val="10"/>
              <w:rPr>
                <w:rFonts w:hint="default"/>
                <w:color w:val="auto"/>
                <w:lang w:eastAsia="zh-CN"/>
              </w:rPr>
            </w:pPr>
            <w:r>
              <w:rPr>
                <w:rFonts w:hint="default"/>
                <w:color w:val="auto"/>
                <w:lang w:eastAsia="zh-CN"/>
              </w:rPr>
              <w:t>药品库房的安全防火</w:t>
            </w:r>
            <w:r>
              <w:rPr>
                <w:rFonts w:hint="eastAsia"/>
                <w:color w:val="auto"/>
                <w:lang w:val="en-US" w:eastAsia="zh-CN"/>
              </w:rPr>
              <w:t>要求</w:t>
            </w:r>
            <w:r>
              <w:rPr>
                <w:rFonts w:hint="default"/>
                <w:color w:val="auto"/>
                <w:lang w:eastAsia="zh-CN"/>
              </w:rPr>
              <w:t>包括以下内容:</w:t>
            </w:r>
          </w:p>
          <w:p>
            <w:pPr>
              <w:pStyle w:val="10"/>
              <w:rPr>
                <w:rFonts w:hint="default"/>
                <w:color w:val="auto"/>
                <w:lang w:eastAsia="zh-CN"/>
              </w:rPr>
            </w:pPr>
            <w:r>
              <w:rPr>
                <w:rFonts w:hint="eastAsia" w:ascii="微软雅黑" w:hAnsi="微软雅黑" w:eastAsia="微软雅黑" w:cs="微软雅黑"/>
                <w:color w:val="auto"/>
                <w:lang w:eastAsia="zh-CN"/>
              </w:rPr>
              <w:t>①</w:t>
            </w:r>
            <w:r>
              <w:rPr>
                <w:rFonts w:hint="default"/>
                <w:color w:val="auto"/>
                <w:lang w:eastAsia="zh-CN"/>
              </w:rPr>
              <w:t>库房的设计与建设:库房应按照消防安全要求进行设计与建设，包括选择可靠的防火材料和设备，确保库房的防火能力和耐火性能。</w:t>
            </w:r>
          </w:p>
          <w:p>
            <w:pPr>
              <w:pStyle w:val="10"/>
              <w:rPr>
                <w:rFonts w:hint="default"/>
                <w:color w:val="auto"/>
                <w:lang w:eastAsia="zh-CN"/>
              </w:rPr>
            </w:pPr>
            <w:r>
              <w:rPr>
                <w:rFonts w:hint="eastAsia" w:ascii="微软雅黑" w:hAnsi="微软雅黑" w:eastAsia="微软雅黑" w:cs="微软雅黑"/>
                <w:color w:val="auto"/>
                <w:lang w:eastAsia="zh-CN"/>
              </w:rPr>
              <w:t>②</w:t>
            </w:r>
            <w:r>
              <w:rPr>
                <w:rFonts w:hint="default"/>
                <w:color w:val="auto"/>
                <w:lang w:eastAsia="zh-CN"/>
              </w:rPr>
              <w:t>防火设备和消防设施:库房应配备必要的防火设备和消防设施，如灭火器、消防栓、自动喷水灭火系统等，并确保这些设备和设施处于正常的工作状态，进行定期检查和维护。</w:t>
            </w:r>
          </w:p>
          <w:p>
            <w:pPr>
              <w:pStyle w:val="10"/>
              <w:rPr>
                <w:rFonts w:hint="default"/>
                <w:color w:val="auto"/>
                <w:lang w:eastAsia="zh-CN"/>
              </w:rPr>
            </w:pPr>
            <w:r>
              <w:rPr>
                <w:rFonts w:hint="eastAsia" w:ascii="微软雅黑" w:hAnsi="微软雅黑" w:eastAsia="微软雅黑" w:cs="微软雅黑"/>
                <w:color w:val="auto"/>
                <w:lang w:eastAsia="zh-CN"/>
              </w:rPr>
              <w:t>③</w:t>
            </w:r>
            <w:r>
              <w:rPr>
                <w:rFonts w:hint="default"/>
                <w:color w:val="auto"/>
                <w:lang w:eastAsia="zh-CN"/>
              </w:rPr>
              <w:t>火灾报警系统:库房应配备火灾报警系统，包括烟雾探测器温度探测器等，及时发现火灾风险，并能及时报警，以便采取应急措施。</w:t>
            </w:r>
          </w:p>
          <w:p>
            <w:pPr>
              <w:pStyle w:val="10"/>
              <w:rPr>
                <w:rFonts w:hint="default"/>
                <w:color w:val="auto"/>
                <w:lang w:eastAsia="zh-CN"/>
              </w:rPr>
            </w:pPr>
            <w:r>
              <w:rPr>
                <w:rFonts w:hint="eastAsia" w:ascii="微软雅黑" w:hAnsi="微软雅黑" w:eastAsia="微软雅黑" w:cs="微软雅黑"/>
                <w:color w:val="auto"/>
                <w:lang w:eastAsia="zh-CN"/>
              </w:rPr>
              <w:t>④</w:t>
            </w:r>
            <w:r>
              <w:rPr>
                <w:rFonts w:hint="default"/>
                <w:color w:val="auto"/>
                <w:lang w:eastAsia="zh-CN"/>
              </w:rPr>
              <w:t>库房的通道和疏散通道:库房内应有畅通的通道和疏散通道，确保人员在火灾发生时能够迅速疏散</w:t>
            </w:r>
          </w:p>
          <w:p>
            <w:pPr>
              <w:pStyle w:val="10"/>
              <w:rPr>
                <w:rFonts w:hint="default"/>
                <w:color w:val="auto"/>
                <w:lang w:eastAsia="zh-CN"/>
              </w:rPr>
            </w:pPr>
            <w:r>
              <w:rPr>
                <w:rFonts w:hint="eastAsia" w:ascii="微软雅黑" w:hAnsi="微软雅黑" w:eastAsia="微软雅黑" w:cs="微软雅黑"/>
                <w:color w:val="auto"/>
                <w:lang w:eastAsia="zh-CN"/>
              </w:rPr>
              <w:t>⑤</w:t>
            </w:r>
            <w:r>
              <w:rPr>
                <w:rFonts w:hint="default"/>
                <w:color w:val="auto"/>
                <w:lang w:eastAsia="zh-CN"/>
              </w:rPr>
              <w:t>药品分类和存储:药品应按照分类和防火等级进行存储，避免不同防火等级的药品放置在一起，以防火灾扩大。</w:t>
            </w:r>
          </w:p>
          <w:p>
            <w:pPr>
              <w:pStyle w:val="10"/>
              <w:rPr>
                <w:rFonts w:hint="default"/>
                <w:color w:val="auto"/>
                <w:lang w:eastAsia="zh-CN"/>
              </w:rPr>
            </w:pPr>
            <w:r>
              <w:rPr>
                <w:rFonts w:hint="eastAsia" w:ascii="微软雅黑" w:hAnsi="微软雅黑" w:eastAsia="微软雅黑" w:cs="微软雅黑"/>
                <w:color w:val="auto"/>
                <w:lang w:eastAsia="zh-CN"/>
              </w:rPr>
              <w:t>⑥</w:t>
            </w:r>
            <w:r>
              <w:rPr>
                <w:rFonts w:hint="default"/>
                <w:color w:val="auto"/>
                <w:lang w:eastAsia="zh-CN"/>
              </w:rPr>
              <w:t>库房的布局和贮存要求:库房要求每行药架之间要有足够的间距，保证通风流畅，并避免堆放过多的药品，以防引发火灾</w:t>
            </w:r>
          </w:p>
          <w:p>
            <w:pPr>
              <w:pStyle w:val="10"/>
              <w:rPr>
                <w:rFonts w:hint="default"/>
                <w:color w:val="auto"/>
                <w:lang w:eastAsia="zh-CN"/>
              </w:rPr>
            </w:pPr>
            <w:r>
              <w:rPr>
                <w:rFonts w:hint="eastAsia" w:ascii="微软雅黑" w:hAnsi="微软雅黑" w:eastAsia="微软雅黑" w:cs="微软雅黑"/>
                <w:color w:val="auto"/>
                <w:lang w:eastAsia="zh-CN"/>
              </w:rPr>
              <w:t>⑦</w:t>
            </w:r>
            <w:r>
              <w:rPr>
                <w:rFonts w:hint="default"/>
                <w:color w:val="auto"/>
                <w:lang w:eastAsia="zh-CN"/>
              </w:rPr>
              <w:t>电气设备的使用与维护:库房内的电气设备要符合消防安全要求，使用和维护时应注意防止电气设备引发火灾。</w:t>
            </w:r>
          </w:p>
          <w:p>
            <w:pPr>
              <w:pStyle w:val="10"/>
              <w:rPr>
                <w:rFonts w:hint="default"/>
                <w:color w:val="auto"/>
                <w:lang w:eastAsia="zh-CN"/>
              </w:rPr>
            </w:pPr>
            <w:r>
              <w:rPr>
                <w:rFonts w:hint="eastAsia" w:ascii="微软雅黑" w:hAnsi="微软雅黑" w:eastAsia="微软雅黑" w:cs="微软雅黑"/>
                <w:color w:val="auto"/>
                <w:lang w:eastAsia="zh-CN"/>
              </w:rPr>
              <w:t>⑧</w:t>
            </w:r>
            <w:r>
              <w:rPr>
                <w:rFonts w:hint="default"/>
                <w:color w:val="auto"/>
                <w:lang w:eastAsia="zh-CN"/>
              </w:rPr>
              <w:t>员工培训:对库房工作人员进行消防安全培训，提高其防火意识和应急处理能力。</w:t>
            </w:r>
          </w:p>
          <w:p>
            <w:pPr>
              <w:pStyle w:val="10"/>
              <w:rPr>
                <w:rFonts w:hint="default"/>
                <w:color w:val="auto"/>
                <w:lang w:eastAsia="zh-CN"/>
              </w:rPr>
            </w:pPr>
            <w:r>
              <w:rPr>
                <w:rFonts w:hint="eastAsia" w:ascii="微软雅黑" w:hAnsi="微软雅黑" w:eastAsia="微软雅黑" w:cs="微软雅黑"/>
                <w:color w:val="auto"/>
                <w:lang w:eastAsia="zh-CN"/>
              </w:rPr>
              <w:t>⑨</w:t>
            </w:r>
            <w:r>
              <w:rPr>
                <w:rFonts w:hint="default"/>
                <w:color w:val="auto"/>
                <w:lang w:eastAsia="zh-CN"/>
              </w:rPr>
              <w:t>库房定期安全检查:定期对库房进行消防安全检查，确保防火设备和消防设施正常运行，并及时整改和维修存在的问题。</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eastAsia="zh-CN"/>
              </w:rPr>
              <w:t>（</w:t>
            </w:r>
            <w:r>
              <w:rPr>
                <w:rFonts w:hint="eastAsia" w:ascii="Times New Roman" w:hAnsi="Times New Roman" w:eastAsia="宋体" w:cs="Times New Roman"/>
                <w:b/>
                <w:bCs/>
                <w:color w:val="auto"/>
                <w:kern w:val="0"/>
                <w:sz w:val="24"/>
                <w:szCs w:val="24"/>
                <w:u w:val="none" w:color="auto"/>
                <w:lang w:val="en-US" w:eastAsia="zh-CN"/>
              </w:rPr>
              <w:t>3</w:t>
            </w:r>
            <w:r>
              <w:rPr>
                <w:rFonts w:hint="eastAsia" w:ascii="Times New Roman" w:hAnsi="Times New Roman" w:eastAsia="宋体" w:cs="Times New Roman"/>
                <w:b/>
                <w:bCs/>
                <w:color w:val="auto"/>
                <w:kern w:val="0"/>
                <w:sz w:val="24"/>
                <w:szCs w:val="24"/>
                <w:u w:val="none" w:color="auto"/>
                <w:lang w:eastAsia="zh-CN"/>
              </w:rPr>
              <w:t>）</w:t>
            </w:r>
            <w:r>
              <w:rPr>
                <w:rFonts w:hint="default" w:ascii="Times New Roman" w:hAnsi="Times New Roman" w:eastAsia="宋体" w:cs="Times New Roman"/>
                <w:b/>
                <w:bCs/>
                <w:color w:val="auto"/>
                <w:kern w:val="0"/>
                <w:sz w:val="24"/>
                <w:szCs w:val="24"/>
                <w:u w:val="none" w:color="auto"/>
                <w:lang w:eastAsia="zh-CN"/>
              </w:rPr>
              <w:t>分析结论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项目落实环评所提措施后，环境风险较小，在可控范围内。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表4-</w:t>
            </w:r>
            <w:r>
              <w:rPr>
                <w:rFonts w:hint="eastAsia" w:ascii="Times New Roman" w:hAnsi="Times New Roman" w:eastAsia="宋体" w:cs="Times New Roman"/>
                <w:color w:val="auto"/>
                <w:sz w:val="24"/>
                <w:szCs w:val="24"/>
                <w:u w:val="none" w:color="auto"/>
                <w:lang w:val="en-US" w:eastAsia="zh-CN"/>
              </w:rPr>
              <w:t>1</w:t>
            </w:r>
            <w:r>
              <w:rPr>
                <w:rFonts w:hint="eastAsia" w:cs="Times New Roman"/>
                <w:color w:val="auto"/>
                <w:sz w:val="24"/>
                <w:szCs w:val="24"/>
                <w:u w:val="none" w:color="auto"/>
                <w:lang w:val="en-US" w:eastAsia="zh-CN"/>
              </w:rPr>
              <w:t>6</w:t>
            </w:r>
            <w:r>
              <w:rPr>
                <w:rFonts w:hint="eastAsia"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rPr>
              <w:t>建设项目环境风险简单分析内容表</w:t>
            </w:r>
          </w:p>
          <w:tbl>
            <w:tblPr>
              <w:tblStyle w:val="21"/>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946"/>
              <w:gridCol w:w="2499"/>
              <w:gridCol w:w="870"/>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1" w:type="dxa"/>
                  <w:noWrap w:val="0"/>
                  <w:vAlign w:val="center"/>
                </w:tcPr>
                <w:p>
                  <w:pPr>
                    <w:pStyle w:val="55"/>
                    <w:bidi w:val="0"/>
                    <w:rPr>
                      <w:rFonts w:hint="default"/>
                      <w:color w:val="auto"/>
                    </w:rPr>
                  </w:pPr>
                  <w:r>
                    <w:rPr>
                      <w:rFonts w:hint="default"/>
                      <w:color w:val="auto"/>
                    </w:rPr>
                    <w:t>建设项目名称</w:t>
                  </w:r>
                </w:p>
              </w:tc>
              <w:tc>
                <w:tcPr>
                  <w:tcW w:w="6455" w:type="dxa"/>
                  <w:gridSpan w:val="4"/>
                  <w:noWrap w:val="0"/>
                  <w:vAlign w:val="center"/>
                </w:tcPr>
                <w:p>
                  <w:pPr>
                    <w:pStyle w:val="55"/>
                    <w:bidi w:val="0"/>
                    <w:rPr>
                      <w:rFonts w:hint="eastAsia"/>
                      <w:color w:val="auto"/>
                      <w:lang w:eastAsia="zh-CN"/>
                    </w:rPr>
                  </w:pPr>
                  <w:r>
                    <w:rPr>
                      <w:rFonts w:hint="eastAsia"/>
                      <w:color w:val="auto"/>
                      <w:lang w:eastAsia="zh-CN"/>
                    </w:rPr>
                    <w:t>湘阴县人民医院医疗副中心（二期）东塘卫生院分中心建设项目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pPr>
                    <w:pStyle w:val="55"/>
                    <w:bidi w:val="0"/>
                    <w:rPr>
                      <w:rFonts w:hint="default"/>
                      <w:color w:val="auto"/>
                    </w:rPr>
                  </w:pPr>
                  <w:r>
                    <w:rPr>
                      <w:rFonts w:hint="default"/>
                      <w:color w:val="auto"/>
                    </w:rPr>
                    <w:t>建设地点</w:t>
                  </w:r>
                </w:p>
              </w:tc>
              <w:tc>
                <w:tcPr>
                  <w:tcW w:w="946" w:type="dxa"/>
                  <w:noWrap w:val="0"/>
                  <w:vAlign w:val="center"/>
                </w:tcPr>
                <w:p>
                  <w:pPr>
                    <w:pStyle w:val="55"/>
                    <w:bidi w:val="0"/>
                    <w:rPr>
                      <w:rFonts w:hint="default"/>
                      <w:color w:val="auto"/>
                    </w:rPr>
                  </w:pPr>
                  <w:r>
                    <w:rPr>
                      <w:rFonts w:hint="default"/>
                      <w:color w:val="auto"/>
                    </w:rPr>
                    <w:t>湖南省</w:t>
                  </w:r>
                </w:p>
              </w:tc>
              <w:tc>
                <w:tcPr>
                  <w:tcW w:w="2499" w:type="dxa"/>
                  <w:noWrap w:val="0"/>
                  <w:vAlign w:val="center"/>
                </w:tcPr>
                <w:p>
                  <w:pPr>
                    <w:pStyle w:val="55"/>
                    <w:bidi w:val="0"/>
                    <w:rPr>
                      <w:rFonts w:hint="default"/>
                      <w:color w:val="auto"/>
                    </w:rPr>
                  </w:pPr>
                  <w:r>
                    <w:rPr>
                      <w:rFonts w:hint="default"/>
                      <w:color w:val="auto"/>
                    </w:rPr>
                    <w:t>岳阳市</w:t>
                  </w:r>
                </w:p>
              </w:tc>
              <w:tc>
                <w:tcPr>
                  <w:tcW w:w="870" w:type="dxa"/>
                  <w:noWrap w:val="0"/>
                  <w:vAlign w:val="center"/>
                </w:tcPr>
                <w:p>
                  <w:pPr>
                    <w:pStyle w:val="55"/>
                    <w:bidi w:val="0"/>
                    <w:rPr>
                      <w:rFonts w:hint="default"/>
                      <w:color w:val="auto"/>
                    </w:rPr>
                  </w:pPr>
                  <w:r>
                    <w:rPr>
                      <w:rFonts w:hint="default"/>
                      <w:color w:val="auto"/>
                    </w:rPr>
                    <w:t>湘阴县</w:t>
                  </w:r>
                </w:p>
              </w:tc>
              <w:tc>
                <w:tcPr>
                  <w:tcW w:w="2140" w:type="dxa"/>
                  <w:noWrap w:val="0"/>
                  <w:vAlign w:val="center"/>
                </w:tcPr>
                <w:p>
                  <w:pPr>
                    <w:pStyle w:val="55"/>
                    <w:bidi w:val="0"/>
                    <w:rPr>
                      <w:rFonts w:hint="default"/>
                      <w:color w:val="auto"/>
                      <w:lang w:val="en-US"/>
                    </w:rPr>
                  </w:pPr>
                  <w:r>
                    <w:rPr>
                      <w:rFonts w:hint="eastAsia"/>
                      <w:color w:val="auto"/>
                      <w:lang w:eastAsia="zh-CN"/>
                    </w:rPr>
                    <w:t>东塘</w:t>
                  </w:r>
                  <w:r>
                    <w:rPr>
                      <w:rFonts w:hint="eastAsia"/>
                      <w:color w:val="auto"/>
                      <w:lang w:val="en-US" w:eastAsia="zh-CN"/>
                    </w:rPr>
                    <w:t>镇文卫路1号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pPr>
                    <w:pStyle w:val="55"/>
                    <w:bidi w:val="0"/>
                    <w:rPr>
                      <w:rFonts w:hint="default"/>
                      <w:color w:val="auto"/>
                    </w:rPr>
                  </w:pPr>
                  <w:r>
                    <w:rPr>
                      <w:rFonts w:hint="default"/>
                      <w:color w:val="auto"/>
                    </w:rPr>
                    <w:t>地理坐标</w:t>
                  </w:r>
                </w:p>
              </w:tc>
              <w:tc>
                <w:tcPr>
                  <w:tcW w:w="946" w:type="dxa"/>
                  <w:noWrap w:val="0"/>
                  <w:vAlign w:val="center"/>
                </w:tcPr>
                <w:p>
                  <w:pPr>
                    <w:pStyle w:val="55"/>
                    <w:bidi w:val="0"/>
                    <w:rPr>
                      <w:rFonts w:hint="default"/>
                      <w:color w:val="auto"/>
                    </w:rPr>
                  </w:pPr>
                  <w:r>
                    <w:rPr>
                      <w:rFonts w:hint="default"/>
                      <w:color w:val="auto"/>
                    </w:rPr>
                    <w:t>经度</w:t>
                  </w:r>
                </w:p>
              </w:tc>
              <w:tc>
                <w:tcPr>
                  <w:tcW w:w="2499" w:type="dxa"/>
                  <w:noWrap w:val="0"/>
                  <w:vAlign w:val="center"/>
                </w:tcPr>
                <w:p>
                  <w:pPr>
                    <w:pStyle w:val="55"/>
                    <w:bidi w:val="0"/>
                    <w:rPr>
                      <w:rFonts w:hint="default"/>
                      <w:color w:val="auto"/>
                    </w:rPr>
                  </w:pPr>
                  <w:r>
                    <w:rPr>
                      <w:rFonts w:hint="default"/>
                      <w:color w:val="auto"/>
                    </w:rPr>
                    <w:t>东经112度5</w:t>
                  </w:r>
                  <w:r>
                    <w:rPr>
                      <w:rFonts w:hint="eastAsia"/>
                      <w:color w:val="auto"/>
                      <w:lang w:val="en-US" w:eastAsia="zh-CN"/>
                    </w:rPr>
                    <w:t>7</w:t>
                  </w:r>
                  <w:r>
                    <w:rPr>
                      <w:rFonts w:hint="default"/>
                      <w:color w:val="auto"/>
                    </w:rPr>
                    <w:t>分45.304秒</w:t>
                  </w:r>
                </w:p>
              </w:tc>
              <w:tc>
                <w:tcPr>
                  <w:tcW w:w="870" w:type="dxa"/>
                  <w:noWrap w:val="0"/>
                  <w:vAlign w:val="center"/>
                </w:tcPr>
                <w:p>
                  <w:pPr>
                    <w:pStyle w:val="55"/>
                    <w:bidi w:val="0"/>
                    <w:rPr>
                      <w:rFonts w:hint="default"/>
                      <w:color w:val="auto"/>
                    </w:rPr>
                  </w:pPr>
                  <w:r>
                    <w:rPr>
                      <w:rFonts w:hint="default"/>
                      <w:color w:val="auto"/>
                    </w:rPr>
                    <w:t>纬度</w:t>
                  </w:r>
                </w:p>
              </w:tc>
              <w:tc>
                <w:tcPr>
                  <w:tcW w:w="2140" w:type="dxa"/>
                  <w:noWrap w:val="0"/>
                  <w:vAlign w:val="center"/>
                </w:tcPr>
                <w:p>
                  <w:pPr>
                    <w:pStyle w:val="55"/>
                    <w:bidi w:val="0"/>
                    <w:rPr>
                      <w:rFonts w:hint="default"/>
                      <w:color w:val="auto"/>
                    </w:rPr>
                  </w:pPr>
                  <w:r>
                    <w:rPr>
                      <w:rFonts w:hint="default"/>
                      <w:color w:val="auto"/>
                    </w:rPr>
                    <w:t>北纬28度4</w:t>
                  </w:r>
                  <w:r>
                    <w:rPr>
                      <w:rFonts w:hint="eastAsia"/>
                      <w:color w:val="auto"/>
                      <w:lang w:val="en-US" w:eastAsia="zh-CN"/>
                    </w:rPr>
                    <w:t>6</w:t>
                  </w:r>
                  <w:r>
                    <w:rPr>
                      <w:rFonts w:hint="default"/>
                      <w:color w:val="auto"/>
                    </w:rPr>
                    <w:t>分40.018秒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pPr>
                    <w:pStyle w:val="55"/>
                    <w:bidi w:val="0"/>
                    <w:rPr>
                      <w:rFonts w:hint="default"/>
                      <w:color w:val="auto"/>
                    </w:rPr>
                  </w:pPr>
                  <w:r>
                    <w:rPr>
                      <w:rFonts w:hint="default"/>
                      <w:color w:val="auto"/>
                    </w:rPr>
                    <w:t>主要危险物质及分布</w:t>
                  </w:r>
                </w:p>
              </w:tc>
              <w:tc>
                <w:tcPr>
                  <w:tcW w:w="6455" w:type="dxa"/>
                  <w:gridSpan w:val="4"/>
                  <w:noWrap w:val="0"/>
                  <w:vAlign w:val="center"/>
                </w:tcPr>
                <w:p>
                  <w:pPr>
                    <w:pStyle w:val="55"/>
                    <w:bidi w:val="0"/>
                    <w:rPr>
                      <w:rFonts w:hint="default"/>
                      <w:color w:val="auto"/>
                    </w:rPr>
                  </w:pPr>
                  <w:r>
                    <w:rPr>
                      <w:rFonts w:hint="default"/>
                      <w:color w:val="auto"/>
                    </w:rPr>
                    <w:t>库房（酒精）、医疗废物暂存间（医疗废物）、污水处理站（医疗废水）、发电机房（柴油）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1" w:type="dxa"/>
                  <w:noWrap w:val="0"/>
                  <w:vAlign w:val="center"/>
                </w:tcPr>
                <w:p>
                  <w:pPr>
                    <w:pStyle w:val="55"/>
                    <w:bidi w:val="0"/>
                    <w:rPr>
                      <w:rFonts w:hint="default"/>
                      <w:color w:val="auto"/>
                    </w:rPr>
                  </w:pPr>
                  <w:r>
                    <w:rPr>
                      <w:rFonts w:hint="default"/>
                      <w:color w:val="auto"/>
                    </w:rPr>
                    <w:t>环境影响途径及危害后果</w:t>
                  </w:r>
                </w:p>
              </w:tc>
              <w:tc>
                <w:tcPr>
                  <w:tcW w:w="6455" w:type="dxa"/>
                  <w:gridSpan w:val="4"/>
                  <w:noWrap w:val="0"/>
                  <w:vAlign w:val="center"/>
                </w:tcPr>
                <w:p>
                  <w:pPr>
                    <w:pStyle w:val="55"/>
                    <w:bidi w:val="0"/>
                    <w:rPr>
                      <w:rFonts w:hint="default"/>
                      <w:color w:val="auto"/>
                    </w:rPr>
                  </w:pPr>
                  <w:r>
                    <w:rPr>
                      <w:rFonts w:hint="default"/>
                      <w:color w:val="auto"/>
                    </w:rPr>
                    <w:t>原材料和危废的运输、贮存过程中，如管理操作不当或发生意外事故，存在着</w:t>
                  </w:r>
                  <w:r>
                    <w:rPr>
                      <w:rFonts w:hint="eastAsia"/>
                      <w:color w:val="auto"/>
                      <w:lang w:eastAsia="zh-CN"/>
                    </w:rPr>
                    <w:t>泄漏</w:t>
                  </w:r>
                  <w:r>
                    <w:rPr>
                      <w:rFonts w:hint="default"/>
                      <w:color w:val="auto"/>
                    </w:rPr>
                    <w:t>、燃烧等环境风险事故；污水处理站运行故障时存在废水非正常排放的环境风险事故。一旦发生此类事故，引起原料或危废的</w:t>
                  </w:r>
                  <w:r>
                    <w:rPr>
                      <w:rFonts w:hint="eastAsia"/>
                      <w:color w:val="auto"/>
                      <w:lang w:eastAsia="zh-CN"/>
                    </w:rPr>
                    <w:t>泄漏</w:t>
                  </w:r>
                  <w:r>
                    <w:rPr>
                      <w:rFonts w:hint="default"/>
                      <w:color w:val="auto"/>
                    </w:rPr>
                    <w:t>、火灾事故或废水非正常排放，将会对周围空气、土壤、地下水环境产生较大污染。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pPr>
                    <w:pStyle w:val="55"/>
                    <w:bidi w:val="0"/>
                    <w:rPr>
                      <w:rFonts w:hint="default"/>
                      <w:color w:val="auto"/>
                    </w:rPr>
                  </w:pPr>
                  <w:r>
                    <w:rPr>
                      <w:rFonts w:hint="default"/>
                      <w:color w:val="auto"/>
                    </w:rPr>
                    <w:t>风险</w:t>
                  </w:r>
                  <w:r>
                    <w:rPr>
                      <w:rFonts w:hint="eastAsia"/>
                      <w:color w:val="auto"/>
                      <w:lang w:eastAsia="zh-CN"/>
                    </w:rPr>
                    <w:t>防范措施</w:t>
                  </w:r>
                </w:p>
              </w:tc>
              <w:tc>
                <w:tcPr>
                  <w:tcW w:w="6455" w:type="dxa"/>
                  <w:gridSpan w:val="4"/>
                  <w:noWrap w:val="0"/>
                  <w:vAlign w:val="center"/>
                </w:tcPr>
                <w:p>
                  <w:pPr>
                    <w:pStyle w:val="55"/>
                    <w:bidi w:val="0"/>
                    <w:rPr>
                      <w:rFonts w:hint="default"/>
                      <w:color w:val="auto"/>
                    </w:rPr>
                  </w:pPr>
                  <w:r>
                    <w:rPr>
                      <w:rFonts w:hint="default"/>
                      <w:color w:val="auto"/>
                    </w:rPr>
                    <w:t>加强员工管理，定期检修设备，设置事故应急池，提高风险防范措施，配备必要的环境应急物资。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6" w:type="dxa"/>
                  <w:gridSpan w:val="5"/>
                  <w:noWrap w:val="0"/>
                  <w:vAlign w:val="center"/>
                </w:tcPr>
                <w:p>
                  <w:pPr>
                    <w:pStyle w:val="55"/>
                    <w:bidi w:val="0"/>
                    <w:jc w:val="left"/>
                    <w:rPr>
                      <w:rFonts w:hint="default"/>
                      <w:color w:val="auto"/>
                    </w:rPr>
                  </w:pPr>
                  <w:r>
                    <w:rPr>
                      <w:rFonts w:hint="default"/>
                      <w:color w:val="auto"/>
                    </w:rPr>
                    <w:t>填表说明（列出项目相关信息及评价说明）：</w:t>
                  </w:r>
                </w:p>
                <w:p>
                  <w:pPr>
                    <w:pStyle w:val="55"/>
                    <w:bidi w:val="0"/>
                    <w:jc w:val="left"/>
                    <w:rPr>
                      <w:rFonts w:hint="default"/>
                      <w:color w:val="auto"/>
                    </w:rPr>
                  </w:pPr>
                  <w:r>
                    <w:rPr>
                      <w:rFonts w:hint="default"/>
                      <w:color w:val="auto"/>
                    </w:rPr>
                    <w:t>本项目危险物质数量与临界量比值Q小于1，企业环境风险潜势为Ⅰ，针对企业环境风险评价开展简要分析。</w:t>
                  </w:r>
                </w:p>
                <w:p>
                  <w:pPr>
                    <w:pStyle w:val="55"/>
                    <w:bidi w:val="0"/>
                    <w:jc w:val="left"/>
                    <w:rPr>
                      <w:rFonts w:hint="default"/>
                      <w:color w:val="auto"/>
                    </w:rPr>
                  </w:pPr>
                  <w:r>
                    <w:rPr>
                      <w:rFonts w:hint="default"/>
                      <w:color w:val="auto"/>
                    </w:rPr>
                    <w:t>建设单位应按照本环评报告提出的要求落实各项风险防范措施，将项目可能产生的环境风险降到最低。在具体落实各项事故应急防范措施后，可以使风险事故对环境的危害得到有效控制，事故风险可以控制在可接受的范围内。</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b/>
                <w:bCs/>
                <w:color w:val="auto"/>
                <w:kern w:val="0"/>
                <w:sz w:val="24"/>
                <w:szCs w:val="24"/>
                <w:u w:val="none" w:color="auto"/>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b/>
                <w:bCs/>
                <w:color w:val="auto"/>
                <w:kern w:val="0"/>
                <w:sz w:val="24"/>
                <w:szCs w:val="24"/>
                <w:u w:val="none" w:color="auto"/>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b/>
                <w:bCs/>
                <w:color w:val="auto"/>
                <w:kern w:val="0"/>
                <w:sz w:val="24"/>
                <w:szCs w:val="24"/>
                <w:u w:val="none" w:color="auto"/>
              </w:rPr>
            </w:pPr>
            <w:r>
              <w:rPr>
                <w:rFonts w:hint="eastAsia" w:ascii="Times New Roman" w:hAnsi="Times New Roman" w:eastAsia="宋体" w:cs="Times New Roman"/>
                <w:b/>
                <w:bCs/>
                <w:color w:val="auto"/>
                <w:kern w:val="0"/>
                <w:sz w:val="24"/>
                <w:szCs w:val="24"/>
                <w:u w:val="none" w:color="auto"/>
                <w:lang w:val="en-US" w:eastAsia="zh-CN"/>
              </w:rPr>
              <w:t xml:space="preserve">9 </w:t>
            </w:r>
            <w:r>
              <w:rPr>
                <w:rFonts w:hint="default" w:ascii="Times New Roman" w:hAnsi="Times New Roman" w:eastAsia="宋体" w:cs="Times New Roman"/>
                <w:b/>
                <w:bCs/>
                <w:color w:val="auto"/>
                <w:kern w:val="0"/>
                <w:sz w:val="24"/>
                <w:szCs w:val="24"/>
                <w:u w:val="none" w:color="auto"/>
              </w:rPr>
              <w:t>污染物排放规范化整治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根据《关于开展排放口规范化整治工作的通知》（国家环境保护总局环发﹝1999﹞24号）和《排放口规范化整治技术》（国家环境保护总局环发﹝1999﹞24号文）文件的要求，一切新建、扩建的排污单位以及限期治理的排污单位，必须在建设污染治理设施的同时，建设规范化排污口。建设单位的各类排污口必须规范化建设和管理，而且规范化工作应与污染治理同步实施，即治理设施完工时，规范化工作必须同时完成，并列入污染物治理设施的验收内容。应在各水、气、声、固废排污口（源）挂牌标识，详见下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val="en-US" w:eastAsia="zh-CN"/>
              </w:rPr>
              <w:t>废气排放口、水污染物排放口和固体废物堆场应按《环境保护图形标志－排污口（源）》（GBl5562.1-1995）</w:t>
            </w:r>
            <w:r>
              <w:rPr>
                <w:rFonts w:hint="eastAsia" w:ascii="Times New Roman" w:hAnsi="Times New Roman" w:eastAsia="宋体" w:cs="Times New Roman"/>
                <w:color w:val="auto"/>
                <w:sz w:val="24"/>
                <w:szCs w:val="24"/>
                <w:u w:val="none" w:color="auto"/>
                <w:lang w:val="en-US" w:eastAsia="zh-CN"/>
              </w:rPr>
              <w:t>和《环境保护图形标志—固体废物贮存（处置）场》（GB 15562.2-1995）修改单</w:t>
            </w:r>
            <w:r>
              <w:rPr>
                <w:rFonts w:hint="default" w:ascii="Times New Roman" w:hAnsi="Times New Roman" w:eastAsia="宋体" w:cs="Times New Roman"/>
                <w:color w:val="auto"/>
                <w:sz w:val="24"/>
                <w:szCs w:val="24"/>
                <w:u w:val="none" w:color="auto"/>
                <w:lang w:val="en-US" w:eastAsia="zh-CN"/>
              </w:rPr>
              <w:t>规定，设置统一制作的环境保护图形标志牌，污染物排放口设置提示性环境保护图形标志牌；医疗废物贮存场所应按《医疗废物专用包装袋、容器和警示标志标准》（HJ421-2008）规定，统一设置标识标牌。</w:t>
            </w:r>
          </w:p>
          <w:p>
            <w:pPr>
              <w:pStyle w:val="43"/>
              <w:keepNext w:val="0"/>
              <w:keepLines w:val="0"/>
              <w:pageBreakBefore w:val="0"/>
              <w:kinsoku/>
              <w:wordWrap/>
              <w:overflowPunct/>
              <w:topLinePunct w:val="0"/>
              <w:autoSpaceDE/>
              <w:autoSpaceDN/>
              <w:bidi w:val="0"/>
              <w:spacing w:line="360" w:lineRule="auto"/>
              <w:ind w:left="103" w:right="-16" w:firstLine="480"/>
              <w:jc w:val="left"/>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标志牌必须保持清晰、完整，当发现有损坏或颜色有变化，应及时修复或更换。检查时间一年两次。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表4-</w:t>
            </w:r>
            <w:r>
              <w:rPr>
                <w:rFonts w:hint="eastAsia" w:ascii="Times New Roman" w:hAnsi="Times New Roman" w:eastAsia="宋体" w:cs="Times New Roman"/>
                <w:color w:val="auto"/>
                <w:sz w:val="24"/>
                <w:szCs w:val="24"/>
                <w:u w:val="none" w:color="auto"/>
                <w:lang w:val="en-US" w:eastAsia="zh-CN"/>
              </w:rPr>
              <w:t>1</w:t>
            </w:r>
            <w:r>
              <w:rPr>
                <w:rFonts w:hint="eastAsia" w:cs="Times New Roman"/>
                <w:color w:val="auto"/>
                <w:sz w:val="24"/>
                <w:szCs w:val="24"/>
                <w:u w:val="none" w:color="auto"/>
                <w:lang w:val="en-US" w:eastAsia="zh-CN"/>
              </w:rPr>
              <w:t>7</w:t>
            </w:r>
            <w:r>
              <w:rPr>
                <w:rFonts w:hint="eastAsia"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rPr>
              <w:t>环境保护图形标志</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38"/>
              <w:gridCol w:w="1419"/>
              <w:gridCol w:w="2496"/>
              <w:gridCol w:w="1392"/>
              <w:gridCol w:w="21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408" w:type="pct"/>
                  <w:noWrap w:val="0"/>
                  <w:vAlign w:val="center"/>
                </w:tcPr>
                <w:p>
                  <w:pPr>
                    <w:pStyle w:val="49"/>
                    <w:rPr>
                      <w:b/>
                      <w:color w:val="auto"/>
                      <w:u w:val="none" w:color="auto"/>
                    </w:rPr>
                  </w:pPr>
                  <w:r>
                    <w:rPr>
                      <w:b/>
                      <w:color w:val="auto"/>
                      <w:u w:val="none" w:color="auto"/>
                    </w:rPr>
                    <w:t>序号</w:t>
                  </w:r>
                </w:p>
              </w:tc>
              <w:tc>
                <w:tcPr>
                  <w:tcW w:w="1027" w:type="pct"/>
                  <w:noWrap w:val="0"/>
                  <w:vAlign w:val="center"/>
                </w:tcPr>
                <w:p>
                  <w:pPr>
                    <w:pStyle w:val="49"/>
                    <w:rPr>
                      <w:b/>
                      <w:color w:val="auto"/>
                      <w:u w:val="none" w:color="auto"/>
                    </w:rPr>
                  </w:pPr>
                  <w:r>
                    <w:rPr>
                      <w:b/>
                      <w:color w:val="auto"/>
                      <w:u w:val="none" w:color="auto"/>
                    </w:rPr>
                    <w:t>提示图形符号</w:t>
                  </w:r>
                </w:p>
              </w:tc>
              <w:tc>
                <w:tcPr>
                  <w:tcW w:w="1047" w:type="pct"/>
                  <w:noWrap w:val="0"/>
                  <w:vAlign w:val="center"/>
                </w:tcPr>
                <w:p>
                  <w:pPr>
                    <w:pStyle w:val="49"/>
                    <w:rPr>
                      <w:b/>
                      <w:color w:val="auto"/>
                      <w:u w:val="none" w:color="auto"/>
                    </w:rPr>
                  </w:pPr>
                  <w:r>
                    <w:rPr>
                      <w:b/>
                      <w:color w:val="auto"/>
                      <w:u w:val="none" w:color="auto"/>
                    </w:rPr>
                    <w:t>警告图形符号</w:t>
                  </w:r>
                </w:p>
              </w:tc>
              <w:tc>
                <w:tcPr>
                  <w:tcW w:w="1010" w:type="pct"/>
                  <w:noWrap w:val="0"/>
                  <w:vAlign w:val="center"/>
                </w:tcPr>
                <w:p>
                  <w:pPr>
                    <w:pStyle w:val="49"/>
                    <w:rPr>
                      <w:b/>
                      <w:color w:val="auto"/>
                      <w:u w:val="none" w:color="auto"/>
                    </w:rPr>
                  </w:pPr>
                  <w:r>
                    <w:rPr>
                      <w:b/>
                      <w:color w:val="auto"/>
                      <w:u w:val="none" w:color="auto"/>
                    </w:rPr>
                    <w:t>名称</w:t>
                  </w:r>
                </w:p>
              </w:tc>
              <w:tc>
                <w:tcPr>
                  <w:tcW w:w="1505" w:type="pct"/>
                  <w:noWrap w:val="0"/>
                  <w:vAlign w:val="center"/>
                </w:tcPr>
                <w:p>
                  <w:pPr>
                    <w:pStyle w:val="49"/>
                    <w:rPr>
                      <w:b/>
                      <w:color w:val="auto"/>
                      <w:u w:val="none" w:color="auto"/>
                    </w:rPr>
                  </w:pPr>
                  <w:r>
                    <w:rPr>
                      <w:b/>
                      <w:color w:val="auto"/>
                      <w:u w:val="none" w:color="auto"/>
                    </w:rPr>
                    <w:t>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08" w:type="pct"/>
                  <w:noWrap w:val="0"/>
                  <w:vAlign w:val="center"/>
                </w:tcPr>
                <w:p>
                  <w:pPr>
                    <w:pStyle w:val="49"/>
                    <w:rPr>
                      <w:color w:val="auto"/>
                      <w:u w:val="none" w:color="auto"/>
                    </w:rPr>
                  </w:pPr>
                  <w:r>
                    <w:rPr>
                      <w:color w:val="auto"/>
                      <w:u w:val="none" w:color="auto"/>
                    </w:rPr>
                    <w:t>1</w:t>
                  </w:r>
                </w:p>
              </w:tc>
              <w:tc>
                <w:tcPr>
                  <w:tcW w:w="1027" w:type="pct"/>
                  <w:noWrap w:val="0"/>
                  <w:vAlign w:val="center"/>
                </w:tcPr>
                <w:p>
                  <w:pPr>
                    <w:pStyle w:val="49"/>
                    <w:rPr>
                      <w:color w:val="auto"/>
                      <w:u w:val="none" w:color="auto"/>
                    </w:rPr>
                  </w:pPr>
                  <w:r>
                    <w:rPr>
                      <w:color w:val="auto"/>
                      <w:u w:val="none" w:color="auto"/>
                    </w:rPr>
                    <w:drawing>
                      <wp:inline distT="0" distB="0" distL="114300" distR="114300">
                        <wp:extent cx="637540" cy="648970"/>
                        <wp:effectExtent l="0" t="0" r="10160" b="17780"/>
                        <wp:docPr id="67" name="图片 209" descr="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09" descr="说明: 13001"/>
                                <pic:cNvPicPr>
                                  <a:picLocks noChangeAspect="1"/>
                                </pic:cNvPicPr>
                              </pic:nvPicPr>
                              <pic:blipFill>
                                <a:blip r:embed="rId16"/>
                                <a:stretch>
                                  <a:fillRect/>
                                </a:stretch>
                              </pic:blipFill>
                              <pic:spPr>
                                <a:xfrm>
                                  <a:off x="0" y="0"/>
                                  <a:ext cx="637540" cy="648970"/>
                                </a:xfrm>
                                <a:prstGeom prst="rect">
                                  <a:avLst/>
                                </a:prstGeom>
                                <a:noFill/>
                                <a:ln>
                                  <a:noFill/>
                                </a:ln>
                              </pic:spPr>
                            </pic:pic>
                          </a:graphicData>
                        </a:graphic>
                      </wp:inline>
                    </w:drawing>
                  </w:r>
                </w:p>
              </w:tc>
              <w:tc>
                <w:tcPr>
                  <w:tcW w:w="1047" w:type="pct"/>
                  <w:noWrap w:val="0"/>
                  <w:vAlign w:val="center"/>
                </w:tcPr>
                <w:p>
                  <w:pPr>
                    <w:pStyle w:val="49"/>
                    <w:rPr>
                      <w:color w:val="auto"/>
                      <w:u w:val="none" w:color="auto"/>
                    </w:rPr>
                  </w:pPr>
                  <w:r>
                    <w:rPr>
                      <w:color w:val="auto"/>
                      <w:u w:val="none" w:color="auto"/>
                    </w:rPr>
                    <w:drawing>
                      <wp:inline distT="0" distB="0" distL="114300" distR="114300">
                        <wp:extent cx="648970" cy="646430"/>
                        <wp:effectExtent l="0" t="0" r="17780" b="1270"/>
                        <wp:docPr id="68" name="图片 210" descr="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10" descr="说明: 13002"/>
                                <pic:cNvPicPr>
                                  <a:picLocks noChangeAspect="1"/>
                                </pic:cNvPicPr>
                              </pic:nvPicPr>
                              <pic:blipFill>
                                <a:blip r:embed="rId17"/>
                                <a:stretch>
                                  <a:fillRect/>
                                </a:stretch>
                              </pic:blipFill>
                              <pic:spPr>
                                <a:xfrm>
                                  <a:off x="0" y="0"/>
                                  <a:ext cx="648970" cy="646430"/>
                                </a:xfrm>
                                <a:prstGeom prst="rect">
                                  <a:avLst/>
                                </a:prstGeom>
                                <a:noFill/>
                                <a:ln>
                                  <a:noFill/>
                                </a:ln>
                              </pic:spPr>
                            </pic:pic>
                          </a:graphicData>
                        </a:graphic>
                      </wp:inline>
                    </w:drawing>
                  </w:r>
                </w:p>
              </w:tc>
              <w:tc>
                <w:tcPr>
                  <w:tcW w:w="1010" w:type="pct"/>
                  <w:noWrap w:val="0"/>
                  <w:vAlign w:val="center"/>
                </w:tcPr>
                <w:p>
                  <w:pPr>
                    <w:pStyle w:val="49"/>
                    <w:rPr>
                      <w:color w:val="auto"/>
                      <w:u w:val="none" w:color="auto"/>
                    </w:rPr>
                  </w:pPr>
                  <w:r>
                    <w:rPr>
                      <w:color w:val="auto"/>
                      <w:u w:val="none" w:color="auto"/>
                    </w:rPr>
                    <w:t>废水排放口</w:t>
                  </w:r>
                </w:p>
              </w:tc>
              <w:tc>
                <w:tcPr>
                  <w:tcW w:w="1505" w:type="pct"/>
                  <w:noWrap w:val="0"/>
                  <w:vAlign w:val="center"/>
                </w:tcPr>
                <w:p>
                  <w:pPr>
                    <w:pStyle w:val="49"/>
                    <w:rPr>
                      <w:color w:val="auto"/>
                      <w:u w:val="none" w:color="auto"/>
                    </w:rPr>
                  </w:pPr>
                  <w:r>
                    <w:rPr>
                      <w:color w:val="auto"/>
                      <w:u w:val="none" w:color="auto"/>
                    </w:rPr>
                    <w:t>表示废水向外环境排放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08" w:type="pct"/>
                  <w:noWrap w:val="0"/>
                  <w:vAlign w:val="center"/>
                </w:tcPr>
                <w:p>
                  <w:pPr>
                    <w:pStyle w:val="49"/>
                    <w:rPr>
                      <w:color w:val="auto"/>
                      <w:u w:val="none" w:color="auto"/>
                    </w:rPr>
                  </w:pPr>
                  <w:r>
                    <w:rPr>
                      <w:rFonts w:hint="eastAsia"/>
                      <w:color w:val="auto"/>
                      <w:u w:val="none" w:color="auto"/>
                    </w:rPr>
                    <w:t>2</w:t>
                  </w:r>
                </w:p>
              </w:tc>
              <w:tc>
                <w:tcPr>
                  <w:tcW w:w="1027" w:type="pct"/>
                  <w:noWrap w:val="0"/>
                  <w:vAlign w:val="center"/>
                </w:tcPr>
                <w:p>
                  <w:pPr>
                    <w:pStyle w:val="49"/>
                    <w:rPr>
                      <w:color w:val="auto"/>
                      <w:u w:val="none" w:color="auto"/>
                    </w:rPr>
                  </w:pPr>
                  <w:r>
                    <w:rPr>
                      <w:color w:val="auto"/>
                      <w:u w:val="none" w:color="auto"/>
                    </w:rPr>
                    <w:drawing>
                      <wp:inline distT="0" distB="0" distL="114300" distR="114300">
                        <wp:extent cx="648970" cy="648970"/>
                        <wp:effectExtent l="0" t="0" r="17780" b="17780"/>
                        <wp:docPr id="69" name="图片 211" descr="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11" descr="说明: 14001"/>
                                <pic:cNvPicPr>
                                  <a:picLocks noChangeAspect="1"/>
                                </pic:cNvPicPr>
                              </pic:nvPicPr>
                              <pic:blipFill>
                                <a:blip r:embed="rId18"/>
                                <a:stretch>
                                  <a:fillRect/>
                                </a:stretch>
                              </pic:blipFill>
                              <pic:spPr>
                                <a:xfrm>
                                  <a:off x="0" y="0"/>
                                  <a:ext cx="648970" cy="648970"/>
                                </a:xfrm>
                                <a:prstGeom prst="rect">
                                  <a:avLst/>
                                </a:prstGeom>
                                <a:noFill/>
                                <a:ln>
                                  <a:noFill/>
                                </a:ln>
                              </pic:spPr>
                            </pic:pic>
                          </a:graphicData>
                        </a:graphic>
                      </wp:inline>
                    </w:drawing>
                  </w:r>
                </w:p>
              </w:tc>
              <w:tc>
                <w:tcPr>
                  <w:tcW w:w="1047" w:type="pct"/>
                  <w:noWrap w:val="0"/>
                  <w:vAlign w:val="center"/>
                </w:tcPr>
                <w:p>
                  <w:pPr>
                    <w:pStyle w:val="49"/>
                    <w:rPr>
                      <w:color w:val="auto"/>
                      <w:u w:val="none" w:color="auto"/>
                    </w:rPr>
                  </w:pPr>
                  <w:r>
                    <w:rPr>
                      <w:color w:val="auto"/>
                      <w:u w:val="none" w:color="auto"/>
                    </w:rPr>
                    <w:drawing>
                      <wp:inline distT="0" distB="0" distL="114300" distR="114300">
                        <wp:extent cx="688975" cy="648335"/>
                        <wp:effectExtent l="0" t="0" r="15875" b="18415"/>
                        <wp:docPr id="70" name="图片 212" descr="说明: 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12" descr="说明: 14002"/>
                                <pic:cNvPicPr>
                                  <a:picLocks noChangeAspect="1"/>
                                </pic:cNvPicPr>
                              </pic:nvPicPr>
                              <pic:blipFill>
                                <a:blip r:embed="rId19"/>
                                <a:stretch>
                                  <a:fillRect/>
                                </a:stretch>
                              </pic:blipFill>
                              <pic:spPr>
                                <a:xfrm>
                                  <a:off x="0" y="0"/>
                                  <a:ext cx="688975" cy="648335"/>
                                </a:xfrm>
                                <a:prstGeom prst="rect">
                                  <a:avLst/>
                                </a:prstGeom>
                                <a:noFill/>
                                <a:ln>
                                  <a:noFill/>
                                </a:ln>
                              </pic:spPr>
                            </pic:pic>
                          </a:graphicData>
                        </a:graphic>
                      </wp:inline>
                    </w:drawing>
                  </w:r>
                </w:p>
              </w:tc>
              <w:tc>
                <w:tcPr>
                  <w:tcW w:w="1010" w:type="pct"/>
                  <w:noWrap w:val="0"/>
                  <w:vAlign w:val="center"/>
                </w:tcPr>
                <w:p>
                  <w:pPr>
                    <w:pStyle w:val="49"/>
                    <w:rPr>
                      <w:color w:val="auto"/>
                      <w:u w:val="none" w:color="auto"/>
                    </w:rPr>
                  </w:pPr>
                  <w:r>
                    <w:rPr>
                      <w:color w:val="auto"/>
                      <w:u w:val="none" w:color="auto"/>
                    </w:rPr>
                    <w:t>一般固体废物</w:t>
                  </w:r>
                </w:p>
              </w:tc>
              <w:tc>
                <w:tcPr>
                  <w:tcW w:w="1505" w:type="pct"/>
                  <w:noWrap w:val="0"/>
                  <w:vAlign w:val="center"/>
                </w:tcPr>
                <w:p>
                  <w:pPr>
                    <w:pStyle w:val="49"/>
                    <w:rPr>
                      <w:color w:val="auto"/>
                      <w:u w:val="none" w:color="auto"/>
                    </w:rPr>
                  </w:pPr>
                  <w:r>
                    <w:rPr>
                      <w:color w:val="auto"/>
                      <w:u w:val="none" w:color="auto"/>
                    </w:rPr>
                    <w:t>表示一般固体废物贮存、处置场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08" w:type="pct"/>
                  <w:noWrap w:val="0"/>
                  <w:vAlign w:val="center"/>
                </w:tcPr>
                <w:p>
                  <w:pPr>
                    <w:pStyle w:val="49"/>
                    <w:rPr>
                      <w:color w:val="auto"/>
                      <w:u w:val="none" w:color="auto"/>
                    </w:rPr>
                  </w:pPr>
                  <w:r>
                    <w:rPr>
                      <w:rFonts w:hint="eastAsia"/>
                      <w:color w:val="auto"/>
                      <w:u w:val="none" w:color="auto"/>
                    </w:rPr>
                    <w:t>3</w:t>
                  </w:r>
                </w:p>
              </w:tc>
              <w:tc>
                <w:tcPr>
                  <w:tcW w:w="1027" w:type="pct"/>
                  <w:noWrap w:val="0"/>
                  <w:vAlign w:val="center"/>
                </w:tcPr>
                <w:p>
                  <w:pPr>
                    <w:pStyle w:val="49"/>
                    <w:rPr>
                      <w:color w:val="auto"/>
                      <w:u w:val="none" w:color="auto"/>
                    </w:rPr>
                  </w:pPr>
                  <w:r>
                    <w:rPr>
                      <w:color w:val="auto"/>
                      <w:u w:val="none" w:color="auto"/>
                    </w:rPr>
                    <w:drawing>
                      <wp:inline distT="0" distB="0" distL="114300" distR="114300">
                        <wp:extent cx="647700" cy="647700"/>
                        <wp:effectExtent l="0" t="0" r="0" b="0"/>
                        <wp:docPr id="71" name="图片 213" descr="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13" descr="说明: 200602201518049853"/>
                                <pic:cNvPicPr>
                                  <a:picLocks noChangeAspect="1"/>
                                </pic:cNvPicPr>
                              </pic:nvPicPr>
                              <pic:blipFill>
                                <a:blip r:embed="rId20"/>
                                <a:stretch>
                                  <a:fillRect/>
                                </a:stretch>
                              </pic:blipFill>
                              <pic:spPr>
                                <a:xfrm>
                                  <a:off x="0" y="0"/>
                                  <a:ext cx="647700" cy="647700"/>
                                </a:xfrm>
                                <a:prstGeom prst="rect">
                                  <a:avLst/>
                                </a:prstGeom>
                                <a:noFill/>
                                <a:ln>
                                  <a:noFill/>
                                </a:ln>
                              </pic:spPr>
                            </pic:pic>
                          </a:graphicData>
                        </a:graphic>
                      </wp:inline>
                    </w:drawing>
                  </w:r>
                </w:p>
              </w:tc>
              <w:tc>
                <w:tcPr>
                  <w:tcW w:w="1047" w:type="pct"/>
                  <w:noWrap w:val="0"/>
                  <w:vAlign w:val="center"/>
                </w:tcPr>
                <w:p>
                  <w:pPr>
                    <w:pStyle w:val="49"/>
                    <w:rPr>
                      <w:color w:val="auto"/>
                      <w:u w:val="none" w:color="auto"/>
                    </w:rPr>
                  </w:pPr>
                  <w:r>
                    <w:rPr>
                      <w:color w:val="auto"/>
                      <w:u w:val="none" w:color="auto"/>
                    </w:rPr>
                    <w:drawing>
                      <wp:inline distT="0" distB="0" distL="114300" distR="114300">
                        <wp:extent cx="728980" cy="647065"/>
                        <wp:effectExtent l="0" t="0" r="13970" b="635"/>
                        <wp:docPr id="72" name="图片 214" descr="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14" descr="说明: 200602201519018631"/>
                                <pic:cNvPicPr>
                                  <a:picLocks noChangeAspect="1"/>
                                </pic:cNvPicPr>
                              </pic:nvPicPr>
                              <pic:blipFill>
                                <a:blip r:embed="rId21"/>
                                <a:stretch>
                                  <a:fillRect/>
                                </a:stretch>
                              </pic:blipFill>
                              <pic:spPr>
                                <a:xfrm>
                                  <a:off x="0" y="0"/>
                                  <a:ext cx="728980" cy="647065"/>
                                </a:xfrm>
                                <a:prstGeom prst="rect">
                                  <a:avLst/>
                                </a:prstGeom>
                                <a:noFill/>
                                <a:ln>
                                  <a:noFill/>
                                </a:ln>
                              </pic:spPr>
                            </pic:pic>
                          </a:graphicData>
                        </a:graphic>
                      </wp:inline>
                    </w:drawing>
                  </w:r>
                </w:p>
              </w:tc>
              <w:tc>
                <w:tcPr>
                  <w:tcW w:w="1010" w:type="pct"/>
                  <w:noWrap w:val="0"/>
                  <w:vAlign w:val="center"/>
                </w:tcPr>
                <w:p>
                  <w:pPr>
                    <w:pStyle w:val="49"/>
                    <w:rPr>
                      <w:color w:val="auto"/>
                      <w:u w:val="none" w:color="auto"/>
                    </w:rPr>
                  </w:pPr>
                  <w:r>
                    <w:rPr>
                      <w:color w:val="auto"/>
                      <w:u w:val="none" w:color="auto"/>
                    </w:rPr>
                    <w:t>噪声排放源</w:t>
                  </w:r>
                </w:p>
              </w:tc>
              <w:tc>
                <w:tcPr>
                  <w:tcW w:w="1505" w:type="pct"/>
                  <w:noWrap w:val="0"/>
                  <w:vAlign w:val="center"/>
                </w:tcPr>
                <w:p>
                  <w:pPr>
                    <w:pStyle w:val="49"/>
                    <w:rPr>
                      <w:color w:val="auto"/>
                      <w:u w:val="none" w:color="auto"/>
                    </w:rPr>
                  </w:pPr>
                  <w:r>
                    <w:rPr>
                      <w:color w:val="auto"/>
                      <w:u w:val="none" w:color="auto"/>
                    </w:rPr>
                    <w:t>表示噪声向外环境排放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noWrap w:val="0"/>
                  <w:vAlign w:val="center"/>
                </w:tcPr>
                <w:p>
                  <w:pPr>
                    <w:pStyle w:val="49"/>
                    <w:rPr>
                      <w:color w:val="auto"/>
                      <w:u w:val="none" w:color="auto"/>
                    </w:rPr>
                  </w:pPr>
                  <w:r>
                    <w:rPr>
                      <w:rFonts w:hint="eastAsia"/>
                      <w:color w:val="auto"/>
                      <w:u w:val="none" w:color="auto"/>
                    </w:rPr>
                    <w:t>4</w:t>
                  </w:r>
                </w:p>
              </w:tc>
              <w:tc>
                <w:tcPr>
                  <w:tcW w:w="1027" w:type="pct"/>
                  <w:noWrap w:val="0"/>
                  <w:vAlign w:val="center"/>
                </w:tcPr>
                <w:p>
                  <w:pPr>
                    <w:pStyle w:val="49"/>
                    <w:rPr>
                      <w:color w:val="auto"/>
                      <w:u w:val="none" w:color="auto"/>
                    </w:rPr>
                  </w:pPr>
                  <w:r>
                    <w:rPr>
                      <w:color w:val="auto"/>
                      <w:u w:val="none" w:color="auto"/>
                    </w:rPr>
                    <w:t>/</w:t>
                  </w:r>
                </w:p>
              </w:tc>
              <w:tc>
                <w:tcPr>
                  <w:tcW w:w="1047" w:type="pct"/>
                  <w:noWrap w:val="0"/>
                  <w:vAlign w:val="center"/>
                </w:tcPr>
                <w:p>
                  <w:pPr>
                    <w:pStyle w:val="49"/>
                    <w:rPr>
                      <w:color w:val="auto"/>
                      <w:u w:val="none" w:color="auto"/>
                    </w:rPr>
                  </w:pPr>
                  <w:r>
                    <w:rPr>
                      <w:color w:val="auto"/>
                      <w:u w:val="none" w:color="auto"/>
                    </w:rPr>
                    <w:drawing>
                      <wp:inline distT="0" distB="0" distL="114300" distR="114300">
                        <wp:extent cx="880745" cy="792480"/>
                        <wp:effectExtent l="0" t="0" r="14605" b="7620"/>
                        <wp:docPr id="73"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41"/>
                                <pic:cNvPicPr>
                                  <a:picLocks noChangeAspect="1"/>
                                </pic:cNvPicPr>
                              </pic:nvPicPr>
                              <pic:blipFill>
                                <a:blip r:embed="rId22">
                                  <a:lum bright="6000"/>
                                </a:blip>
                                <a:stretch>
                                  <a:fillRect/>
                                </a:stretch>
                              </pic:blipFill>
                              <pic:spPr>
                                <a:xfrm>
                                  <a:off x="0" y="0"/>
                                  <a:ext cx="880745" cy="792480"/>
                                </a:xfrm>
                                <a:prstGeom prst="rect">
                                  <a:avLst/>
                                </a:prstGeom>
                                <a:noFill/>
                                <a:ln>
                                  <a:noFill/>
                                </a:ln>
                              </pic:spPr>
                            </pic:pic>
                          </a:graphicData>
                        </a:graphic>
                      </wp:inline>
                    </w:drawing>
                  </w:r>
                </w:p>
              </w:tc>
              <w:tc>
                <w:tcPr>
                  <w:tcW w:w="1010" w:type="pct"/>
                  <w:noWrap w:val="0"/>
                  <w:vAlign w:val="center"/>
                </w:tcPr>
                <w:p>
                  <w:pPr>
                    <w:pStyle w:val="49"/>
                    <w:rPr>
                      <w:color w:val="auto"/>
                      <w:u w:val="none" w:color="auto"/>
                    </w:rPr>
                  </w:pPr>
                  <w:r>
                    <w:rPr>
                      <w:color w:val="auto"/>
                      <w:u w:val="none" w:color="auto"/>
                    </w:rPr>
                    <w:t>危险废物</w:t>
                  </w:r>
                </w:p>
              </w:tc>
              <w:tc>
                <w:tcPr>
                  <w:tcW w:w="1505" w:type="pct"/>
                  <w:noWrap w:val="0"/>
                  <w:vAlign w:val="center"/>
                </w:tcPr>
                <w:p>
                  <w:pPr>
                    <w:pStyle w:val="49"/>
                    <w:rPr>
                      <w:color w:val="auto"/>
                      <w:u w:val="none" w:color="auto"/>
                    </w:rPr>
                  </w:pPr>
                  <w:r>
                    <w:rPr>
                      <w:color w:val="auto"/>
                      <w:u w:val="none" w:color="auto"/>
                    </w:rPr>
                    <w:t>表示危险废物贮存、处置场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08" w:type="pct"/>
                  <w:noWrap w:val="0"/>
                  <w:vAlign w:val="center"/>
                </w:tcPr>
                <w:p>
                  <w:pPr>
                    <w:pStyle w:val="49"/>
                    <w:rPr>
                      <w:rFonts w:hint="eastAsia" w:eastAsia="宋体"/>
                      <w:color w:val="auto"/>
                      <w:u w:val="none" w:color="auto"/>
                      <w:lang w:val="en-US" w:eastAsia="zh-CN"/>
                    </w:rPr>
                  </w:pPr>
                  <w:r>
                    <w:rPr>
                      <w:rFonts w:hint="eastAsia"/>
                      <w:color w:val="auto"/>
                      <w:u w:val="none" w:color="auto"/>
                      <w:lang w:val="en-US" w:eastAsia="zh-CN"/>
                    </w:rPr>
                    <w:t>5</w:t>
                  </w:r>
                </w:p>
              </w:tc>
              <w:tc>
                <w:tcPr>
                  <w:tcW w:w="1027" w:type="pct"/>
                  <w:noWrap w:val="0"/>
                  <w:vAlign w:val="center"/>
                </w:tcPr>
                <w:p>
                  <w:pPr>
                    <w:pStyle w:val="49"/>
                    <w:rPr>
                      <w:rFonts w:hint="eastAsia" w:eastAsia="宋体"/>
                      <w:color w:val="auto"/>
                      <w:u w:val="none" w:color="auto"/>
                      <w:lang w:val="en-US" w:eastAsia="zh-CN"/>
                    </w:rPr>
                  </w:pPr>
                  <w:r>
                    <w:rPr>
                      <w:rFonts w:hint="eastAsia"/>
                      <w:color w:val="auto"/>
                      <w:u w:val="none" w:color="auto"/>
                      <w:lang w:val="en-US" w:eastAsia="zh-CN"/>
                    </w:rPr>
                    <w:t>/</w:t>
                  </w:r>
                </w:p>
              </w:tc>
              <w:tc>
                <w:tcPr>
                  <w:tcW w:w="1047" w:type="pct"/>
                  <w:noWrap w:val="0"/>
                  <w:vAlign w:val="center"/>
                </w:tcPr>
                <w:p>
                  <w:pPr>
                    <w:pStyle w:val="49"/>
                    <w:rPr>
                      <w:color w:val="auto"/>
                      <w:u w:val="none" w:color="auto"/>
                    </w:rPr>
                  </w:pPr>
                  <w:r>
                    <w:rPr>
                      <w:rFonts w:hint="eastAsia" w:ascii="Times New Roman" w:hAnsi="Times New Roman" w:eastAsia="宋体" w:cs="Times New Roman"/>
                      <w:b/>
                      <w:bCs/>
                      <w:color w:val="auto"/>
                      <w:kern w:val="0"/>
                      <w:sz w:val="24"/>
                      <w:szCs w:val="24"/>
                      <w:u w:val="none" w:color="auto"/>
                      <w:lang w:eastAsia="zh-CN"/>
                    </w:rPr>
                    <w:drawing>
                      <wp:inline distT="0" distB="0" distL="114300" distR="114300">
                        <wp:extent cx="1433830" cy="711835"/>
                        <wp:effectExtent l="0" t="0" r="13970" b="12065"/>
                        <wp:docPr id="74" name="图片 216" descr="1694490217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16" descr="1694490217720"/>
                                <pic:cNvPicPr>
                                  <a:picLocks noChangeAspect="1"/>
                                </pic:cNvPicPr>
                              </pic:nvPicPr>
                              <pic:blipFill>
                                <a:blip r:embed="rId23"/>
                                <a:stretch>
                                  <a:fillRect/>
                                </a:stretch>
                              </pic:blipFill>
                              <pic:spPr>
                                <a:xfrm>
                                  <a:off x="0" y="0"/>
                                  <a:ext cx="1433830" cy="711835"/>
                                </a:xfrm>
                                <a:prstGeom prst="rect">
                                  <a:avLst/>
                                </a:prstGeom>
                                <a:noFill/>
                                <a:ln>
                                  <a:noFill/>
                                </a:ln>
                              </pic:spPr>
                            </pic:pic>
                          </a:graphicData>
                        </a:graphic>
                      </wp:inline>
                    </w:drawing>
                  </w:r>
                </w:p>
              </w:tc>
              <w:tc>
                <w:tcPr>
                  <w:tcW w:w="1010" w:type="pct"/>
                  <w:noWrap w:val="0"/>
                  <w:vAlign w:val="center"/>
                </w:tcPr>
                <w:p>
                  <w:pPr>
                    <w:pStyle w:val="49"/>
                    <w:rPr>
                      <w:rFonts w:hint="default" w:eastAsia="宋体"/>
                      <w:color w:val="auto"/>
                      <w:u w:val="none" w:color="auto"/>
                      <w:lang w:val="en-US" w:eastAsia="zh-CN"/>
                    </w:rPr>
                  </w:pPr>
                  <w:r>
                    <w:rPr>
                      <w:rFonts w:hint="eastAsia"/>
                      <w:color w:val="auto"/>
                      <w:u w:val="none" w:color="auto"/>
                      <w:lang w:val="en-US" w:eastAsia="zh-CN"/>
                    </w:rPr>
                    <w:t>医疗废物</w:t>
                  </w:r>
                </w:p>
              </w:tc>
              <w:tc>
                <w:tcPr>
                  <w:tcW w:w="1505" w:type="pct"/>
                  <w:noWrap w:val="0"/>
                  <w:vAlign w:val="center"/>
                </w:tcPr>
                <w:p>
                  <w:pPr>
                    <w:pStyle w:val="49"/>
                    <w:rPr>
                      <w:rFonts w:hint="default" w:eastAsia="宋体"/>
                      <w:color w:val="auto"/>
                      <w:u w:val="none" w:color="auto"/>
                      <w:lang w:val="en-US" w:eastAsia="zh-CN"/>
                    </w:rPr>
                  </w:pPr>
                  <w:r>
                    <w:rPr>
                      <w:rFonts w:hint="eastAsia"/>
                      <w:color w:val="auto"/>
                      <w:u w:val="none" w:color="auto"/>
                      <w:lang w:val="en-US" w:eastAsia="zh-CN"/>
                    </w:rPr>
                    <w:t>表示医疗废物</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b/>
                <w:bCs/>
                <w:color w:val="auto"/>
                <w:kern w:val="0"/>
                <w:sz w:val="24"/>
                <w:szCs w:val="24"/>
                <w:u w:val="none" w:color="auto"/>
                <w:lang w:eastAsia="zh-CN"/>
              </w:rPr>
            </w:pPr>
            <w:r>
              <w:rPr>
                <w:rFonts w:hint="eastAsia" w:ascii="Times New Roman" w:hAnsi="Times New Roman" w:eastAsia="宋体" w:cs="Times New Roman"/>
                <w:b/>
                <w:bCs/>
                <w:color w:val="auto"/>
                <w:kern w:val="0"/>
                <w:sz w:val="24"/>
                <w:szCs w:val="24"/>
                <w:u w:val="none" w:color="auto"/>
                <w:lang w:val="en-US" w:eastAsia="zh-CN"/>
              </w:rPr>
              <w:t xml:space="preserve">10 </w:t>
            </w:r>
            <w:r>
              <w:rPr>
                <w:rFonts w:hint="default" w:ascii="Times New Roman" w:hAnsi="Times New Roman" w:eastAsia="宋体" w:cs="Times New Roman"/>
                <w:b/>
                <w:bCs/>
                <w:color w:val="auto"/>
                <w:kern w:val="0"/>
                <w:sz w:val="24"/>
                <w:szCs w:val="24"/>
                <w:u w:val="none" w:color="auto"/>
              </w:rPr>
              <w:t>环保投资</w:t>
            </w:r>
          </w:p>
          <w:p>
            <w:pPr>
              <w:pStyle w:val="10"/>
              <w:bidi w:val="0"/>
              <w:rPr>
                <w:rFonts w:hint="default"/>
                <w:color w:val="auto"/>
                <w:u w:val="single"/>
              </w:rPr>
            </w:pPr>
            <w:r>
              <w:rPr>
                <w:rFonts w:hint="default"/>
                <w:color w:val="auto"/>
                <w:u w:val="single"/>
              </w:rPr>
              <w:t>本项目总投资</w:t>
            </w:r>
            <w:r>
              <w:rPr>
                <w:rFonts w:hint="eastAsia"/>
                <w:color w:val="auto"/>
                <w:u w:val="single"/>
                <w:lang w:val="en-US" w:eastAsia="zh-CN"/>
              </w:rPr>
              <w:t>4000</w:t>
            </w:r>
            <w:r>
              <w:rPr>
                <w:rFonts w:hint="default"/>
                <w:color w:val="auto"/>
                <w:u w:val="single"/>
              </w:rPr>
              <w:t>万元，环保投资</w:t>
            </w:r>
            <w:r>
              <w:rPr>
                <w:rFonts w:hint="eastAsia"/>
                <w:color w:val="auto"/>
                <w:u w:val="single"/>
                <w:lang w:val="en-US" w:eastAsia="zh-CN"/>
              </w:rPr>
              <w:t>70.1</w:t>
            </w:r>
            <w:r>
              <w:rPr>
                <w:rFonts w:hint="default"/>
                <w:color w:val="auto"/>
                <w:u w:val="single"/>
              </w:rPr>
              <w:t>万元</w:t>
            </w:r>
            <w:r>
              <w:rPr>
                <w:rFonts w:hint="eastAsia"/>
                <w:color w:val="auto"/>
                <w:u w:val="single"/>
                <w:lang w:eastAsia="zh-CN"/>
              </w:rPr>
              <w:t>，</w:t>
            </w:r>
            <w:r>
              <w:rPr>
                <w:rFonts w:hint="default"/>
                <w:color w:val="auto"/>
                <w:u w:val="single"/>
              </w:rPr>
              <w:t>环保投资占比为</w:t>
            </w:r>
            <w:r>
              <w:rPr>
                <w:rFonts w:hint="eastAsia"/>
                <w:color w:val="auto"/>
                <w:u w:val="single"/>
                <w:lang w:val="en-US" w:eastAsia="zh-CN"/>
              </w:rPr>
              <w:t>1.75</w:t>
            </w:r>
            <w:r>
              <w:rPr>
                <w:rFonts w:hint="default"/>
                <w:color w:val="auto"/>
                <w:u w:val="single"/>
              </w:rPr>
              <w:t>%。项目主要环保设施建设内容详见下表。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表4-</w:t>
            </w:r>
            <w:r>
              <w:rPr>
                <w:rFonts w:hint="eastAsia" w:cs="Times New Roman"/>
                <w:color w:val="auto"/>
                <w:sz w:val="24"/>
                <w:szCs w:val="24"/>
                <w:u w:val="single" w:color="auto"/>
                <w:lang w:val="en-US" w:eastAsia="zh-CN"/>
              </w:rPr>
              <w:t>19</w:t>
            </w:r>
            <w:r>
              <w:rPr>
                <w:rFonts w:hint="eastAsia" w:ascii="Times New Roman" w:hAnsi="Times New Roman" w:eastAsia="宋体" w:cs="Times New Roman"/>
                <w:color w:val="auto"/>
                <w:sz w:val="24"/>
                <w:szCs w:val="24"/>
                <w:u w:val="single" w:color="auto"/>
                <w:lang w:val="en-US" w:eastAsia="zh-CN"/>
              </w:rPr>
              <w:t xml:space="preserve">  </w:t>
            </w:r>
            <w:r>
              <w:rPr>
                <w:rFonts w:hint="default" w:ascii="Times New Roman" w:hAnsi="Times New Roman" w:eastAsia="宋体" w:cs="Times New Roman"/>
                <w:color w:val="auto"/>
                <w:sz w:val="24"/>
                <w:szCs w:val="24"/>
                <w:u w:val="single" w:color="auto"/>
              </w:rPr>
              <w:t>环保投资表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038"/>
              <w:gridCol w:w="2605"/>
              <w:gridCol w:w="782"/>
              <w:gridCol w:w="134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序号</w:t>
                  </w:r>
                </w:p>
              </w:tc>
              <w:tc>
                <w:tcPr>
                  <w:tcW w:w="65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类别</w:t>
                  </w: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污染防治措施</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数量</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投资（万元）</w:t>
                  </w:r>
                </w:p>
              </w:tc>
              <w:tc>
                <w:tcPr>
                  <w:tcW w:w="96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0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1</w:t>
                  </w:r>
                </w:p>
              </w:tc>
              <w:tc>
                <w:tcPr>
                  <w:tcW w:w="65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施工期</w:t>
                  </w: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施工现场设立场界围挡、洒水降尘、采用低噪声设备施工等一系列措施</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24</w:t>
                  </w:r>
                </w:p>
              </w:tc>
              <w:tc>
                <w:tcPr>
                  <w:tcW w:w="96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Merge w:val="restar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2</w:t>
                  </w:r>
                </w:p>
              </w:tc>
              <w:tc>
                <w:tcPr>
                  <w:tcW w:w="653" w:type="pct"/>
                  <w:vMerge w:val="restar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废水</w:t>
                  </w: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雨污分流管网</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1套</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10</w:t>
                  </w:r>
                </w:p>
              </w:tc>
              <w:tc>
                <w:tcPr>
                  <w:tcW w:w="962" w:type="pct"/>
                  <w:noWrap w:val="0"/>
                  <w:vAlign w:val="center"/>
                </w:tcPr>
                <w:p>
                  <w:pPr>
                    <w:pStyle w:val="43"/>
                    <w:spacing w:line="240" w:lineRule="auto"/>
                    <w:ind w:right="1" w:rightChars="0"/>
                    <w:jc w:val="center"/>
                    <w:rPr>
                      <w:rFonts w:hint="eastAsia"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Merge w:val="continue"/>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p>
              </w:tc>
              <w:tc>
                <w:tcPr>
                  <w:tcW w:w="653" w:type="pct"/>
                  <w:vMerge w:val="continue"/>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污泥压滤机</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1套</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3</w:t>
                  </w:r>
                </w:p>
              </w:tc>
              <w:tc>
                <w:tcPr>
                  <w:tcW w:w="962" w:type="pct"/>
                  <w:noWrap w:val="0"/>
                  <w:vAlign w:val="center"/>
                </w:tcPr>
                <w:p>
                  <w:pPr>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eastAsia" w:ascii="Times New Roman" w:hAnsi="Times New Roman" w:eastAsia="宋体" w:cs="Times New Roman"/>
                      <w:color w:val="auto"/>
                      <w:sz w:val="21"/>
                      <w:szCs w:val="21"/>
                      <w:highlight w:val="none"/>
                      <w:u w:val="single" w:color="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Merge w:val="continue"/>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p>
              </w:tc>
              <w:tc>
                <w:tcPr>
                  <w:tcW w:w="653" w:type="pct"/>
                  <w:vMerge w:val="continue"/>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p>
              </w:tc>
              <w:tc>
                <w:tcPr>
                  <w:tcW w:w="1638" w:type="pct"/>
                  <w:noWrap w:val="0"/>
                  <w:vAlign w:val="center"/>
                </w:tcPr>
                <w:p>
                  <w:pPr>
                    <w:pStyle w:val="43"/>
                    <w:spacing w:line="240" w:lineRule="auto"/>
                    <w:ind w:right="1" w:rightChars="0"/>
                    <w:jc w:val="center"/>
                    <w:rPr>
                      <w:rFonts w:hint="default"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事故应急池</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1个</w:t>
                  </w:r>
                </w:p>
              </w:tc>
              <w:tc>
                <w:tcPr>
                  <w:tcW w:w="849" w:type="pct"/>
                  <w:noWrap w:val="0"/>
                  <w:vAlign w:val="center"/>
                </w:tcPr>
                <w:p>
                  <w:pPr>
                    <w:pStyle w:val="43"/>
                    <w:spacing w:line="240" w:lineRule="auto"/>
                    <w:ind w:right="1" w:rightChars="0"/>
                    <w:jc w:val="center"/>
                    <w:rPr>
                      <w:rFonts w:hint="default"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10</w:t>
                  </w:r>
                </w:p>
              </w:tc>
              <w:tc>
                <w:tcPr>
                  <w:tcW w:w="962" w:type="pct"/>
                  <w:noWrap w:val="0"/>
                  <w:vAlign w:val="center"/>
                </w:tcPr>
                <w:p>
                  <w:pPr>
                    <w:spacing w:line="240" w:lineRule="auto"/>
                    <w:ind w:right="1" w:rightChars="0"/>
                    <w:jc w:val="center"/>
                    <w:rPr>
                      <w:rFonts w:hint="eastAsia" w:ascii="Times New Roman" w:hAnsi="Times New Roman" w:eastAsia="宋体" w:cs="Times New Roman"/>
                      <w:color w:val="auto"/>
                      <w:sz w:val="21"/>
                      <w:szCs w:val="21"/>
                      <w:highlight w:val="none"/>
                      <w:u w:val="single" w:color="auto"/>
                      <w:vertAlign w:val="baseline"/>
                      <w:lang w:eastAsia="zh-CN"/>
                    </w:rPr>
                  </w:pPr>
                  <w:r>
                    <w:rPr>
                      <w:rStyle w:val="27"/>
                      <w:rFonts w:hint="eastAsia"/>
                      <w:color w:val="auto"/>
                      <w:sz w:val="21"/>
                      <w:szCs w:val="21"/>
                      <w:u w:val="single" w:color="auto"/>
                      <w:lang w:val="en-US" w:eastAsia="zh-CN"/>
                    </w:rPr>
                    <w:t>最大容量为12m</w:t>
                  </w:r>
                  <w:r>
                    <w:rPr>
                      <w:rStyle w:val="27"/>
                      <w:rFonts w:hint="eastAsia"/>
                      <w:color w:val="auto"/>
                      <w:sz w:val="21"/>
                      <w:szCs w:val="21"/>
                      <w:u w:val="single" w:color="auto"/>
                      <w:vertAlign w:val="superscript"/>
                      <w:lang w:val="en-US" w:eastAsia="zh-CN"/>
                    </w:rPr>
                    <w:t>3</w:t>
                  </w:r>
                  <w:r>
                    <w:rPr>
                      <w:rStyle w:val="27"/>
                      <w:rFonts w:hint="eastAsia"/>
                      <w:color w:val="auto"/>
                      <w:sz w:val="21"/>
                      <w:szCs w:val="21"/>
                      <w:u w:val="single" w:color="auto"/>
                      <w:lang w:val="en-US" w:eastAsia="zh-CN"/>
                    </w:rPr>
                    <w:t>（长3m</w:t>
                  </w:r>
                  <w:r>
                    <w:rPr>
                      <w:rStyle w:val="27"/>
                      <w:rFonts w:hint="default"/>
                      <w:color w:val="auto"/>
                      <w:sz w:val="21"/>
                      <w:szCs w:val="21"/>
                      <w:u w:val="single" w:color="auto"/>
                      <w:lang w:val="en-US" w:eastAsia="zh-CN"/>
                    </w:rPr>
                    <w:t>×</w:t>
                  </w:r>
                  <w:r>
                    <w:rPr>
                      <w:rStyle w:val="27"/>
                      <w:rFonts w:hint="eastAsia"/>
                      <w:color w:val="auto"/>
                      <w:sz w:val="21"/>
                      <w:szCs w:val="21"/>
                      <w:u w:val="single" w:color="auto"/>
                      <w:lang w:val="en-US" w:eastAsia="zh-CN"/>
                    </w:rPr>
                    <w:t>高3m</w:t>
                  </w:r>
                  <w:r>
                    <w:rPr>
                      <w:rStyle w:val="27"/>
                      <w:rFonts w:hint="default"/>
                      <w:color w:val="auto"/>
                      <w:sz w:val="21"/>
                      <w:szCs w:val="21"/>
                      <w:u w:val="single" w:color="auto"/>
                      <w:lang w:val="en-US" w:eastAsia="zh-CN"/>
                    </w:rPr>
                    <w:t>×</w:t>
                  </w:r>
                  <w:r>
                    <w:rPr>
                      <w:rStyle w:val="27"/>
                      <w:rFonts w:hint="eastAsia"/>
                      <w:color w:val="auto"/>
                      <w:sz w:val="21"/>
                      <w:szCs w:val="21"/>
                      <w:u w:val="single" w:color="auto"/>
                      <w:lang w:val="en-US" w:eastAsia="zh-CN"/>
                    </w:rPr>
                    <w:t>宽2m）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0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3</w:t>
                  </w:r>
                </w:p>
              </w:tc>
              <w:tc>
                <w:tcPr>
                  <w:tcW w:w="65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废气</w:t>
                  </w: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投放除臭剂</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1.0</w:t>
                  </w:r>
                </w:p>
              </w:tc>
              <w:tc>
                <w:tcPr>
                  <w:tcW w:w="962" w:type="pct"/>
                  <w:noWrap w:val="0"/>
                  <w:vAlign w:val="center"/>
                </w:tcPr>
                <w:p>
                  <w:pPr>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eastAsia" w:ascii="Times New Roman" w:hAnsi="Times New Roman" w:eastAsia="宋体" w:cs="Times New Roman"/>
                      <w:color w:val="auto"/>
                      <w:sz w:val="21"/>
                      <w:szCs w:val="21"/>
                      <w:highlight w:val="none"/>
                      <w:u w:val="single" w:color="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4</w:t>
                  </w:r>
                </w:p>
              </w:tc>
              <w:tc>
                <w:tcPr>
                  <w:tcW w:w="65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噪声</w:t>
                  </w: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基础减震、消声隔音等一系列噪声控制措施</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2</w:t>
                  </w:r>
                </w:p>
              </w:tc>
              <w:tc>
                <w:tcPr>
                  <w:tcW w:w="962" w:type="pct"/>
                  <w:noWrap w:val="0"/>
                  <w:vAlign w:val="center"/>
                </w:tcPr>
                <w:p>
                  <w:pPr>
                    <w:spacing w:line="240" w:lineRule="auto"/>
                    <w:ind w:right="1" w:rightChars="0"/>
                    <w:jc w:val="center"/>
                    <w:rPr>
                      <w:rFonts w:hint="eastAsia" w:ascii="Times New Roman" w:hAnsi="Times New Roman" w:eastAsia="宋体" w:cs="Times New Roman"/>
                      <w:color w:val="auto"/>
                      <w:sz w:val="21"/>
                      <w:szCs w:val="21"/>
                      <w:highlight w:val="none"/>
                      <w:u w:val="single" w:color="auto"/>
                      <w:vertAlign w:val="baseline"/>
                      <w:lang w:eastAsia="zh-CN"/>
                    </w:rPr>
                  </w:pPr>
                  <w:r>
                    <w:rPr>
                      <w:rFonts w:hint="eastAsia" w:ascii="Times New Roman" w:hAnsi="Times New Roman" w:eastAsia="宋体" w:cs="Times New Roman"/>
                      <w:color w:val="auto"/>
                      <w:sz w:val="21"/>
                      <w:szCs w:val="21"/>
                      <w:highlight w:val="none"/>
                      <w:u w:val="single" w:color="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5</w:t>
                  </w:r>
                </w:p>
              </w:tc>
              <w:tc>
                <w:tcPr>
                  <w:tcW w:w="653" w:type="pct"/>
                  <w:vMerge w:val="restar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固废</w:t>
                  </w: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医疗废物暂存间</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1间</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10</w:t>
                  </w:r>
                </w:p>
              </w:tc>
              <w:tc>
                <w:tcPr>
                  <w:tcW w:w="962" w:type="pct"/>
                  <w:noWrap w:val="0"/>
                  <w:vAlign w:val="center"/>
                </w:tcPr>
                <w:p>
                  <w:pPr>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eastAsia" w:ascii="Times New Roman" w:hAnsi="Times New Roman" w:eastAsia="宋体" w:cs="Times New Roman"/>
                      <w:color w:val="auto"/>
                      <w:sz w:val="21"/>
                      <w:szCs w:val="21"/>
                      <w:highlight w:val="none"/>
                      <w:u w:val="single" w:color="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6</w:t>
                  </w:r>
                </w:p>
              </w:tc>
              <w:tc>
                <w:tcPr>
                  <w:tcW w:w="653" w:type="pct"/>
                  <w:vMerge w:val="continue"/>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生活垃圾收集桶</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ascii="Times New Roman" w:hAnsi="Times New Roman" w:eastAsia="宋体" w:cs="Times New Roman"/>
                      <w:color w:val="auto"/>
                      <w:sz w:val="21"/>
                      <w:szCs w:val="21"/>
                      <w:highlight w:val="none"/>
                      <w:u w:val="single" w:color="auto"/>
                      <w:vertAlign w:val="baseline"/>
                      <w:lang w:val="en-US" w:eastAsia="zh-CN"/>
                    </w:rPr>
                    <w:t>0.1</w:t>
                  </w:r>
                </w:p>
              </w:tc>
              <w:tc>
                <w:tcPr>
                  <w:tcW w:w="962" w:type="pct"/>
                  <w:noWrap w:val="0"/>
                  <w:vAlign w:val="center"/>
                </w:tcPr>
                <w:p>
                  <w:pPr>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eastAsia" w:ascii="Times New Roman" w:hAnsi="Times New Roman" w:eastAsia="宋体" w:cs="Times New Roman"/>
                      <w:color w:val="auto"/>
                      <w:sz w:val="21"/>
                      <w:szCs w:val="21"/>
                      <w:highlight w:val="none"/>
                      <w:u w:val="single" w:color="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7</w:t>
                  </w:r>
                </w:p>
              </w:tc>
              <w:tc>
                <w:tcPr>
                  <w:tcW w:w="653"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环境风险</w:t>
                  </w:r>
                </w:p>
              </w:tc>
              <w:tc>
                <w:tcPr>
                  <w:tcW w:w="1638"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事故</w:t>
                  </w:r>
                  <w:r>
                    <w:rPr>
                      <w:rFonts w:hint="eastAsia" w:cs="Times New Roman"/>
                      <w:color w:val="auto"/>
                      <w:sz w:val="21"/>
                      <w:szCs w:val="21"/>
                      <w:highlight w:val="none"/>
                      <w:u w:val="single" w:color="auto"/>
                      <w:vertAlign w:val="baseline"/>
                      <w:lang w:val="en-US" w:eastAsia="zh-CN"/>
                    </w:rPr>
                    <w:t>应急泵</w:t>
                  </w:r>
                  <w:r>
                    <w:rPr>
                      <w:rFonts w:hint="default" w:ascii="Times New Roman" w:hAnsi="Times New Roman" w:eastAsia="宋体" w:cs="Times New Roman"/>
                      <w:color w:val="auto"/>
                      <w:sz w:val="21"/>
                      <w:szCs w:val="21"/>
                      <w:highlight w:val="none"/>
                      <w:u w:val="single" w:color="auto"/>
                      <w:vertAlign w:val="baseline"/>
                    </w:rPr>
                    <w:t>、应急物资的配备、防渗托盘等</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10</w:t>
                  </w:r>
                </w:p>
              </w:tc>
              <w:tc>
                <w:tcPr>
                  <w:tcW w:w="962" w:type="pct"/>
                  <w:noWrap w:val="0"/>
                  <w:vAlign w:val="center"/>
                </w:tcPr>
                <w:p>
                  <w:pPr>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rPr>
                  </w:pPr>
                  <w:r>
                    <w:rPr>
                      <w:rFonts w:hint="eastAsia" w:ascii="Times New Roman" w:hAnsi="Times New Roman" w:eastAsia="宋体" w:cs="Times New Roman"/>
                      <w:color w:val="auto"/>
                      <w:sz w:val="21"/>
                      <w:szCs w:val="21"/>
                      <w:highlight w:val="none"/>
                      <w:u w:val="single" w:color="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pct"/>
                  <w:gridSpan w:val="3"/>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合计</w:t>
                  </w:r>
                </w:p>
              </w:tc>
              <w:tc>
                <w:tcPr>
                  <w:tcW w:w="49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w:t>
                  </w:r>
                </w:p>
              </w:tc>
              <w:tc>
                <w:tcPr>
                  <w:tcW w:w="849"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eastAsia" w:cs="Times New Roman"/>
                      <w:color w:val="auto"/>
                      <w:sz w:val="21"/>
                      <w:szCs w:val="21"/>
                      <w:highlight w:val="none"/>
                      <w:u w:val="single" w:color="auto"/>
                      <w:vertAlign w:val="baseline"/>
                      <w:lang w:val="en-US" w:eastAsia="zh-CN"/>
                    </w:rPr>
                    <w:t>70.1</w:t>
                  </w:r>
                </w:p>
              </w:tc>
              <w:tc>
                <w:tcPr>
                  <w:tcW w:w="962" w:type="pct"/>
                  <w:noWrap w:val="0"/>
                  <w:vAlign w:val="center"/>
                </w:tcPr>
                <w:p>
                  <w:pPr>
                    <w:pStyle w:val="43"/>
                    <w:spacing w:line="240" w:lineRule="auto"/>
                    <w:ind w:right="1" w:rightChars="0"/>
                    <w:jc w:val="center"/>
                    <w:rPr>
                      <w:rFonts w:hint="default" w:ascii="Times New Roman" w:hAnsi="Times New Roman" w:eastAsia="宋体" w:cs="Times New Roman"/>
                      <w:color w:val="auto"/>
                      <w:sz w:val="21"/>
                      <w:szCs w:val="21"/>
                      <w:highlight w:val="none"/>
                      <w:u w:val="single" w:color="auto"/>
                      <w:vertAlign w:val="baseline"/>
                    </w:rPr>
                  </w:pPr>
                  <w:r>
                    <w:rPr>
                      <w:rFonts w:hint="default" w:ascii="Times New Roman" w:hAnsi="Times New Roman" w:eastAsia="宋体" w:cs="Times New Roman"/>
                      <w:color w:val="auto"/>
                      <w:sz w:val="21"/>
                      <w:szCs w:val="21"/>
                      <w:highlight w:val="none"/>
                      <w:u w:val="single" w:color="auto"/>
                      <w:vertAlign w:val="baseline"/>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b/>
                <w:bCs/>
                <w:color w:val="auto"/>
                <w:kern w:val="0"/>
                <w:sz w:val="24"/>
                <w:szCs w:val="24"/>
                <w:u w:val="none" w:color="auto"/>
                <w:lang w:val="en-US" w:eastAsia="zh-CN"/>
              </w:rPr>
            </w:pPr>
            <w:r>
              <w:rPr>
                <w:rFonts w:hint="eastAsia" w:ascii="Times New Roman" w:hAnsi="Times New Roman" w:eastAsia="宋体" w:cs="Times New Roman"/>
                <w:b/>
                <w:bCs/>
                <w:color w:val="auto"/>
                <w:kern w:val="0"/>
                <w:sz w:val="24"/>
                <w:szCs w:val="24"/>
                <w:u w:val="none" w:color="auto"/>
                <w:lang w:val="en-US" w:eastAsia="zh-CN"/>
              </w:rPr>
              <w:t>11 环境管理</w:t>
            </w:r>
          </w:p>
          <w:p>
            <w:pPr>
              <w:pStyle w:val="10"/>
              <w:bidi w:val="0"/>
              <w:rPr>
                <w:rFonts w:hint="default"/>
                <w:color w:val="auto"/>
                <w:lang w:val="en-US" w:eastAsia="zh-CN"/>
              </w:rPr>
            </w:pPr>
            <w:r>
              <w:rPr>
                <w:rFonts w:hint="default"/>
                <w:color w:val="auto"/>
                <w:lang w:val="en-US" w:eastAsia="zh-CN"/>
              </w:rPr>
              <w:t>（1）环境管理要求</w:t>
            </w:r>
          </w:p>
          <w:p>
            <w:pPr>
              <w:pStyle w:val="10"/>
              <w:bidi w:val="0"/>
              <w:rPr>
                <w:rFonts w:hint="default"/>
                <w:color w:val="auto"/>
                <w:lang w:val="en-US" w:eastAsia="zh-CN"/>
              </w:rPr>
            </w:pPr>
            <w:r>
              <w:rPr>
                <w:rFonts w:hint="default"/>
                <w:color w:val="auto"/>
                <w:lang w:val="en-US" w:eastAsia="zh-CN"/>
              </w:rPr>
              <w:t>①加强固体废物在</w:t>
            </w:r>
            <w:r>
              <w:rPr>
                <w:rFonts w:hint="eastAsia"/>
                <w:color w:val="auto"/>
                <w:lang w:val="en-US" w:eastAsia="zh-CN"/>
              </w:rPr>
              <w:t>医院</w:t>
            </w:r>
            <w:r>
              <w:rPr>
                <w:rFonts w:hint="default"/>
                <w:color w:val="auto"/>
                <w:lang w:val="en-US" w:eastAsia="zh-CN"/>
              </w:rPr>
              <w:t>内堆存期间的环境管理；加强对危险固废的收集、储存、运输等措施的管理。</w:t>
            </w:r>
          </w:p>
          <w:p>
            <w:pPr>
              <w:pStyle w:val="10"/>
              <w:bidi w:val="0"/>
              <w:rPr>
                <w:rFonts w:hint="default"/>
                <w:color w:val="auto"/>
                <w:lang w:val="en-US" w:eastAsia="zh-CN"/>
              </w:rPr>
            </w:pPr>
            <w:r>
              <w:rPr>
                <w:rFonts w:hint="default"/>
                <w:color w:val="auto"/>
                <w:lang w:val="en-US" w:eastAsia="zh-CN"/>
              </w:rPr>
              <w:t>②加强设备的保养和维护。安装必要的用水监测仪表，减少跑、冒、滴、漏，最大限度地减少用水量。</w:t>
            </w:r>
          </w:p>
          <w:p>
            <w:pPr>
              <w:pStyle w:val="10"/>
              <w:bidi w:val="0"/>
              <w:rPr>
                <w:rFonts w:hint="default"/>
                <w:color w:val="auto"/>
                <w:lang w:val="en-US" w:eastAsia="zh-CN"/>
              </w:rPr>
            </w:pPr>
            <w:r>
              <w:rPr>
                <w:rFonts w:hint="default"/>
                <w:color w:val="auto"/>
                <w:lang w:val="en-US" w:eastAsia="zh-CN"/>
              </w:rPr>
              <w:t>③加强项目的环境管理和环境监测。按报告表的要求认真落实环境监测计划；各排污口的设置和管理应按</w:t>
            </w:r>
            <w:r>
              <w:rPr>
                <w:rFonts w:hint="eastAsia"/>
                <w:color w:val="auto"/>
                <w:lang w:val="en-US" w:eastAsia="zh-CN"/>
              </w:rPr>
              <w:t>国家</w:t>
            </w:r>
            <w:r>
              <w:rPr>
                <w:rFonts w:hint="default"/>
                <w:color w:val="auto"/>
                <w:lang w:val="en-US" w:eastAsia="zh-CN"/>
              </w:rPr>
              <w:t>有关规定执行。加强全</w:t>
            </w:r>
            <w:r>
              <w:rPr>
                <w:rFonts w:hint="eastAsia"/>
                <w:color w:val="auto"/>
                <w:lang w:val="en-US" w:eastAsia="zh-CN"/>
              </w:rPr>
              <w:t>院</w:t>
            </w:r>
            <w:r>
              <w:rPr>
                <w:rFonts w:hint="default"/>
                <w:color w:val="auto"/>
                <w:lang w:val="en-US" w:eastAsia="zh-CN"/>
              </w:rPr>
              <w:t>职工的安全生产和环境保护知识的教育。配备必要的环境管理专职人员，落实、检查环保设施的运行状况，配合当地环保部门做好</w:t>
            </w:r>
            <w:r>
              <w:rPr>
                <w:rFonts w:hint="eastAsia"/>
                <w:color w:val="auto"/>
                <w:lang w:val="en-US" w:eastAsia="zh-CN"/>
              </w:rPr>
              <w:t>医院</w:t>
            </w:r>
            <w:r>
              <w:rPr>
                <w:rFonts w:hint="default"/>
                <w:color w:val="auto"/>
                <w:lang w:val="en-US" w:eastAsia="zh-CN"/>
              </w:rPr>
              <w:t>的环境管理、验收、监督和检查工作。</w:t>
            </w: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rPr>
                <w:rFonts w:hint="default"/>
                <w:color w:val="auto"/>
                <w:u w:val="none" w:color="auto"/>
                <w:lang w:val="en-US" w:eastAsia="zh-CN"/>
              </w:rPr>
            </w:pPr>
          </w:p>
          <w:p>
            <w:pPr>
              <w:pStyle w:val="10"/>
              <w:rPr>
                <w:rFonts w:hint="default"/>
                <w:color w:val="auto"/>
                <w:u w:val="none" w:color="auto"/>
                <w:lang w:val="en-US" w:eastAsia="zh-CN"/>
              </w:rPr>
            </w:pPr>
          </w:p>
          <w:p>
            <w:pPr>
              <w:pStyle w:val="11"/>
              <w:rPr>
                <w:rFonts w:hint="default"/>
                <w:color w:val="auto"/>
                <w:u w:val="none" w:color="auto"/>
                <w:lang w:val="en-US" w:eastAsia="zh-CN"/>
              </w:rPr>
            </w:pPr>
          </w:p>
          <w:p>
            <w:pPr>
              <w:pStyle w:val="11"/>
              <w:ind w:left="0" w:leftChars="0" w:firstLine="0" w:firstLineChars="0"/>
              <w:rPr>
                <w:rFonts w:hint="default"/>
                <w:color w:val="auto"/>
                <w:lang w:val="en-US" w:eastAsia="zh-CN"/>
              </w:rPr>
            </w:pPr>
          </w:p>
        </w:tc>
      </w:tr>
    </w:tbl>
    <w:p>
      <w:pPr>
        <w:adjustRightInd w:val="0"/>
        <w:snapToGrid w:val="0"/>
        <w:spacing w:line="360" w:lineRule="auto"/>
        <w:rPr>
          <w:rFonts w:hint="eastAsia" w:ascii="宋体" w:cs="宋体"/>
          <w:b/>
          <w:color w:val="auto"/>
          <w:kern w:val="0"/>
          <w:sz w:val="28"/>
          <w:szCs w:val="28"/>
          <w:u w:val="none" w:color="auto"/>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jc w:val="left"/>
        <w:outlineLvl w:val="0"/>
        <w:rPr>
          <w:rFonts w:ascii="黑体" w:hAnsi="黑体" w:eastAsia="黑体"/>
          <w:snapToGrid w:val="0"/>
          <w:color w:val="auto"/>
          <w:sz w:val="30"/>
          <w:szCs w:val="30"/>
          <w:u w:val="none" w:color="auto"/>
        </w:rPr>
      </w:pPr>
      <w:bookmarkStart w:id="11" w:name="_Toc3157"/>
      <w:r>
        <w:rPr>
          <w:rFonts w:hint="eastAsia" w:ascii="黑体" w:hAnsi="黑体" w:eastAsia="黑体"/>
          <w:snapToGrid w:val="0"/>
          <w:color w:val="auto"/>
          <w:sz w:val="30"/>
          <w:szCs w:val="30"/>
          <w:u w:val="none" w:color="auto"/>
        </w:rPr>
        <w:t>五、</w:t>
      </w:r>
      <w:bookmarkStart w:id="12" w:name="_Hlk54167917"/>
      <w:r>
        <w:rPr>
          <w:rFonts w:hint="eastAsia" w:ascii="黑体" w:hAnsi="黑体" w:eastAsia="黑体"/>
          <w:snapToGrid w:val="0"/>
          <w:color w:val="auto"/>
          <w:sz w:val="30"/>
          <w:szCs w:val="30"/>
          <w:u w:val="none" w:color="auto"/>
        </w:rPr>
        <w:t>环境保护</w:t>
      </w:r>
      <w:r>
        <w:rPr>
          <w:rFonts w:hint="eastAsia" w:ascii="黑体" w:hAnsi="黑体" w:eastAsia="黑体" w:cs="Times New Roman"/>
          <w:snapToGrid w:val="0"/>
          <w:color w:val="auto"/>
          <w:sz w:val="30"/>
          <w:szCs w:val="30"/>
          <w:u w:val="none" w:color="auto"/>
        </w:rPr>
        <w:t>措施</w:t>
      </w:r>
      <w:r>
        <w:rPr>
          <w:rFonts w:hint="eastAsia" w:ascii="黑体" w:hAnsi="黑体" w:eastAsia="黑体"/>
          <w:snapToGrid w:val="0"/>
          <w:color w:val="auto"/>
          <w:sz w:val="30"/>
          <w:szCs w:val="30"/>
          <w:u w:val="none" w:color="auto"/>
        </w:rPr>
        <w:t>监督检查清单</w:t>
      </w:r>
      <w:bookmarkEnd w:id="11"/>
      <w:bookmarkEnd w:id="12"/>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300"/>
        <w:gridCol w:w="1800"/>
        <w:gridCol w:w="1800"/>
        <w:gridCol w:w="27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tcBorders>
              <w:tl2br w:val="single" w:color="auto" w:sz="4" w:space="0"/>
            </w:tcBorders>
            <w:noWrap w:val="0"/>
            <w:vAlign w:val="top"/>
          </w:tcPr>
          <w:p>
            <w:pPr>
              <w:adjustRightInd w:val="0"/>
              <w:snapToGrid w:val="0"/>
              <w:ind w:right="-145" w:rightChars="-69" w:firstLine="420" w:firstLineChars="20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内容</w:t>
            </w:r>
          </w:p>
          <w:p>
            <w:pPr>
              <w:adjustRightInd w:val="0"/>
              <w:snapToGrid w:val="0"/>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要素</w:t>
            </w:r>
          </w:p>
        </w:tc>
        <w:tc>
          <w:tcPr>
            <w:tcW w:w="1300" w:type="dxa"/>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排放口</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编号、名称</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/污染源</w:t>
            </w:r>
          </w:p>
        </w:tc>
        <w:tc>
          <w:tcPr>
            <w:tcW w:w="1800" w:type="dxa"/>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污染物项目</w:t>
            </w:r>
          </w:p>
        </w:tc>
        <w:tc>
          <w:tcPr>
            <w:tcW w:w="1800" w:type="dxa"/>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环境保护措施</w:t>
            </w:r>
          </w:p>
        </w:tc>
        <w:tc>
          <w:tcPr>
            <w:tcW w:w="2769" w:type="dxa"/>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vMerge w:val="restart"/>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大气环境</w:t>
            </w:r>
          </w:p>
        </w:tc>
        <w:tc>
          <w:tcPr>
            <w:tcW w:w="1300" w:type="dxa"/>
            <w:noWrap w:val="0"/>
            <w:vAlign w:val="center"/>
          </w:tcPr>
          <w:p>
            <w:pPr>
              <w:adjustRightInd w:val="0"/>
              <w:snapToGrid w:val="0"/>
              <w:jc w:val="center"/>
              <w:rPr>
                <w:rFonts w:hint="eastAsia" w:ascii="Times New Roman" w:hAnsi="Times New Roman" w:eastAsia="宋体" w:cs="Times New Roman"/>
                <w:color w:val="auto"/>
                <w:sz w:val="21"/>
                <w:szCs w:val="21"/>
                <w:u w:val="none" w:color="auto"/>
                <w:lang w:eastAsia="zh-CN"/>
              </w:rPr>
            </w:pPr>
            <w:r>
              <w:rPr>
                <w:rFonts w:hint="eastAsia" w:ascii="Times New Roman" w:hAnsi="Times New Roman" w:eastAsia="宋体" w:cs="Times New Roman"/>
                <w:color w:val="auto"/>
                <w:sz w:val="21"/>
                <w:szCs w:val="21"/>
                <w:u w:val="none" w:color="auto"/>
                <w:lang w:eastAsia="zh-CN"/>
              </w:rPr>
              <w:t>污水处理系统</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NH</w:t>
            </w:r>
            <w:r>
              <w:rPr>
                <w:rFonts w:hint="default" w:ascii="Times New Roman" w:hAnsi="Times New Roman" w:eastAsia="宋体" w:cs="Times New Roman"/>
                <w:color w:val="auto"/>
                <w:sz w:val="21"/>
                <w:szCs w:val="21"/>
                <w:u w:val="none" w:color="auto"/>
                <w:vertAlign w:val="subscript"/>
                <w:lang w:val="en-US" w:eastAsia="zh-CN"/>
              </w:rPr>
              <w:t>3</w:t>
            </w:r>
            <w:r>
              <w:rPr>
                <w:rFonts w:hint="default" w:ascii="Times New Roman" w:hAnsi="Times New Roman" w:eastAsia="宋体" w:cs="Times New Roman"/>
                <w:color w:val="auto"/>
                <w:sz w:val="21"/>
                <w:szCs w:val="21"/>
                <w:u w:val="none" w:color="auto"/>
                <w:lang w:val="en-US" w:eastAsia="zh-CN"/>
              </w:rPr>
              <w:t>、H</w:t>
            </w:r>
            <w:r>
              <w:rPr>
                <w:rFonts w:hint="default" w:ascii="Times New Roman" w:hAnsi="Times New Roman" w:eastAsia="宋体" w:cs="Times New Roman"/>
                <w:color w:val="auto"/>
                <w:sz w:val="21"/>
                <w:szCs w:val="21"/>
                <w:u w:val="none" w:color="auto"/>
                <w:vertAlign w:val="subscript"/>
                <w:lang w:val="en-US" w:eastAsia="zh-CN"/>
              </w:rPr>
              <w:t>2</w:t>
            </w:r>
            <w:r>
              <w:rPr>
                <w:rFonts w:hint="default" w:ascii="Times New Roman" w:hAnsi="Times New Roman" w:eastAsia="宋体" w:cs="Times New Roman"/>
                <w:color w:val="auto"/>
                <w:sz w:val="21"/>
                <w:szCs w:val="21"/>
                <w:u w:val="none" w:color="auto"/>
                <w:lang w:val="en-US" w:eastAsia="zh-CN"/>
              </w:rPr>
              <w:t>S、臭气浓度</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自建污水处理站均为地埋式，自然扩散</w:t>
            </w:r>
            <w:r>
              <w:rPr>
                <w:rFonts w:hint="eastAsia" w:cs="Times New Roman"/>
                <w:color w:val="auto"/>
                <w:sz w:val="21"/>
                <w:szCs w:val="21"/>
                <w:u w:val="none" w:color="auto"/>
                <w:lang w:val="en-US" w:eastAsia="zh-CN"/>
              </w:rPr>
              <w:t>，并投放除臭剂</w:t>
            </w:r>
          </w:p>
        </w:tc>
        <w:tc>
          <w:tcPr>
            <w:tcW w:w="2769"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《医疗机构水污染物排放标准》（GB18466-2005）表3污水处理站周边大气污染物最高允许浓度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vMerge w:val="continue"/>
            <w:noWrap w:val="0"/>
            <w:vAlign w:val="center"/>
          </w:tcPr>
          <w:p>
            <w:pPr>
              <w:adjustRightInd w:val="0"/>
              <w:snapToGrid w:val="0"/>
              <w:jc w:val="center"/>
              <w:rPr>
                <w:rFonts w:hint="default" w:ascii="Times New Roman" w:hAnsi="Times New Roman" w:cs="Times New Roman"/>
                <w:color w:val="auto"/>
                <w:sz w:val="21"/>
                <w:szCs w:val="21"/>
                <w:u w:val="none" w:color="auto"/>
              </w:rPr>
            </w:pPr>
          </w:p>
        </w:tc>
        <w:tc>
          <w:tcPr>
            <w:tcW w:w="1300" w:type="dxa"/>
            <w:noWrap w:val="0"/>
            <w:vAlign w:val="center"/>
          </w:tcPr>
          <w:p>
            <w:pPr>
              <w:adjustRightInd w:val="0"/>
              <w:snapToGrid w:val="0"/>
              <w:jc w:val="center"/>
              <w:rPr>
                <w:rFonts w:hint="eastAsia" w:ascii="Times New Roman" w:hAnsi="Times New Roman" w:eastAsia="宋体" w:cs="Times New Roman"/>
                <w:color w:val="auto"/>
                <w:sz w:val="21"/>
                <w:szCs w:val="21"/>
                <w:u w:val="none" w:color="auto"/>
                <w:lang w:eastAsia="zh-CN"/>
              </w:rPr>
            </w:pPr>
            <w:r>
              <w:rPr>
                <w:rFonts w:hint="eastAsia" w:ascii="Times New Roman" w:hAnsi="Times New Roman" w:eastAsia="宋体" w:cs="Times New Roman"/>
                <w:color w:val="auto"/>
                <w:sz w:val="21"/>
                <w:szCs w:val="21"/>
                <w:u w:val="none" w:color="auto"/>
                <w:lang w:val="en-US" w:eastAsia="zh-CN"/>
              </w:rPr>
              <w:t>院区</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医疗</w:t>
            </w:r>
            <w:r>
              <w:rPr>
                <w:rFonts w:hint="default" w:ascii="Times New Roman" w:hAnsi="Times New Roman" w:eastAsia="宋体" w:cs="Times New Roman"/>
                <w:color w:val="auto"/>
                <w:sz w:val="21"/>
                <w:szCs w:val="21"/>
                <w:u w:val="none" w:color="auto"/>
              </w:rPr>
              <w:t>废气</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加强通风</w:t>
            </w:r>
          </w:p>
        </w:tc>
        <w:tc>
          <w:tcPr>
            <w:tcW w:w="2769"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vMerge w:val="continue"/>
            <w:noWrap w:val="0"/>
            <w:vAlign w:val="center"/>
          </w:tcPr>
          <w:p>
            <w:pPr>
              <w:adjustRightInd w:val="0"/>
              <w:snapToGrid w:val="0"/>
              <w:jc w:val="center"/>
              <w:rPr>
                <w:rFonts w:hint="default" w:ascii="Times New Roman" w:hAnsi="Times New Roman" w:cs="Times New Roman"/>
                <w:color w:val="auto"/>
                <w:sz w:val="21"/>
                <w:szCs w:val="21"/>
                <w:u w:val="none" w:color="auto"/>
              </w:rPr>
            </w:pPr>
          </w:p>
        </w:tc>
        <w:tc>
          <w:tcPr>
            <w:tcW w:w="13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食堂</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油烟</w:t>
            </w:r>
          </w:p>
        </w:tc>
        <w:tc>
          <w:tcPr>
            <w:tcW w:w="1800" w:type="dxa"/>
            <w:noWrap w:val="0"/>
            <w:vAlign w:val="center"/>
          </w:tcPr>
          <w:p>
            <w:pPr>
              <w:adjustRightInd w:val="0"/>
              <w:snapToGrid w:val="0"/>
              <w:jc w:val="center"/>
              <w:rPr>
                <w:rFonts w:hint="eastAsia" w:ascii="Times New Roman" w:hAnsi="Times New Roman" w:eastAsia="宋体" w:cs="Times New Roman"/>
                <w:color w:val="auto"/>
                <w:sz w:val="21"/>
                <w:szCs w:val="21"/>
                <w:u w:val="none" w:color="auto"/>
                <w:lang w:eastAsia="zh-CN"/>
              </w:rPr>
            </w:pPr>
            <w:r>
              <w:rPr>
                <w:rFonts w:hint="eastAsia" w:ascii="Times New Roman" w:hAnsi="Times New Roman" w:eastAsia="宋体" w:cs="Times New Roman"/>
                <w:color w:val="auto"/>
                <w:sz w:val="21"/>
                <w:szCs w:val="21"/>
                <w:u w:val="none" w:color="auto"/>
                <w:lang w:val="en-US" w:eastAsia="zh-CN"/>
              </w:rPr>
              <w:t>设置</w:t>
            </w:r>
            <w:r>
              <w:rPr>
                <w:rFonts w:hint="default" w:ascii="Times New Roman" w:hAnsi="Times New Roman" w:eastAsia="宋体" w:cs="Times New Roman"/>
                <w:color w:val="auto"/>
                <w:sz w:val="21"/>
                <w:szCs w:val="21"/>
                <w:u w:val="none" w:color="auto"/>
              </w:rPr>
              <w:t>油烟净化</w:t>
            </w:r>
            <w:r>
              <w:rPr>
                <w:rFonts w:hint="eastAsia" w:ascii="Times New Roman" w:hAnsi="Times New Roman" w:eastAsia="宋体" w:cs="Times New Roman"/>
                <w:color w:val="auto"/>
                <w:sz w:val="21"/>
                <w:szCs w:val="21"/>
                <w:u w:val="none" w:color="auto"/>
                <w:lang w:val="en-US" w:eastAsia="zh-CN"/>
              </w:rPr>
              <w:t>装置</w:t>
            </w:r>
          </w:p>
        </w:tc>
        <w:tc>
          <w:tcPr>
            <w:tcW w:w="2769"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《饮食业油烟排放标准（试行）》（GB18483-2001）小型浓度限值要求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vMerge w:val="continue"/>
            <w:noWrap w:val="0"/>
            <w:vAlign w:val="center"/>
          </w:tcPr>
          <w:p>
            <w:pPr>
              <w:adjustRightInd w:val="0"/>
              <w:snapToGrid w:val="0"/>
              <w:jc w:val="center"/>
              <w:rPr>
                <w:rFonts w:hint="default" w:ascii="Times New Roman" w:hAnsi="Times New Roman" w:cs="Times New Roman"/>
                <w:color w:val="auto"/>
                <w:sz w:val="21"/>
                <w:szCs w:val="21"/>
                <w:u w:val="none" w:color="auto"/>
              </w:rPr>
            </w:pPr>
          </w:p>
        </w:tc>
        <w:tc>
          <w:tcPr>
            <w:tcW w:w="13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柴油发电机</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CO、氮氧化物等</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加强通风</w:t>
            </w:r>
          </w:p>
        </w:tc>
        <w:tc>
          <w:tcPr>
            <w:tcW w:w="2769"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《非道路移动机械用柴油机排气污染物排放限值及测量方法</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lang w:val="en-US" w:eastAsia="zh-CN"/>
              </w:rPr>
              <w:t>中国第三、四阶段</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》(GB 20891—2014</w:t>
            </w:r>
            <w:r>
              <w:rPr>
                <w:rFonts w:hint="eastAsia"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中第三阶段标准要求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地表水环境</w:t>
            </w:r>
          </w:p>
        </w:tc>
        <w:tc>
          <w:tcPr>
            <w:tcW w:w="13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废水排放口DW001/医疗废水</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COD</w:t>
            </w:r>
            <w:r>
              <w:rPr>
                <w:rFonts w:hint="default" w:ascii="Times New Roman" w:hAnsi="Times New Roman" w:eastAsia="宋体" w:cs="Times New Roman"/>
                <w:color w:val="auto"/>
                <w:sz w:val="21"/>
                <w:szCs w:val="21"/>
                <w:u w:val="none" w:color="auto"/>
                <w:vertAlign w:val="subscript"/>
              </w:rPr>
              <w:t>Cr</w:t>
            </w:r>
            <w:r>
              <w:rPr>
                <w:rFonts w:hint="default" w:ascii="Times New Roman" w:hAnsi="Times New Roman" w:eastAsia="宋体" w:cs="Times New Roman"/>
                <w:color w:val="auto"/>
                <w:sz w:val="21"/>
                <w:szCs w:val="21"/>
                <w:u w:val="none" w:color="auto"/>
              </w:rPr>
              <w:t>、BOD</w:t>
            </w:r>
            <w:r>
              <w:rPr>
                <w:rFonts w:hint="default" w:ascii="Times New Roman" w:hAnsi="Times New Roman" w:eastAsia="宋体" w:cs="Times New Roman"/>
                <w:color w:val="auto"/>
                <w:sz w:val="21"/>
                <w:szCs w:val="21"/>
                <w:u w:val="none" w:color="auto"/>
                <w:vertAlign w:val="subscript"/>
              </w:rPr>
              <w:t>5</w:t>
            </w:r>
            <w:r>
              <w:rPr>
                <w:rFonts w:hint="default" w:ascii="Times New Roman" w:hAnsi="Times New Roman" w:eastAsia="宋体" w:cs="Times New Roman"/>
                <w:color w:val="auto"/>
                <w:sz w:val="21"/>
                <w:szCs w:val="21"/>
                <w:u w:val="none" w:color="auto"/>
              </w:rPr>
              <w:t>、SS、氨氮、粪大肠菌群等</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eastAsia="zh-CN"/>
              </w:rPr>
              <w:t>地埋式污水处理系统</w:t>
            </w:r>
          </w:p>
        </w:tc>
        <w:tc>
          <w:tcPr>
            <w:tcW w:w="2769"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1"/>
                <w:szCs w:val="21"/>
                <w:u w:val="none" w:color="auto"/>
                <w:lang w:val="en-US" w:eastAsia="zh-CN"/>
              </w:rPr>
              <w:t>医疗机构水污染物排放标准》（GB18466-2005）预处理标准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声环境</w:t>
            </w:r>
          </w:p>
        </w:tc>
        <w:tc>
          <w:tcPr>
            <w:tcW w:w="13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设备噪声、就诊人群噪声</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噪声</w:t>
            </w:r>
          </w:p>
        </w:tc>
        <w:tc>
          <w:tcPr>
            <w:tcW w:w="1800" w:type="dxa"/>
            <w:noWrap w:val="0"/>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建筑隔声</w:t>
            </w:r>
          </w:p>
        </w:tc>
        <w:tc>
          <w:tcPr>
            <w:tcW w:w="2769"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电磁辐射</w:t>
            </w:r>
          </w:p>
        </w:tc>
        <w:tc>
          <w:tcPr>
            <w:tcW w:w="13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2769"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1" w:type="dxa"/>
            <w:vMerge w:val="restart"/>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固体废物</w:t>
            </w:r>
          </w:p>
        </w:tc>
        <w:tc>
          <w:tcPr>
            <w:tcW w:w="13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门诊、办公</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生活垃圾</w:t>
            </w:r>
          </w:p>
        </w:tc>
        <w:tc>
          <w:tcPr>
            <w:tcW w:w="1800"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垃圾桶收集，由环卫部门统一清运</w:t>
            </w:r>
          </w:p>
        </w:tc>
        <w:tc>
          <w:tcPr>
            <w:tcW w:w="2769" w:type="dxa"/>
            <w:noWrap w:val="0"/>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31" w:type="dxa"/>
            <w:vMerge w:val="continue"/>
            <w:noWrap w:val="0"/>
            <w:vAlign w:val="center"/>
          </w:tcPr>
          <w:p>
            <w:pPr>
              <w:adjustRightInd w:val="0"/>
              <w:snapToGrid w:val="0"/>
              <w:jc w:val="center"/>
              <w:rPr>
                <w:rFonts w:hint="default" w:ascii="Times New Roman" w:hAnsi="Times New Roman" w:cs="Times New Roman"/>
                <w:color w:val="auto"/>
                <w:sz w:val="21"/>
                <w:szCs w:val="21"/>
                <w:u w:val="none" w:color="auto"/>
              </w:rPr>
            </w:pPr>
          </w:p>
        </w:tc>
        <w:tc>
          <w:tcPr>
            <w:tcW w:w="1300" w:type="dxa"/>
            <w:vMerge w:val="restart"/>
            <w:noWrap w:val="0"/>
            <w:vAlign w:val="center"/>
          </w:tcPr>
          <w:p>
            <w:pPr>
              <w:adjustRightInd w:val="0"/>
              <w:snapToGrid w:val="0"/>
              <w:spacing w:line="360" w:lineRule="auto"/>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一般固体废物</w:t>
            </w:r>
          </w:p>
        </w:tc>
        <w:tc>
          <w:tcPr>
            <w:tcW w:w="180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输液瓶（袋）和玻璃瓶</w:t>
            </w:r>
          </w:p>
        </w:tc>
        <w:tc>
          <w:tcPr>
            <w:tcW w:w="1800" w:type="dxa"/>
            <w:noWrap w:val="0"/>
            <w:vAlign w:val="center"/>
          </w:tcPr>
          <w:p>
            <w:pPr>
              <w:adjustRightInd w:val="0"/>
              <w:snapToGrid w:val="0"/>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收集后交由湖南</w:t>
            </w:r>
            <w:r>
              <w:rPr>
                <w:rFonts w:hint="eastAsia" w:ascii="Times New Roman" w:hAnsi="Times New Roman" w:cs="Times New Roman"/>
                <w:color w:val="auto"/>
                <w:sz w:val="21"/>
                <w:szCs w:val="21"/>
                <w:u w:val="none" w:color="auto"/>
                <w:lang w:val="en-US" w:eastAsia="zh-CN"/>
              </w:rPr>
              <w:t>博晟卫生材料有限公司回收</w:t>
            </w:r>
          </w:p>
        </w:tc>
        <w:tc>
          <w:tcPr>
            <w:tcW w:w="2769" w:type="dxa"/>
            <w:noWrap w:val="0"/>
            <w:vAlign w:val="center"/>
          </w:tcPr>
          <w:p>
            <w:pPr>
              <w:adjustRightInd w:val="0"/>
              <w:snapToGrid w:val="0"/>
              <w:spacing w:line="360" w:lineRule="auto"/>
              <w:jc w:val="center"/>
              <w:rPr>
                <w:rFonts w:hint="default" w:ascii="Times New Roman" w:hAnsi="Times New Roman"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31" w:type="dxa"/>
            <w:vMerge w:val="continue"/>
            <w:noWrap w:val="0"/>
            <w:vAlign w:val="center"/>
          </w:tcPr>
          <w:p>
            <w:pPr>
              <w:adjustRightInd w:val="0"/>
              <w:snapToGrid w:val="0"/>
              <w:spacing w:line="360" w:lineRule="auto"/>
              <w:ind w:firstLine="420" w:firstLineChars="200"/>
              <w:jc w:val="left"/>
              <w:rPr>
                <w:color w:val="auto"/>
                <w:sz w:val="21"/>
                <w:szCs w:val="21"/>
                <w:u w:val="none" w:color="auto"/>
              </w:rPr>
            </w:pPr>
          </w:p>
        </w:tc>
        <w:tc>
          <w:tcPr>
            <w:tcW w:w="1300" w:type="dxa"/>
            <w:vMerge w:val="continue"/>
            <w:noWrap w:val="0"/>
            <w:vAlign w:val="center"/>
          </w:tcPr>
          <w:p>
            <w:pPr>
              <w:adjustRightInd w:val="0"/>
              <w:snapToGrid w:val="0"/>
              <w:spacing w:line="360" w:lineRule="auto"/>
              <w:ind w:firstLine="420" w:firstLineChars="200"/>
              <w:jc w:val="center"/>
              <w:rPr>
                <w:color w:val="auto"/>
                <w:sz w:val="21"/>
                <w:szCs w:val="21"/>
                <w:u w:val="none" w:color="auto"/>
              </w:rPr>
            </w:pPr>
          </w:p>
        </w:tc>
        <w:tc>
          <w:tcPr>
            <w:tcW w:w="180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废包装材料</w:t>
            </w:r>
          </w:p>
        </w:tc>
        <w:tc>
          <w:tcPr>
            <w:tcW w:w="180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收集后作为废品出售</w:t>
            </w:r>
          </w:p>
        </w:tc>
        <w:tc>
          <w:tcPr>
            <w:tcW w:w="2769" w:type="dxa"/>
            <w:noWrap w:val="0"/>
            <w:vAlign w:val="center"/>
          </w:tcPr>
          <w:p>
            <w:pPr>
              <w:adjustRightInd w:val="0"/>
              <w:snapToGrid w:val="0"/>
              <w:spacing w:line="360" w:lineRule="auto"/>
              <w:jc w:val="center"/>
              <w:rPr>
                <w:rFonts w:hint="default" w:ascii="Times New Roman" w:hAnsi="Times New Roman"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31" w:type="dxa"/>
            <w:vMerge w:val="continue"/>
            <w:noWrap w:val="0"/>
            <w:vAlign w:val="center"/>
          </w:tcPr>
          <w:p>
            <w:pPr>
              <w:adjustRightInd w:val="0"/>
              <w:snapToGrid w:val="0"/>
              <w:spacing w:line="360" w:lineRule="auto"/>
              <w:ind w:firstLine="420" w:firstLineChars="200"/>
              <w:jc w:val="left"/>
              <w:rPr>
                <w:color w:val="auto"/>
                <w:sz w:val="21"/>
                <w:szCs w:val="21"/>
                <w:u w:val="none" w:color="auto"/>
              </w:rPr>
            </w:pPr>
          </w:p>
        </w:tc>
        <w:tc>
          <w:tcPr>
            <w:tcW w:w="1300" w:type="dxa"/>
            <w:vMerge w:val="restart"/>
            <w:noWrap w:val="0"/>
            <w:vAlign w:val="center"/>
          </w:tcPr>
          <w:p>
            <w:pPr>
              <w:adjustRightInd w:val="0"/>
              <w:snapToGrid w:val="0"/>
              <w:spacing w:line="360" w:lineRule="auto"/>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危险废物</w:t>
            </w:r>
          </w:p>
        </w:tc>
        <w:tc>
          <w:tcPr>
            <w:tcW w:w="1800" w:type="dxa"/>
            <w:noWrap w:val="0"/>
            <w:vAlign w:val="center"/>
          </w:tcPr>
          <w:p>
            <w:pPr>
              <w:adjustRightInd w:val="0"/>
              <w:snapToGrid w:val="0"/>
              <w:spacing w:line="240" w:lineRule="auto"/>
              <w:jc w:val="center"/>
              <w:rPr>
                <w:rFonts w:hint="default" w:eastAsia="宋体"/>
                <w:color w:val="auto"/>
                <w:sz w:val="21"/>
                <w:szCs w:val="21"/>
                <w:u w:val="single" w:color="auto"/>
                <w:lang w:val="en-US" w:eastAsia="zh-CN"/>
              </w:rPr>
            </w:pPr>
            <w:r>
              <w:rPr>
                <w:rFonts w:hint="eastAsia"/>
                <w:color w:val="auto"/>
                <w:sz w:val="21"/>
                <w:szCs w:val="21"/>
                <w:u w:val="single" w:color="auto"/>
                <w:lang w:val="en-US" w:eastAsia="zh-CN"/>
              </w:rPr>
              <w:t>医疗废物</w:t>
            </w:r>
          </w:p>
        </w:tc>
        <w:tc>
          <w:tcPr>
            <w:tcW w:w="1800" w:type="dxa"/>
            <w:noWrap w:val="0"/>
            <w:vAlign w:val="center"/>
          </w:tcPr>
          <w:p>
            <w:pPr>
              <w:adjustRightInd w:val="0"/>
              <w:snapToGrid w:val="0"/>
              <w:spacing w:line="240" w:lineRule="auto"/>
              <w:jc w:val="center"/>
              <w:rPr>
                <w:color w:val="auto"/>
                <w:sz w:val="21"/>
                <w:szCs w:val="21"/>
                <w:u w:val="single" w:color="auto"/>
              </w:rPr>
            </w:pPr>
            <w:r>
              <w:rPr>
                <w:rFonts w:hint="eastAsia" w:cs="Times New Roman"/>
                <w:color w:val="auto"/>
                <w:sz w:val="21"/>
                <w:szCs w:val="21"/>
                <w:highlight w:val="none"/>
                <w:u w:val="single" w:color="auto"/>
                <w:lang w:val="en-US" w:eastAsia="zh-CN"/>
              </w:rPr>
              <w:t>暂存后</w:t>
            </w:r>
            <w:r>
              <w:rPr>
                <w:rFonts w:hint="default" w:ascii="Times New Roman" w:hAnsi="Times New Roman" w:eastAsia="宋体" w:cs="Times New Roman"/>
                <w:color w:val="auto"/>
                <w:sz w:val="21"/>
                <w:szCs w:val="21"/>
                <w:highlight w:val="none"/>
                <w:u w:val="single" w:color="auto"/>
              </w:rPr>
              <w:t>交由岳阳市方向固废安全处置有限公司处理</w:t>
            </w:r>
          </w:p>
        </w:tc>
        <w:tc>
          <w:tcPr>
            <w:tcW w:w="2769" w:type="dxa"/>
            <w:vMerge w:val="restart"/>
            <w:noWrap w:val="0"/>
            <w:vAlign w:val="center"/>
          </w:tcPr>
          <w:p>
            <w:pPr>
              <w:adjustRightInd w:val="0"/>
              <w:snapToGrid w:val="0"/>
              <w:spacing w:line="360" w:lineRule="auto"/>
              <w:jc w:val="center"/>
              <w:rPr>
                <w:rFonts w:hint="default" w:ascii="Times New Roman" w:hAnsi="Times New Roman"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31" w:type="dxa"/>
            <w:vMerge w:val="continue"/>
            <w:noWrap w:val="0"/>
            <w:vAlign w:val="center"/>
          </w:tcPr>
          <w:p>
            <w:pPr>
              <w:adjustRightInd w:val="0"/>
              <w:snapToGrid w:val="0"/>
              <w:spacing w:line="240" w:lineRule="auto"/>
              <w:jc w:val="left"/>
              <w:rPr>
                <w:color w:val="auto"/>
                <w:u w:val="none" w:color="auto"/>
              </w:rPr>
            </w:pPr>
          </w:p>
        </w:tc>
        <w:tc>
          <w:tcPr>
            <w:tcW w:w="1300" w:type="dxa"/>
            <w:vMerge w:val="continue"/>
            <w:noWrap w:val="0"/>
            <w:vAlign w:val="center"/>
          </w:tcPr>
          <w:p>
            <w:pPr>
              <w:adjustRightInd w:val="0"/>
              <w:snapToGrid w:val="0"/>
              <w:spacing w:line="240" w:lineRule="auto"/>
              <w:jc w:val="left"/>
              <w:rPr>
                <w:color w:val="auto"/>
                <w:u w:val="none" w:color="auto"/>
              </w:rPr>
            </w:pPr>
          </w:p>
        </w:tc>
        <w:tc>
          <w:tcPr>
            <w:tcW w:w="1800" w:type="dxa"/>
            <w:noWrap w:val="0"/>
            <w:vAlign w:val="center"/>
          </w:tcPr>
          <w:p>
            <w:pPr>
              <w:adjustRightInd w:val="0"/>
              <w:snapToGrid w:val="0"/>
              <w:spacing w:line="240" w:lineRule="auto"/>
              <w:jc w:val="center"/>
              <w:rPr>
                <w:rFonts w:hint="default" w:eastAsia="宋体"/>
                <w:color w:val="auto"/>
                <w:sz w:val="21"/>
                <w:szCs w:val="21"/>
                <w:u w:val="single" w:color="auto"/>
                <w:lang w:val="en-US" w:eastAsia="zh-CN"/>
              </w:rPr>
            </w:pPr>
            <w:r>
              <w:rPr>
                <w:rFonts w:hint="eastAsia"/>
                <w:color w:val="auto"/>
                <w:sz w:val="21"/>
                <w:szCs w:val="21"/>
                <w:u w:val="single" w:color="auto"/>
                <w:lang w:val="en-US" w:eastAsia="zh-CN"/>
              </w:rPr>
              <w:t>污泥</w:t>
            </w:r>
          </w:p>
        </w:tc>
        <w:tc>
          <w:tcPr>
            <w:tcW w:w="1800" w:type="dxa"/>
            <w:noWrap w:val="0"/>
            <w:vAlign w:val="center"/>
          </w:tcPr>
          <w:p>
            <w:pPr>
              <w:adjustRightInd w:val="0"/>
              <w:snapToGrid w:val="0"/>
              <w:spacing w:line="240" w:lineRule="auto"/>
              <w:jc w:val="left"/>
              <w:rPr>
                <w:rFonts w:hint="default" w:eastAsia="宋体"/>
                <w:color w:val="auto"/>
                <w:sz w:val="21"/>
                <w:szCs w:val="21"/>
                <w:u w:val="single" w:color="auto"/>
                <w:lang w:val="en-US" w:eastAsia="zh-CN"/>
              </w:rPr>
            </w:pPr>
            <w:r>
              <w:rPr>
                <w:rFonts w:hint="default" w:ascii="Times New Roman" w:hAnsi="Times New Roman" w:eastAsia="宋体" w:cs="Times New Roman"/>
                <w:color w:val="auto"/>
                <w:sz w:val="21"/>
                <w:szCs w:val="21"/>
                <w:highlight w:val="none"/>
                <w:u w:val="single" w:color="auto"/>
              </w:rPr>
              <w:t>产生污泥定期</w:t>
            </w:r>
            <w:r>
              <w:rPr>
                <w:rFonts w:hint="eastAsia" w:cs="Times New Roman"/>
                <w:color w:val="auto"/>
                <w:sz w:val="21"/>
                <w:szCs w:val="21"/>
                <w:highlight w:val="none"/>
                <w:u w:val="single" w:color="auto"/>
                <w:lang w:val="en-US" w:eastAsia="zh-CN"/>
              </w:rPr>
              <w:t>进</w:t>
            </w:r>
            <w:r>
              <w:rPr>
                <w:rFonts w:hint="eastAsia" w:ascii="Times New Roman" w:hAnsi="Times New Roman" w:eastAsia="宋体" w:cs="Times New Roman"/>
                <w:color w:val="auto"/>
                <w:sz w:val="21"/>
                <w:szCs w:val="21"/>
                <w:highlight w:val="none"/>
                <w:u w:val="single" w:color="auto"/>
                <w:lang w:val="en-US" w:eastAsia="zh-CN"/>
              </w:rPr>
              <w:t>行压滤</w:t>
            </w:r>
            <w:r>
              <w:rPr>
                <w:rFonts w:hint="eastAsia" w:cs="Times New Roman"/>
                <w:color w:val="auto"/>
                <w:sz w:val="21"/>
                <w:szCs w:val="21"/>
                <w:highlight w:val="none"/>
                <w:u w:val="single" w:color="auto"/>
                <w:lang w:val="en-US" w:eastAsia="zh-CN"/>
              </w:rPr>
              <w:t>和</w:t>
            </w:r>
            <w:r>
              <w:rPr>
                <w:rFonts w:hint="eastAsia" w:ascii="Times New Roman" w:hAnsi="Times New Roman" w:eastAsia="宋体" w:cs="Times New Roman"/>
                <w:color w:val="auto"/>
                <w:sz w:val="21"/>
                <w:szCs w:val="21"/>
                <w:highlight w:val="none"/>
                <w:u w:val="single" w:color="auto"/>
                <w:lang w:val="en-US" w:eastAsia="zh-CN"/>
              </w:rPr>
              <w:t>格栅渣</w:t>
            </w:r>
            <w:r>
              <w:rPr>
                <w:rFonts w:hint="default" w:ascii="Times New Roman" w:hAnsi="Times New Roman" w:eastAsia="宋体" w:cs="Times New Roman"/>
                <w:color w:val="auto"/>
                <w:sz w:val="21"/>
                <w:szCs w:val="21"/>
                <w:highlight w:val="none"/>
                <w:u w:val="single" w:color="auto"/>
              </w:rPr>
              <w:t>交由岳阳市方向固废安全处置有限公司处理</w:t>
            </w:r>
          </w:p>
        </w:tc>
        <w:tc>
          <w:tcPr>
            <w:tcW w:w="2769" w:type="dxa"/>
            <w:vMerge w:val="continue"/>
            <w:noWrap w:val="0"/>
            <w:vAlign w:val="center"/>
          </w:tcPr>
          <w:p>
            <w:pPr>
              <w:adjustRightInd w:val="0"/>
              <w:snapToGrid w:val="0"/>
              <w:spacing w:line="240" w:lineRule="auto"/>
              <w:jc w:val="left"/>
              <w:rPr>
                <w:rFonts w:hint="default" w:eastAsia="宋体"/>
                <w:color w:val="auto"/>
                <w:sz w:val="21"/>
                <w:szCs w:val="21"/>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31" w:type="dxa"/>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土壤及地下水污染防治措施</w:t>
            </w:r>
          </w:p>
        </w:tc>
        <w:tc>
          <w:tcPr>
            <w:tcW w:w="7669" w:type="dxa"/>
            <w:gridSpan w:val="4"/>
            <w:noWrap w:val="0"/>
            <w:vAlign w:val="center"/>
          </w:tcPr>
          <w:p>
            <w:pPr>
              <w:adjustRightInd w:val="0"/>
              <w:snapToGrid w:val="0"/>
              <w:spacing w:line="240" w:lineRule="auto"/>
              <w:ind w:firstLine="420" w:firstLineChars="20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区域已采取防渗措施，项目各区域地面已硬化处理，污水站、医疗废物暂存间采用水泥混凝土地面，运营期间在正常情况下不会对地下水环境造成污染影响。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1" w:type="dxa"/>
            <w:noWrap w:val="0"/>
            <w:vAlign w:val="center"/>
          </w:tcPr>
          <w:p>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生态保护措施</w:t>
            </w:r>
          </w:p>
        </w:tc>
        <w:tc>
          <w:tcPr>
            <w:tcW w:w="7669" w:type="dxa"/>
            <w:gridSpan w:val="4"/>
            <w:noWrap w:val="0"/>
            <w:vAlign w:val="center"/>
          </w:tcPr>
          <w:p>
            <w:pPr>
              <w:adjustRightInd w:val="0"/>
              <w:snapToGrid w:val="0"/>
              <w:spacing w:line="360" w:lineRule="auto"/>
              <w:ind w:firstLine="420" w:firstLineChars="200"/>
              <w:jc w:val="left"/>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院内</w:t>
            </w:r>
            <w:r>
              <w:rPr>
                <w:rFonts w:hint="default" w:ascii="Times New Roman" w:hAnsi="Times New Roman" w:cs="Times New Roman"/>
                <w:color w:val="auto"/>
                <w:sz w:val="21"/>
                <w:szCs w:val="21"/>
                <w:u w:val="none" w:color="auto"/>
              </w:rPr>
              <w:t>实施乔、灌、草相结合的空间绿化</w:t>
            </w:r>
            <w:r>
              <w:rPr>
                <w:rFonts w:hint="eastAsia" w:ascii="Times New Roman" w:hAnsi="Times New Roman" w:cs="Times New Roman"/>
                <w:color w:val="auto"/>
                <w:sz w:val="21"/>
                <w:szCs w:val="21"/>
                <w:u w:val="none" w:color="auto"/>
                <w:lang w:eastAsia="zh-CN"/>
              </w:rPr>
              <w:t>，</w:t>
            </w:r>
            <w:r>
              <w:rPr>
                <w:rFonts w:hint="eastAsia" w:ascii="Times New Roman" w:hAnsi="Times New Roman" w:cs="Times New Roman"/>
                <w:color w:val="auto"/>
                <w:sz w:val="21"/>
                <w:szCs w:val="21"/>
                <w:u w:val="none" w:color="auto"/>
                <w:lang w:val="en-US" w:eastAsia="zh-CN"/>
              </w:rPr>
              <w:t>除绿化外，其余地面进行了硬化。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31" w:type="dxa"/>
            <w:noWrap w:val="0"/>
            <w:vAlign w:val="center"/>
          </w:tcPr>
          <w:p>
            <w:pPr>
              <w:adjustRightInd w:val="0"/>
              <w:snapToGrid w:val="0"/>
              <w:jc w:val="center"/>
              <w:rPr>
                <w:rFonts w:hint="default" w:ascii="Times New Roman" w:hAnsi="Times New Roman" w:cs="Times New Roman"/>
                <w:color w:val="auto"/>
                <w:spacing w:val="-8"/>
                <w:sz w:val="21"/>
                <w:szCs w:val="21"/>
                <w:u w:val="none" w:color="auto"/>
              </w:rPr>
            </w:pPr>
            <w:r>
              <w:rPr>
                <w:rFonts w:hint="default" w:ascii="Times New Roman" w:hAnsi="Times New Roman" w:cs="Times New Roman"/>
                <w:color w:val="auto"/>
                <w:spacing w:val="-8"/>
                <w:sz w:val="21"/>
                <w:szCs w:val="21"/>
                <w:u w:val="none" w:color="auto"/>
              </w:rPr>
              <w:t>环境风险</w:t>
            </w:r>
          </w:p>
          <w:p>
            <w:pPr>
              <w:adjustRightInd w:val="0"/>
              <w:snapToGrid w:val="0"/>
              <w:jc w:val="center"/>
              <w:rPr>
                <w:rFonts w:hint="default" w:ascii="Times New Roman" w:hAnsi="Times New Roman" w:cs="Times New Roman"/>
                <w:color w:val="auto"/>
                <w:spacing w:val="-8"/>
                <w:sz w:val="21"/>
                <w:szCs w:val="21"/>
                <w:u w:val="none" w:color="auto"/>
              </w:rPr>
            </w:pPr>
            <w:r>
              <w:rPr>
                <w:rFonts w:hint="default" w:ascii="Times New Roman" w:hAnsi="Times New Roman" w:cs="Times New Roman"/>
                <w:color w:val="auto"/>
                <w:spacing w:val="-8"/>
                <w:sz w:val="21"/>
                <w:szCs w:val="21"/>
                <w:u w:val="none" w:color="auto"/>
              </w:rPr>
              <w:t>防范措施</w:t>
            </w:r>
          </w:p>
        </w:tc>
        <w:tc>
          <w:tcPr>
            <w:tcW w:w="7669" w:type="dxa"/>
            <w:gridSpan w:val="4"/>
            <w:noWrap w:val="0"/>
            <w:vAlign w:val="center"/>
          </w:tcPr>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①化学品泄漏</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将酒精贮存于阴凉、干燥、通风处。远离火种、热源，</w:t>
            </w:r>
            <w:r>
              <w:rPr>
                <w:rFonts w:hint="eastAsia"/>
                <w:color w:val="auto"/>
                <w:lang w:eastAsia="zh-CN"/>
              </w:rPr>
              <w:t>防止阳光</w:t>
            </w:r>
            <w:r>
              <w:rPr>
                <w:rFonts w:hint="default"/>
                <w:color w:val="auto"/>
                <w:lang w:eastAsia="zh-CN"/>
              </w:rPr>
              <w:t>直射。保持容器密封，应与碱类、氧化剂、还原剂等分开存放，切忌混储。搬运作业要注意个人防护。搬运时要轻装轻卸，防止包装和容器损坏。装运该物品的车辆气管必须配备阻火装置，禁止使用易产生火花的机械设备和工具装卸。</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②医疗废物泄漏</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1）</w:t>
            </w:r>
            <w:r>
              <w:rPr>
                <w:rFonts w:hint="default"/>
                <w:color w:val="auto"/>
                <w:lang w:eastAsia="zh-CN"/>
              </w:rPr>
              <w:t>应按照《医疗废物管理条例</w:t>
            </w:r>
            <w:r>
              <w:rPr>
                <w:rFonts w:hint="eastAsia"/>
                <w:color w:val="auto"/>
                <w:lang w:eastAsia="zh-CN"/>
              </w:rPr>
              <w:t>》《</w:t>
            </w:r>
            <w:r>
              <w:rPr>
                <w:rFonts w:hint="default"/>
                <w:color w:val="auto"/>
                <w:lang w:eastAsia="zh-CN"/>
              </w:rPr>
              <w:t>医疗废物集中处置技术规范</w:t>
            </w:r>
            <w:r>
              <w:rPr>
                <w:rFonts w:hint="eastAsia"/>
                <w:color w:val="auto"/>
                <w:lang w:eastAsia="zh-CN"/>
              </w:rPr>
              <w:t>》《</w:t>
            </w:r>
            <w:r>
              <w:rPr>
                <w:rFonts w:hint="default"/>
                <w:color w:val="auto"/>
                <w:lang w:eastAsia="zh-CN"/>
              </w:rPr>
              <w:t>危险废物贮存污染控制标准》等要求建设医疗废物暂存间；</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2）</w:t>
            </w:r>
            <w:r>
              <w:rPr>
                <w:rFonts w:hint="default"/>
                <w:color w:val="auto"/>
                <w:lang w:eastAsia="zh-CN"/>
              </w:rPr>
              <w:t>危险废物均应以符合要求的专门容器盛装，并实行分区暂存，不得混贮，严禁不相容物质混贮；</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3）</w:t>
            </w:r>
            <w:r>
              <w:rPr>
                <w:rFonts w:hint="default"/>
                <w:color w:val="auto"/>
                <w:lang w:eastAsia="zh-CN"/>
              </w:rPr>
              <w:t>加强日常监控，组织专人负责医疗废物暂存间安全，以杜绝安全隐患；</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4）</w:t>
            </w:r>
            <w:r>
              <w:rPr>
                <w:rFonts w:hint="default"/>
                <w:color w:val="auto"/>
                <w:lang w:eastAsia="zh-CN"/>
              </w:rPr>
              <w:t>建议建设单位对医院医疗废物如实填写运行记录，并妥善保存。管理中明确污染事故防止对策和制定污染事故应急预案。</w:t>
            </w:r>
            <w:r>
              <w:rPr>
                <w:rFonts w:hint="eastAsia"/>
                <w:color w:val="auto"/>
                <w:lang w:eastAsia="zh-CN"/>
              </w:rPr>
              <w:t>一旦</w:t>
            </w:r>
            <w:r>
              <w:rPr>
                <w:rFonts w:hint="default"/>
                <w:color w:val="auto"/>
                <w:lang w:eastAsia="zh-CN"/>
              </w:rPr>
              <w:t>发生以上事故情况时，管理方应按“事故情况下的应急程序”进行操作。</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③</w:t>
            </w:r>
            <w:r>
              <w:rPr>
                <w:rFonts w:hint="default"/>
                <w:color w:val="auto"/>
                <w:lang w:eastAsia="zh-CN"/>
              </w:rPr>
              <w:t>污水处理站废水非正常排放</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1）</w:t>
            </w:r>
            <w:r>
              <w:rPr>
                <w:rFonts w:hint="default"/>
                <w:color w:val="auto"/>
                <w:lang w:eastAsia="zh-CN"/>
              </w:rPr>
              <w:t>提高污水处理设施自动化程度，提高投药准确率和污水处理站的处理效果，医院污水接触消毒的时间应控制在1小时以上。</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2）</w:t>
            </w:r>
            <w:r>
              <w:rPr>
                <w:rFonts w:hint="default"/>
                <w:color w:val="auto"/>
                <w:lang w:eastAsia="zh-CN"/>
              </w:rPr>
              <w:t>加强环保设备的保养和维护，保证设备的正常运转率，设置两台加药设备，防止设备故障时污水处理站无法运行，一台加药设备作为备用。</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val="en-US" w:eastAsia="zh-CN"/>
              </w:rPr>
              <w:t>3）</w:t>
            </w:r>
            <w:r>
              <w:rPr>
                <w:rFonts w:hint="default"/>
                <w:color w:val="auto"/>
                <w:lang w:eastAsia="zh-CN"/>
              </w:rPr>
              <w:t>加强对污水处理站技术人员和操作人员的培训，熟练掌握污水处理站工艺技术原理和运行经验及设备的操作说明，加强工作人员的岗位责任管理，减少人员因素产生的故障。</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val="en-US" w:eastAsia="zh-CN"/>
              </w:rPr>
            </w:pPr>
            <w:r>
              <w:rPr>
                <w:rFonts w:hint="eastAsia"/>
                <w:color w:val="auto"/>
                <w:lang w:val="en-US" w:eastAsia="zh-CN"/>
              </w:rPr>
              <w:t>4）</w:t>
            </w:r>
            <w:r>
              <w:rPr>
                <w:rFonts w:hint="default"/>
                <w:color w:val="auto"/>
                <w:lang w:eastAsia="zh-CN"/>
              </w:rPr>
              <w:t>污水处理站设计上应考虑留有一定的回流的处理缓冲能力和设施；建立废水非正常排放事故应急池。根据《医院污水处理工程技术规范》（HJ2029-2013）12.4.1规定：医院污水处理工程设置应急事故池，以贮存处理系统事故或其他突发事件时医院污水。传染病医院污水处理工程应急事故池容积不小于日排放量的100%，非传染病医院污水处理工程应急事故池容积不小于日排放量的30%。</w:t>
            </w:r>
            <w:r>
              <w:rPr>
                <w:rFonts w:hint="eastAsia"/>
                <w:color w:val="auto"/>
                <w:lang w:val="en-US" w:eastAsia="zh-CN"/>
              </w:rPr>
              <w:t>医</w:t>
            </w:r>
            <w:r>
              <w:rPr>
                <w:rFonts w:hint="eastAsia"/>
                <w:color w:val="auto"/>
              </w:rPr>
              <w:t>院</w:t>
            </w:r>
            <w:r>
              <w:rPr>
                <w:color w:val="auto"/>
              </w:rPr>
              <w:t>污水产生量为</w:t>
            </w:r>
            <w:r>
              <w:rPr>
                <w:rFonts w:hint="eastAsia"/>
                <w:color w:val="auto"/>
                <w:lang w:val="en-US" w:eastAsia="zh-CN"/>
              </w:rPr>
              <w:t>17.702</w:t>
            </w:r>
            <w:r>
              <w:rPr>
                <w:color w:val="auto"/>
              </w:rPr>
              <w:t>m</w:t>
            </w:r>
            <w:r>
              <w:rPr>
                <w:color w:val="auto"/>
                <w:vertAlign w:val="superscript"/>
              </w:rPr>
              <w:t>3</w:t>
            </w:r>
            <w:r>
              <w:rPr>
                <w:color w:val="auto"/>
              </w:rPr>
              <w:t>/d，不设传染病房，因此，为满足需求，应急事故池设计容积不小于</w:t>
            </w:r>
            <w:r>
              <w:rPr>
                <w:rFonts w:hint="eastAsia"/>
                <w:color w:val="auto"/>
                <w:lang w:val="en-US" w:eastAsia="zh-CN"/>
              </w:rPr>
              <w:t>5.3</w:t>
            </w:r>
            <w:r>
              <w:rPr>
                <w:color w:val="auto"/>
              </w:rPr>
              <w:t>m</w:t>
            </w:r>
            <w:r>
              <w:rPr>
                <w:color w:val="auto"/>
                <w:vertAlign w:val="superscript"/>
              </w:rPr>
              <w:t>3</w:t>
            </w:r>
            <w:r>
              <w:rPr>
                <w:color w:val="auto"/>
              </w:rPr>
              <w:t>，</w:t>
            </w:r>
            <w:r>
              <w:rPr>
                <w:rFonts w:hint="eastAsia" w:ascii="Times New Roman" w:hAnsi="Times New Roman" w:eastAsia="宋体" w:cs="Times New Roman"/>
                <w:color w:val="auto"/>
                <w:lang w:val="en-US" w:eastAsia="zh-CN"/>
              </w:rPr>
              <w:t>环评要求新建事故应急池，最大容量为12m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（长3m</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高3m</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宽2m），可以满足事故要求</w:t>
            </w:r>
            <w:r>
              <w:rPr>
                <w:rFonts w:hint="default" w:ascii="Times New Roman" w:hAnsi="Times New Roman" w:eastAsia="宋体" w:cs="Times New Roman"/>
                <w:color w:val="auto"/>
                <w:lang w:eastAsia="zh-CN"/>
              </w:rPr>
              <w:t>。</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eastAsia="zh-CN"/>
              </w:rPr>
              <w:t>④</w:t>
            </w:r>
            <w:r>
              <w:rPr>
                <w:rFonts w:hint="default"/>
                <w:color w:val="auto"/>
                <w:lang w:eastAsia="zh-CN"/>
              </w:rPr>
              <w:t>备用</w:t>
            </w:r>
            <w:r>
              <w:rPr>
                <w:rFonts w:hint="eastAsia"/>
                <w:color w:val="auto"/>
                <w:lang w:eastAsia="zh-CN"/>
              </w:rPr>
              <w:t>柴油泄漏</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柴油桶存放区域设置托盘防渗。</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eastAsia="zh-CN"/>
              </w:rPr>
              <w:t>⑤</w:t>
            </w:r>
            <w:r>
              <w:rPr>
                <w:rFonts w:hint="default"/>
                <w:color w:val="auto"/>
                <w:lang w:eastAsia="zh-CN"/>
              </w:rPr>
              <w:t>火灾引发次生环境风险</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灭火的过程引发相关次生环境事件，如火灾时会产生大量消防废水，若消防废水未经收集处理而直接排入外环境，将导致水污染事件，而火灾产生的大量烟气，将会对周围的环境空气造成一定的影响。医院不属于工业企业，消防废水中主要污染物为SS和COD。医院设置了应急事故池，但只能容纳</w:t>
            </w:r>
            <w:r>
              <w:rPr>
                <w:rFonts w:hint="eastAsia"/>
                <w:color w:val="auto"/>
                <w:lang w:val="en-US" w:eastAsia="zh-CN"/>
              </w:rPr>
              <w:t>12</w:t>
            </w:r>
            <w:r>
              <w:rPr>
                <w:rFonts w:hint="default"/>
                <w:color w:val="auto"/>
                <w:lang w:eastAsia="zh-CN"/>
              </w:rPr>
              <w:t>m</w:t>
            </w:r>
            <w:r>
              <w:rPr>
                <w:rFonts w:hint="default"/>
                <w:color w:val="auto"/>
                <w:vertAlign w:val="superscript"/>
                <w:lang w:eastAsia="zh-CN"/>
              </w:rPr>
              <w:t>3</w:t>
            </w:r>
            <w:r>
              <w:rPr>
                <w:rFonts w:hint="default"/>
                <w:color w:val="auto"/>
                <w:lang w:eastAsia="zh-CN"/>
              </w:rPr>
              <w:t>的废水，故发生火灾事故时，立即拨打119火警电话，截流堵漏，消防废水可收集至空桶，后由处理站处理或交由有资质单位处理。</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火灾</w:t>
            </w:r>
            <w:r>
              <w:rPr>
                <w:rFonts w:hint="eastAsia"/>
                <w:color w:val="auto"/>
                <w:lang w:val="en-US" w:eastAsia="zh-CN"/>
              </w:rPr>
              <w:t>对</w:t>
            </w:r>
            <w:r>
              <w:rPr>
                <w:rFonts w:hint="default"/>
                <w:color w:val="auto"/>
                <w:lang w:eastAsia="zh-CN"/>
              </w:rPr>
              <w:t>主要燃烧产物主要为二氧化碳、一氧化碳、烟尘等。</w:t>
            </w:r>
            <w:r>
              <w:rPr>
                <w:rFonts w:hint="eastAsia"/>
                <w:color w:val="auto"/>
                <w:lang w:val="en-US" w:eastAsia="zh-CN"/>
              </w:rPr>
              <w:t>若燃烧至药房，将会产生一些含氯气体。</w:t>
            </w:r>
            <w:r>
              <w:rPr>
                <w:rFonts w:hint="default"/>
                <w:color w:val="auto"/>
                <w:lang w:eastAsia="zh-CN"/>
              </w:rPr>
              <w:t>若大规模发生火灾，可能会产生大量的烟尘，产生的后果视火灾的大小而定，大火可使医院周边半径50~100米的地区产生大量烟尘，影响周围环境空气，项目通过及时疏散周边居民，启动相应的应急预案，及时对火灾进行扑灭，对其周边环境空气影响较小，且随着火灾的扑灭，这些影响也将消失。</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eastAsia"/>
                <w:color w:val="auto"/>
                <w:lang w:eastAsia="zh-CN"/>
              </w:rPr>
              <w:t>⑥</w:t>
            </w:r>
            <w:r>
              <w:rPr>
                <w:rFonts w:hint="default"/>
                <w:color w:val="auto"/>
                <w:lang w:eastAsia="zh-CN"/>
              </w:rPr>
              <w:t>药品库房的安全防火</w:t>
            </w:r>
            <w:r>
              <w:rPr>
                <w:rFonts w:hint="eastAsia"/>
                <w:color w:val="auto"/>
                <w:lang w:val="en-US" w:eastAsia="zh-CN"/>
              </w:rPr>
              <w:t>要求</w:t>
            </w:r>
            <w:r>
              <w:rPr>
                <w:rFonts w:hint="default"/>
                <w:color w:val="auto"/>
                <w:lang w:eastAsia="zh-CN"/>
              </w:rPr>
              <w:t>包括以下内容:</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库房的设计与建设:库房应按照消防安全要求进行设计与建设，包括选择可靠的防火材料和设备，确保库房的防火能力和耐火性能。</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防火设备和消防设施:库房应配备必要的防火设备和消防设施，如灭火器、消防栓、自动喷水灭火系统等，并确保这些设备和设施处于正常的工作状态，进行定期检查和维护。</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火灾报警系统:库房应配备火灾报警系统，包括烟雾探测器温度探测器等，及时发现火灾风险，并能及时报警，以便采取应急措施。</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库房的通道和疏散通道:库房内应有畅通的通道和疏散通道，确保人员在火灾发生时能够迅速疏散</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药品分类和存储:药品应按照分类和防火等级进行存储，避免不同防火等级的药品放置在一起，以防火灾扩大。</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库房的布局和贮存要求:库房要求每行药架之间要有足够的间距，保证通风流畅，并避免堆放过多的药品，以防引发火灾</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电气设备的使用与维护</w:t>
            </w:r>
            <w:r>
              <w:rPr>
                <w:rFonts w:hint="eastAsia"/>
                <w:color w:val="auto"/>
                <w:lang w:eastAsia="zh-CN"/>
              </w:rPr>
              <w:t>：</w:t>
            </w:r>
            <w:r>
              <w:rPr>
                <w:rFonts w:hint="default"/>
                <w:color w:val="auto"/>
                <w:lang w:eastAsia="zh-CN"/>
              </w:rPr>
              <w:t>库房内的电气设备要符合消防安全要求，使用和维护时应注意防止电气设备引发火灾。</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员工培训:对库房工作人员进行消防安全培训，提高其防火意识和应急处理能力。</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color w:val="auto"/>
                <w:lang w:eastAsia="zh-CN"/>
              </w:rPr>
            </w:pPr>
            <w:r>
              <w:rPr>
                <w:rFonts w:hint="default"/>
                <w:color w:val="auto"/>
                <w:lang w:eastAsia="zh-CN"/>
              </w:rPr>
              <w:t>库房定期安全检查:定期对库房进行消防安全检查，确保防火设备和消防设施正常运行，并及时整改和维修存在的问题。</w:t>
            </w:r>
          </w:p>
          <w:p>
            <w:pPr>
              <w:pStyle w:val="55"/>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u w:val="none" w:color="auto"/>
              </w:rPr>
            </w:pPr>
            <w:r>
              <w:rPr>
                <w:rFonts w:hint="eastAsia" w:ascii="微软雅黑" w:hAnsi="微软雅黑" w:eastAsia="微软雅黑" w:cs="微软雅黑"/>
                <w:color w:val="auto"/>
              </w:rPr>
              <w:t>⑦</w:t>
            </w:r>
            <w:r>
              <w:rPr>
                <w:rFonts w:hint="default"/>
                <w:color w:val="auto"/>
                <w:lang w:val="en-US" w:eastAsia="zh-CN"/>
              </w:rPr>
              <w:t>及时编制突发环境事件应急预案。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31" w:type="dxa"/>
            <w:noWrap w:val="0"/>
            <w:vAlign w:val="center"/>
          </w:tcPr>
          <w:p>
            <w:pPr>
              <w:adjustRightInd w:val="0"/>
              <w:snapToGrid w:val="0"/>
              <w:jc w:val="center"/>
              <w:rPr>
                <w:rFonts w:hint="default" w:ascii="Times New Roman" w:hAnsi="Times New Roman" w:cs="Times New Roman"/>
                <w:color w:val="auto"/>
                <w:spacing w:val="-8"/>
                <w:sz w:val="21"/>
                <w:szCs w:val="21"/>
                <w:u w:val="none" w:color="auto"/>
              </w:rPr>
            </w:pPr>
            <w:r>
              <w:rPr>
                <w:rFonts w:hint="default" w:ascii="Times New Roman" w:hAnsi="Times New Roman" w:cs="Times New Roman"/>
                <w:color w:val="auto"/>
                <w:spacing w:val="-8"/>
                <w:sz w:val="21"/>
                <w:szCs w:val="21"/>
                <w:u w:val="none" w:color="auto"/>
              </w:rPr>
              <w:t>其他环境</w:t>
            </w:r>
          </w:p>
          <w:p>
            <w:pPr>
              <w:adjustRightInd w:val="0"/>
              <w:snapToGrid w:val="0"/>
              <w:jc w:val="center"/>
              <w:rPr>
                <w:rFonts w:hint="default" w:ascii="Times New Roman" w:hAnsi="Times New Roman" w:cs="Times New Roman"/>
                <w:color w:val="auto"/>
                <w:spacing w:val="-8"/>
                <w:sz w:val="21"/>
                <w:szCs w:val="21"/>
                <w:u w:val="none" w:color="auto"/>
              </w:rPr>
            </w:pPr>
            <w:r>
              <w:rPr>
                <w:rFonts w:hint="default" w:ascii="Times New Roman" w:hAnsi="Times New Roman" w:cs="Times New Roman"/>
                <w:color w:val="auto"/>
                <w:spacing w:val="-8"/>
                <w:sz w:val="21"/>
                <w:szCs w:val="21"/>
                <w:u w:val="none" w:color="auto"/>
              </w:rPr>
              <w:t>管理要求</w:t>
            </w:r>
          </w:p>
        </w:tc>
        <w:tc>
          <w:tcPr>
            <w:tcW w:w="7669" w:type="dxa"/>
            <w:gridSpan w:val="4"/>
            <w:noWrap w:val="0"/>
            <w:vAlign w:val="center"/>
          </w:tcPr>
          <w:p>
            <w:pPr>
              <w:pStyle w:val="55"/>
              <w:bidi w:val="0"/>
              <w:jc w:val="left"/>
              <w:rPr>
                <w:rFonts w:hint="default"/>
                <w:color w:val="auto"/>
              </w:rPr>
            </w:pPr>
            <w:r>
              <w:rPr>
                <w:rFonts w:hint="default"/>
                <w:color w:val="auto"/>
              </w:rPr>
              <w:t>1、排污许可</w:t>
            </w:r>
          </w:p>
          <w:p>
            <w:pPr>
              <w:numPr>
                <w:ilvl w:val="0"/>
                <w:numId w:val="0"/>
              </w:numPr>
              <w:adjustRightInd w:val="0"/>
              <w:snapToGrid w:val="0"/>
              <w:spacing w:line="240" w:lineRule="auto"/>
              <w:ind w:leftChars="0" w:firstLine="420" w:firstLineChars="20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本项目属于 Q8423 乡镇卫生院，根据中华人民共和国生态环境部发布的：排污许可常见问题2020年第5期—固定污染源排污许可分类管理名录（2019年版）20 问（第二批）中第36可知（详见下图），本项目排污许可应按《固定污染源排污许可分类管理名录（2019 年版）》中108类进行管理，本项目涉及通用工序仅为水处理，因本项目不属于重点排污单位且污水处理站日处理能力远远低于500吨，因此本项目不纳入排污许可管理。</w:t>
            </w:r>
          </w:p>
          <w:p>
            <w:pPr>
              <w:numPr>
                <w:ilvl w:val="0"/>
                <w:numId w:val="0"/>
              </w:numPr>
              <w:adjustRightInd w:val="0"/>
              <w:snapToGrid w:val="0"/>
              <w:spacing w:line="240" w:lineRule="auto"/>
              <w:ind w:leftChars="0" w:firstLine="420" w:firstLineChars="200"/>
              <w:rPr>
                <w:color w:val="auto"/>
              </w:rPr>
            </w:pPr>
            <w:r>
              <w:rPr>
                <w:color w:val="auto"/>
              </w:rPr>
              <w:drawing>
                <wp:inline distT="0" distB="0" distL="114300" distR="114300">
                  <wp:extent cx="3984625" cy="1817370"/>
                  <wp:effectExtent l="0" t="0" r="15875" b="1143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4"/>
                          <a:stretch>
                            <a:fillRect/>
                          </a:stretch>
                        </pic:blipFill>
                        <pic:spPr>
                          <a:xfrm>
                            <a:off x="0" y="0"/>
                            <a:ext cx="3984625" cy="1817370"/>
                          </a:xfrm>
                          <a:prstGeom prst="rect">
                            <a:avLst/>
                          </a:prstGeom>
                          <a:noFill/>
                          <a:ln>
                            <a:noFill/>
                          </a:ln>
                        </pic:spPr>
                      </pic:pic>
                    </a:graphicData>
                  </a:graphic>
                </wp:inline>
              </w:drawing>
            </w:r>
          </w:p>
          <w:p>
            <w:pPr>
              <w:pStyle w:val="2"/>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图 5-1 固定污染源排污许可分类管理名录（2019 年版）20问（第二批）相关回复截图</w:t>
            </w:r>
          </w:p>
          <w:p>
            <w:pPr>
              <w:rPr>
                <w:color w:val="auto"/>
              </w:rPr>
            </w:pPr>
            <w:r>
              <w:rPr>
                <w:color w:val="auto"/>
              </w:rPr>
              <w:drawing>
                <wp:inline distT="0" distB="0" distL="114300" distR="114300">
                  <wp:extent cx="4726305" cy="1891665"/>
                  <wp:effectExtent l="0" t="0" r="17145" b="13335"/>
                  <wp:docPr id="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pic:cNvPicPr>
                            <a:picLocks noChangeAspect="1"/>
                          </pic:cNvPicPr>
                        </pic:nvPicPr>
                        <pic:blipFill>
                          <a:blip r:embed="rId25"/>
                          <a:stretch>
                            <a:fillRect/>
                          </a:stretch>
                        </pic:blipFill>
                        <pic:spPr>
                          <a:xfrm>
                            <a:off x="0" y="0"/>
                            <a:ext cx="4726305" cy="1891665"/>
                          </a:xfrm>
                          <a:prstGeom prst="rect">
                            <a:avLst/>
                          </a:prstGeom>
                          <a:noFill/>
                          <a:ln>
                            <a:noFill/>
                          </a:ln>
                        </pic:spPr>
                      </pic:pic>
                    </a:graphicData>
                  </a:graphic>
                </wp:inline>
              </w:drawing>
            </w:r>
          </w:p>
          <w:p>
            <w:pPr>
              <w:jc w:val="center"/>
              <w:rPr>
                <w:rFonts w:hint="default"/>
                <w:color w:val="auto"/>
              </w:rPr>
            </w:pPr>
            <w:r>
              <w:rPr>
                <w:rFonts w:hint="default"/>
                <w:color w:val="auto"/>
              </w:rPr>
              <w:t>图 5-2 《固定污染源排污许可分类管理名录（2019 年版）》部分截图</w:t>
            </w:r>
          </w:p>
          <w:p>
            <w:pPr>
              <w:numPr>
                <w:ilvl w:val="0"/>
                <w:numId w:val="0"/>
              </w:numPr>
              <w:adjustRightInd w:val="0"/>
              <w:snapToGrid w:val="0"/>
              <w:spacing w:line="240" w:lineRule="auto"/>
              <w:ind w:leftChars="0" w:firstLine="420" w:firstLineChars="200"/>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2、</w:t>
            </w:r>
            <w:r>
              <w:rPr>
                <w:rFonts w:hint="default" w:ascii="Times New Roman" w:hAnsi="Times New Roman" w:cs="Times New Roman"/>
                <w:color w:val="auto"/>
                <w:sz w:val="21"/>
                <w:szCs w:val="21"/>
                <w:u w:val="none" w:color="auto"/>
              </w:rPr>
              <w:t>建设项目竣工环境保护验收</w:t>
            </w:r>
          </w:p>
          <w:p>
            <w:pPr>
              <w:numPr>
                <w:ilvl w:val="0"/>
                <w:numId w:val="0"/>
              </w:numPr>
              <w:adjustRightInd w:val="0"/>
              <w:snapToGrid w:val="0"/>
              <w:spacing w:line="240" w:lineRule="auto"/>
              <w:ind w:leftChars="0" w:firstLine="420" w:firstLineChars="200"/>
              <w:rPr>
                <w:rFonts w:hint="default" w:ascii="Times New Roman" w:hAnsi="Times New Roman" w:eastAsia="宋体" w:cs="Times New Roman"/>
                <w:color w:val="auto"/>
                <w:sz w:val="21"/>
                <w:szCs w:val="21"/>
                <w:u w:val="none" w:color="auto"/>
              </w:rPr>
            </w:pPr>
            <w:r>
              <w:rPr>
                <w:rFonts w:hint="default" w:ascii="Times New Roman" w:hAnsi="Times New Roman" w:cs="Times New Roman"/>
                <w:color w:val="auto"/>
                <w:sz w:val="21"/>
                <w:szCs w:val="21"/>
                <w:u w:val="none" w:color="auto"/>
              </w:rPr>
              <w:t>根据《建设项目环境保护管理条例》（2017年7月16日修订），编制环境影响报告表的建设项目竣</w:t>
            </w:r>
            <w:r>
              <w:rPr>
                <w:rFonts w:hint="default" w:ascii="Times New Roman" w:hAnsi="Times New Roman" w:eastAsia="宋体" w:cs="Times New Roman"/>
                <w:color w:val="auto"/>
                <w:sz w:val="21"/>
                <w:szCs w:val="21"/>
                <w:u w:val="none" w:color="auto"/>
              </w:rPr>
              <w:t>工后，建设单位应当按照《建设项目竣工环境保护验收暂行办法》（国环规环评〔2017〕44号）规定的标准和程序，对配套建设的环境保护设施进行验收，其配套建设的环境保护设施经验收合格，方可投入生产或者使用；未经验收或者验收不合格的，不得投入生产或者使用，并根据《建设项目竣工环境保护验收技术指南污染影响类》和《建设项目竣工环境保护设施验收技术规范医疗机构》（HJ794-2016）的要求编制验收监测报告。</w:t>
            </w:r>
          </w:p>
          <w:p>
            <w:pPr>
              <w:numPr>
                <w:ilvl w:val="0"/>
                <w:numId w:val="0"/>
              </w:numPr>
              <w:adjustRightInd w:val="0"/>
              <w:snapToGrid w:val="0"/>
              <w:spacing w:line="240" w:lineRule="auto"/>
              <w:ind w:leftChars="0" w:firstLine="420" w:firstLineChars="200"/>
              <w:rPr>
                <w:rFonts w:hint="default" w:ascii="Times New Roman" w:hAnsi="Times New Roman" w:eastAsia="宋体"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3、做好环保管理基础台账。</w:t>
            </w:r>
          </w:p>
          <w:p>
            <w:pPr>
              <w:numPr>
                <w:ilvl w:val="0"/>
                <w:numId w:val="0"/>
              </w:numPr>
              <w:adjustRightInd w:val="0"/>
              <w:snapToGrid w:val="0"/>
              <w:spacing w:line="240" w:lineRule="auto"/>
              <w:ind w:leftChars="0" w:firstLine="420" w:firstLineChars="200"/>
              <w:rPr>
                <w:rFonts w:hint="default" w:ascii="Times New Roman" w:hAnsi="Times New Roman" w:eastAsia="宋体"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4、及时进行污染源自行监测。</w:t>
            </w:r>
          </w:p>
          <w:p>
            <w:pPr>
              <w:numPr>
                <w:ilvl w:val="0"/>
                <w:numId w:val="0"/>
              </w:numPr>
              <w:adjustRightInd w:val="0"/>
              <w:snapToGrid w:val="0"/>
              <w:spacing w:line="240" w:lineRule="auto"/>
              <w:ind w:leftChars="0" w:firstLine="420" w:firstLineChars="200"/>
              <w:rPr>
                <w:rFonts w:hint="default" w:ascii="Times New Roman" w:hAnsi="Times New Roman" w:eastAsia="宋体"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5、按时续签危险废物、医疗废物委托处置合同。</w:t>
            </w:r>
          </w:p>
          <w:p>
            <w:pPr>
              <w:numPr>
                <w:ilvl w:val="0"/>
                <w:numId w:val="0"/>
              </w:numPr>
              <w:adjustRightInd w:val="0"/>
              <w:snapToGrid w:val="0"/>
              <w:spacing w:line="360" w:lineRule="auto"/>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ascii="Times New Roman" w:hAnsi="Times New Roman" w:cs="Times New Roman"/>
                <w:color w:val="auto"/>
                <w:sz w:val="21"/>
                <w:szCs w:val="21"/>
                <w:u w:val="none" w:color="auto"/>
              </w:rPr>
            </w:pPr>
          </w:p>
          <w:p>
            <w:pPr>
              <w:rPr>
                <w:rFonts w:hint="default"/>
                <w:color w:val="auto"/>
                <w:u w:val="none" w:color="auto"/>
              </w:rPr>
            </w:pPr>
          </w:p>
        </w:tc>
      </w:tr>
    </w:tbl>
    <w:p>
      <w:pPr>
        <w:pStyle w:val="18"/>
        <w:jc w:val="left"/>
        <w:outlineLvl w:val="0"/>
        <w:rPr>
          <w:rFonts w:ascii="黑体" w:hAnsi="黑体" w:eastAsia="黑体"/>
          <w:snapToGrid w:val="0"/>
          <w:color w:val="auto"/>
          <w:sz w:val="30"/>
          <w:szCs w:val="30"/>
          <w:u w:val="none" w:color="auto"/>
        </w:rPr>
      </w:pPr>
      <w:r>
        <w:rPr>
          <w:snapToGrid w:val="0"/>
          <w:color w:val="auto"/>
          <w:u w:val="none" w:color="auto"/>
        </w:rPr>
        <w:br w:type="page"/>
      </w:r>
      <w:bookmarkStart w:id="13" w:name="_Toc17788"/>
      <w:r>
        <w:rPr>
          <w:rFonts w:hint="eastAsia" w:ascii="黑体" w:hAnsi="黑体" w:eastAsia="黑体"/>
          <w:snapToGrid w:val="0"/>
          <w:color w:val="auto"/>
          <w:sz w:val="30"/>
          <w:szCs w:val="30"/>
          <w:u w:val="none" w:color="auto"/>
        </w:rPr>
        <w:t>六、</w:t>
      </w:r>
      <w:r>
        <w:rPr>
          <w:rFonts w:hint="eastAsia" w:ascii="黑体" w:hAnsi="黑体" w:eastAsia="黑体" w:cs="Times New Roman"/>
          <w:snapToGrid w:val="0"/>
          <w:color w:val="auto"/>
          <w:sz w:val="30"/>
          <w:szCs w:val="30"/>
          <w:u w:val="none" w:color="auto"/>
        </w:rPr>
        <w:t>结论</w:t>
      </w:r>
      <w:bookmarkEnd w:id="13"/>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102" w:right="57" w:firstLine="482"/>
              <w:jc w:val="both"/>
              <w:textAlignment w:val="auto"/>
              <w:rPr>
                <w:rFonts w:ascii="宋体" w:hAnsi="宋体" w:eastAsia="宋体" w:cs="宋体"/>
                <w:color w:val="auto"/>
                <w:sz w:val="24"/>
                <w:szCs w:val="24"/>
                <w:u w:val="none" w:color="auto"/>
              </w:rPr>
            </w:pPr>
            <w:r>
              <w:rPr>
                <w:rFonts w:ascii="宋体" w:hAnsi="宋体" w:eastAsia="宋体" w:cs="宋体"/>
                <w:color w:val="auto"/>
                <w:sz w:val="24"/>
                <w:szCs w:val="24"/>
                <w:u w:val="none" w:color="auto"/>
              </w:rPr>
              <w:t>本项目位于湖南省岳阳市湘阴县</w:t>
            </w:r>
            <w:r>
              <w:rPr>
                <w:rFonts w:hint="eastAsia" w:ascii="宋体" w:hAnsi="宋体" w:eastAsia="宋体" w:cs="宋体"/>
                <w:color w:val="auto"/>
                <w:sz w:val="24"/>
                <w:szCs w:val="24"/>
                <w:u w:val="none" w:color="auto"/>
                <w:lang w:eastAsia="zh-CN"/>
              </w:rPr>
              <w:t>东塘</w:t>
            </w:r>
            <w:r>
              <w:rPr>
                <w:rFonts w:hint="eastAsia" w:ascii="宋体" w:hAnsi="宋体" w:eastAsia="宋体" w:cs="宋体"/>
                <w:color w:val="auto"/>
                <w:sz w:val="24"/>
                <w:szCs w:val="24"/>
                <w:u w:val="none" w:color="auto"/>
                <w:lang w:val="en-US" w:eastAsia="zh-CN"/>
              </w:rPr>
              <w:t>镇文卫路1号</w:t>
            </w:r>
            <w:r>
              <w:rPr>
                <w:rFonts w:ascii="宋体" w:hAnsi="宋体" w:eastAsia="宋体" w:cs="宋体"/>
                <w:color w:val="auto"/>
                <w:spacing w:val="-24"/>
                <w:sz w:val="24"/>
                <w:szCs w:val="24"/>
                <w:u w:val="none" w:color="auto"/>
              </w:rPr>
              <w:t>，</w:t>
            </w:r>
            <w:r>
              <w:rPr>
                <w:rFonts w:ascii="宋体" w:hAnsi="宋体" w:eastAsia="宋体" w:cs="宋体"/>
                <w:color w:val="auto"/>
                <w:sz w:val="24"/>
                <w:szCs w:val="24"/>
                <w:u w:val="none" w:color="auto"/>
              </w:rPr>
              <w:t>符合国家产业政策的要求</w:t>
            </w:r>
            <w:r>
              <w:rPr>
                <w:rFonts w:ascii="宋体" w:hAnsi="宋体" w:eastAsia="宋体" w:cs="宋体"/>
                <w:color w:val="auto"/>
                <w:spacing w:val="-24"/>
                <w:sz w:val="24"/>
                <w:szCs w:val="24"/>
                <w:u w:val="none" w:color="auto"/>
              </w:rPr>
              <w:t>；</w:t>
            </w:r>
            <w:r>
              <w:rPr>
                <w:rFonts w:ascii="宋体" w:hAnsi="宋体" w:eastAsia="宋体" w:cs="宋体"/>
                <w:color w:val="auto"/>
                <w:sz w:val="24"/>
                <w:szCs w:val="24"/>
                <w:u w:val="none" w:color="auto"/>
              </w:rPr>
              <w:t>建设单位在认真落实报告中提出的各项环保治理措施</w:t>
            </w:r>
            <w:r>
              <w:rPr>
                <w:rFonts w:ascii="宋体" w:hAnsi="宋体" w:eastAsia="宋体" w:cs="宋体"/>
                <w:color w:val="auto"/>
                <w:spacing w:val="-15"/>
                <w:sz w:val="24"/>
                <w:szCs w:val="24"/>
                <w:u w:val="none" w:color="auto"/>
              </w:rPr>
              <w:t>，</w:t>
            </w:r>
            <w:r>
              <w:rPr>
                <w:rFonts w:ascii="宋体" w:hAnsi="宋体" w:eastAsia="宋体" w:cs="宋体"/>
                <w:color w:val="auto"/>
                <w:sz w:val="24"/>
                <w:szCs w:val="24"/>
                <w:u w:val="none" w:color="auto"/>
              </w:rPr>
              <w:t>严格执</w:t>
            </w:r>
            <w:r>
              <w:rPr>
                <w:rFonts w:ascii="宋体" w:hAnsi="宋体" w:eastAsia="宋体" w:cs="宋体"/>
                <w:color w:val="auto"/>
                <w:spacing w:val="-17"/>
                <w:sz w:val="24"/>
                <w:szCs w:val="24"/>
                <w:u w:val="none" w:color="auto"/>
              </w:rPr>
              <w:t>行</w:t>
            </w:r>
            <w:r>
              <w:rPr>
                <w:rFonts w:ascii="宋体" w:hAnsi="宋体" w:eastAsia="宋体" w:cs="宋体"/>
                <w:color w:val="auto"/>
                <w:sz w:val="24"/>
                <w:szCs w:val="24"/>
                <w:u w:val="none" w:color="auto"/>
              </w:rPr>
              <w:t>“三同时</w:t>
            </w:r>
            <w:r>
              <w:rPr>
                <w:rFonts w:ascii="宋体" w:hAnsi="宋体" w:eastAsia="宋体" w:cs="宋体"/>
                <w:color w:val="auto"/>
                <w:spacing w:val="-17"/>
                <w:sz w:val="24"/>
                <w:szCs w:val="24"/>
                <w:u w:val="none" w:color="auto"/>
              </w:rPr>
              <w:t>”</w:t>
            </w:r>
            <w:r>
              <w:rPr>
                <w:rFonts w:ascii="宋体" w:hAnsi="宋体" w:eastAsia="宋体" w:cs="宋体"/>
                <w:color w:val="auto"/>
                <w:sz w:val="24"/>
                <w:szCs w:val="24"/>
                <w:u w:val="none" w:color="auto"/>
              </w:rPr>
              <w:t>制度和加强管理、监督，确保各项污染物达标排放的前提下，本项目的建设对周边环境的影响可控，从环境保护角度分析，本项目建设可行。</w:t>
            </w:r>
          </w:p>
          <w:p>
            <w:pPr>
              <w:spacing w:line="360" w:lineRule="auto"/>
              <w:jc w:val="both"/>
              <w:rPr>
                <w:rFonts w:ascii="宋体" w:cs="宋体"/>
                <w:color w:val="auto"/>
                <w:sz w:val="24"/>
                <w:u w:val="none" w:color="auto"/>
              </w:rPr>
            </w:pPr>
          </w:p>
        </w:tc>
      </w:tr>
    </w:tbl>
    <w:p>
      <w:pPr>
        <w:rPr>
          <w:rFonts w:ascii="宋体"/>
          <w:color w:val="auto"/>
          <w:u w:val="none" w:color="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9"/>
        <w:rPr>
          <w:rFonts w:ascii="黑体" w:hAnsi="黑体" w:eastAsia="黑体"/>
          <w:snapToGrid w:val="0"/>
          <w:color w:val="auto"/>
          <w:sz w:val="32"/>
          <w:szCs w:val="32"/>
          <w:u w:val="none" w:color="auto"/>
        </w:rPr>
      </w:pPr>
      <w:r>
        <w:rPr>
          <w:rFonts w:hint="eastAsia" w:ascii="黑体" w:hAnsi="黑体" w:eastAsia="黑体"/>
          <w:snapToGrid w:val="0"/>
          <w:color w:val="auto"/>
          <w:sz w:val="32"/>
          <w:szCs w:val="32"/>
          <w:u w:val="none" w:color="auto"/>
        </w:rPr>
        <w:t>附表</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eastAsia" w:ascii="方正小标宋_GBK" w:hAnsi="黑体" w:eastAsia="方正小标宋_GBK"/>
          <w:snapToGrid w:val="0"/>
          <w:color w:val="auto"/>
          <w:sz w:val="38"/>
          <w:szCs w:val="38"/>
          <w:u w:val="none" w:color="auto"/>
        </w:rPr>
      </w:pPr>
      <w:r>
        <w:rPr>
          <w:rFonts w:hint="eastAsia" w:ascii="方正小标宋_GBK" w:hAnsi="黑体" w:eastAsia="方正小标宋_GBK"/>
          <w:snapToGrid w:val="0"/>
          <w:color w:val="auto"/>
          <w:sz w:val="38"/>
          <w:szCs w:val="38"/>
          <w:u w:val="none" w:color="auto"/>
        </w:rPr>
        <w:t>建设项目污染物排放量汇总表</w:t>
      </w:r>
    </w:p>
    <w:tbl>
      <w:tblPr>
        <w:tblStyle w:val="2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334"/>
        <w:gridCol w:w="1704"/>
        <w:gridCol w:w="15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38"/>
              <w:spacing w:beforeLines="0" w:afterLines="0" w:line="240" w:lineRule="auto"/>
              <w:jc w:val="right"/>
              <w:rPr>
                <w:rFonts w:hint="eastAsia" w:ascii="黑体" w:hAnsi="黑体" w:eastAsia="黑体" w:cs="宋体"/>
                <w:snapToGrid w:val="0"/>
                <w:color w:val="auto"/>
                <w:spacing w:val="-6"/>
                <w:kern w:val="21"/>
                <w:szCs w:val="21"/>
                <w:u w:val="none" w:color="auto"/>
              </w:rPr>
            </w:pPr>
            <w:r>
              <w:rPr>
                <w:rFonts w:hint="eastAsia" w:ascii="黑体" w:hAnsi="黑体" w:eastAsia="黑体" w:cs="宋体"/>
                <w:snapToGrid w:val="0"/>
                <w:color w:val="auto"/>
                <w:spacing w:val="-6"/>
                <w:kern w:val="21"/>
                <w:szCs w:val="21"/>
                <w:u w:val="none" w:color="auto"/>
              </w:rPr>
              <w:t>项目</w:t>
            </w:r>
          </w:p>
          <w:p>
            <w:pPr>
              <w:pStyle w:val="38"/>
              <w:spacing w:beforeLines="0" w:afterLines="0" w:line="240" w:lineRule="auto"/>
              <w:jc w:val="left"/>
              <w:rPr>
                <w:rFonts w:hint="eastAsia" w:ascii="黑体" w:hAnsi="黑体" w:eastAsia="黑体" w:cs="宋体"/>
                <w:snapToGrid w:val="0"/>
                <w:color w:val="auto"/>
                <w:spacing w:val="-6"/>
                <w:kern w:val="21"/>
                <w:szCs w:val="21"/>
                <w:u w:val="none" w:color="auto"/>
              </w:rPr>
            </w:pPr>
            <w:r>
              <w:rPr>
                <w:rFonts w:hint="eastAsia" w:ascii="黑体" w:hAnsi="黑体" w:eastAsia="黑体" w:cs="宋体"/>
                <w:snapToGrid w:val="0"/>
                <w:color w:val="auto"/>
                <w:spacing w:val="-6"/>
                <w:kern w:val="21"/>
                <w:szCs w:val="21"/>
                <w:u w:val="none" w:color="auto"/>
              </w:rPr>
              <w:t>分类</w:t>
            </w:r>
          </w:p>
        </w:tc>
        <w:tc>
          <w:tcPr>
            <w:tcW w:w="1417" w:type="dxa"/>
            <w:noWrap w:val="0"/>
            <w:tcMar>
              <w:left w:w="28" w:type="dxa"/>
              <w:right w:w="28" w:type="dxa"/>
            </w:tcMar>
            <w:vAlign w:val="center"/>
          </w:tcPr>
          <w:p>
            <w:pPr>
              <w:pStyle w:val="38"/>
              <w:spacing w:beforeLines="0" w:afterLines="0" w:line="240" w:lineRule="auto"/>
              <w:rPr>
                <w:rFonts w:hint="eastAsia" w:ascii="黑体" w:hAnsi="黑体" w:eastAsia="黑体" w:cs="宋体"/>
                <w:snapToGrid w:val="0"/>
                <w:color w:val="auto"/>
                <w:spacing w:val="-6"/>
                <w:kern w:val="21"/>
                <w:szCs w:val="21"/>
                <w:u w:val="none" w:color="auto"/>
              </w:rPr>
            </w:pPr>
            <w:r>
              <w:rPr>
                <w:rFonts w:hint="eastAsia" w:ascii="黑体" w:hAnsi="黑体" w:eastAsia="黑体" w:cs="宋体"/>
                <w:snapToGrid w:val="0"/>
                <w:color w:val="auto"/>
                <w:spacing w:val="-6"/>
                <w:kern w:val="21"/>
                <w:szCs w:val="21"/>
                <w:u w:val="none" w:color="auto"/>
              </w:rPr>
              <w:t>污染物名称</w:t>
            </w:r>
          </w:p>
        </w:tc>
        <w:tc>
          <w:tcPr>
            <w:tcW w:w="1701" w:type="dxa"/>
            <w:noWrap w:val="0"/>
            <w:tcMar>
              <w:left w:w="28" w:type="dxa"/>
              <w:right w:w="28" w:type="dxa"/>
            </w:tcMar>
            <w:vAlign w:val="center"/>
          </w:tcPr>
          <w:p>
            <w:pPr>
              <w:pStyle w:val="38"/>
              <w:spacing w:beforeLines="0" w:afterLines="0" w:line="240" w:lineRule="auto"/>
              <w:rPr>
                <w:rFonts w:hint="eastAsia"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t>现有工程</w:t>
            </w:r>
          </w:p>
          <w:p>
            <w:pPr>
              <w:pStyle w:val="38"/>
              <w:spacing w:beforeLines="0" w:afterLines="0" w:line="240" w:lineRule="auto"/>
              <w:rPr>
                <w:rFonts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t>排放量（固</w:t>
            </w:r>
            <w:r>
              <w:rPr>
                <w:rFonts w:hint="eastAsia" w:ascii="黑体" w:hAnsi="黑体" w:eastAsia="黑体"/>
                <w:snapToGrid w:val="0"/>
                <w:color w:val="auto"/>
                <w:spacing w:val="-6"/>
                <w:kern w:val="21"/>
                <w:szCs w:val="21"/>
                <w:u w:val="none" w:color="auto"/>
              </w:rPr>
              <w:t>体</w:t>
            </w:r>
            <w:r>
              <w:rPr>
                <w:rFonts w:ascii="黑体" w:hAnsi="黑体" w:eastAsia="黑体"/>
                <w:snapToGrid w:val="0"/>
                <w:color w:val="auto"/>
                <w:spacing w:val="-6"/>
                <w:kern w:val="21"/>
                <w:szCs w:val="21"/>
                <w:u w:val="none" w:color="auto"/>
              </w:rPr>
              <w:t>废</w:t>
            </w:r>
            <w:r>
              <w:rPr>
                <w:rFonts w:hint="eastAsia" w:ascii="黑体" w:hAnsi="黑体" w:eastAsia="黑体"/>
                <w:snapToGrid w:val="0"/>
                <w:color w:val="auto"/>
                <w:spacing w:val="-6"/>
                <w:kern w:val="21"/>
                <w:szCs w:val="21"/>
                <w:u w:val="none" w:color="auto"/>
              </w:rPr>
              <w:t>物</w:t>
            </w:r>
            <w:r>
              <w:rPr>
                <w:rFonts w:ascii="黑体" w:hAnsi="黑体" w:eastAsia="黑体"/>
                <w:snapToGrid w:val="0"/>
                <w:color w:val="auto"/>
                <w:spacing w:val="-6"/>
                <w:kern w:val="21"/>
                <w:szCs w:val="21"/>
                <w:u w:val="none" w:color="auto"/>
              </w:rPr>
              <w:t>产生量）</w:t>
            </w:r>
            <w:r>
              <w:rPr>
                <w:rFonts w:ascii="黑体" w:hAnsi="黑体" w:eastAsia="黑体"/>
                <w:snapToGrid w:val="0"/>
                <w:color w:val="auto"/>
                <w:spacing w:val="-6"/>
                <w:kern w:val="21"/>
                <w:szCs w:val="21"/>
                <w:u w:val="none" w:color="auto"/>
              </w:rPr>
              <w:fldChar w:fldCharType="begin"/>
            </w:r>
            <w:r>
              <w:rPr>
                <w:rFonts w:ascii="黑体" w:hAnsi="黑体" w:eastAsia="黑体"/>
                <w:snapToGrid w:val="0"/>
                <w:color w:val="auto"/>
                <w:spacing w:val="-6"/>
                <w:kern w:val="21"/>
                <w:szCs w:val="21"/>
                <w:u w:val="none" w:color="auto"/>
              </w:rPr>
              <w:instrText xml:space="preserve"> = 1 \* GB3 \* MERGEFORMAT </w:instrText>
            </w:r>
            <w:r>
              <w:rPr>
                <w:rFonts w:ascii="黑体" w:hAnsi="黑体" w:eastAsia="黑体"/>
                <w:snapToGrid w:val="0"/>
                <w:color w:val="auto"/>
                <w:spacing w:val="-6"/>
                <w:kern w:val="21"/>
                <w:szCs w:val="21"/>
                <w:u w:val="none" w:color="auto"/>
              </w:rPr>
              <w:fldChar w:fldCharType="separate"/>
            </w:r>
            <w:r>
              <w:rPr>
                <w:rFonts w:hint="eastAsia" w:ascii="黑体" w:hAnsi="黑体" w:eastAsia="黑体" w:cs="宋体"/>
                <w:color w:val="auto"/>
                <w:kern w:val="2"/>
                <w:szCs w:val="21"/>
                <w:u w:val="none" w:color="auto"/>
              </w:rPr>
              <w:t>①</w:t>
            </w:r>
            <w:r>
              <w:rPr>
                <w:rFonts w:ascii="黑体" w:hAnsi="黑体" w:eastAsia="黑体"/>
                <w:snapToGrid w:val="0"/>
                <w:color w:val="auto"/>
                <w:spacing w:val="-6"/>
                <w:kern w:val="21"/>
                <w:szCs w:val="21"/>
                <w:u w:val="none" w:color="auto"/>
              </w:rPr>
              <w:fldChar w:fldCharType="end"/>
            </w:r>
          </w:p>
        </w:tc>
        <w:tc>
          <w:tcPr>
            <w:tcW w:w="1276" w:type="dxa"/>
            <w:noWrap w:val="0"/>
            <w:tcMar>
              <w:left w:w="28" w:type="dxa"/>
              <w:right w:w="28" w:type="dxa"/>
            </w:tcMar>
            <w:vAlign w:val="center"/>
          </w:tcPr>
          <w:p>
            <w:pPr>
              <w:pStyle w:val="38"/>
              <w:spacing w:beforeLines="0" w:afterLines="0" w:line="240" w:lineRule="auto"/>
              <w:rPr>
                <w:rFonts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t>现有工程</w:t>
            </w:r>
          </w:p>
          <w:p>
            <w:pPr>
              <w:pStyle w:val="38"/>
              <w:spacing w:beforeLines="0" w:afterLines="0" w:line="240" w:lineRule="auto"/>
              <w:rPr>
                <w:rFonts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t>许可排放量</w:t>
            </w:r>
          </w:p>
          <w:p>
            <w:pPr>
              <w:pStyle w:val="38"/>
              <w:spacing w:beforeLines="0" w:afterLines="0"/>
              <w:rPr>
                <w:rFonts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fldChar w:fldCharType="begin"/>
            </w:r>
            <w:r>
              <w:rPr>
                <w:rFonts w:ascii="黑体" w:hAnsi="黑体" w:eastAsia="黑体"/>
                <w:snapToGrid w:val="0"/>
                <w:color w:val="auto"/>
                <w:spacing w:val="-6"/>
                <w:kern w:val="21"/>
                <w:szCs w:val="21"/>
                <w:u w:val="none" w:color="auto"/>
              </w:rPr>
              <w:instrText xml:space="preserve"> = 2 \* GB3 \* MERGEFORMAT </w:instrText>
            </w:r>
            <w:r>
              <w:rPr>
                <w:rFonts w:ascii="黑体" w:hAnsi="黑体" w:eastAsia="黑体"/>
                <w:snapToGrid w:val="0"/>
                <w:color w:val="auto"/>
                <w:spacing w:val="-6"/>
                <w:kern w:val="21"/>
                <w:szCs w:val="21"/>
                <w:u w:val="none" w:color="auto"/>
              </w:rPr>
              <w:fldChar w:fldCharType="separate"/>
            </w:r>
            <w:r>
              <w:rPr>
                <w:rFonts w:hint="eastAsia" w:ascii="黑体" w:hAnsi="黑体" w:eastAsia="黑体" w:cs="宋体"/>
                <w:snapToGrid w:val="0"/>
                <w:color w:val="auto"/>
                <w:spacing w:val="-6"/>
                <w:kern w:val="21"/>
                <w:szCs w:val="21"/>
                <w:u w:val="none" w:color="auto"/>
              </w:rPr>
              <w:t>②</w:t>
            </w:r>
            <w:r>
              <w:rPr>
                <w:rFonts w:ascii="黑体" w:hAnsi="黑体" w:eastAsia="黑体"/>
                <w:snapToGrid w:val="0"/>
                <w:color w:val="auto"/>
                <w:spacing w:val="-6"/>
                <w:kern w:val="21"/>
                <w:szCs w:val="21"/>
                <w:u w:val="none" w:color="auto"/>
              </w:rPr>
              <w:fldChar w:fldCharType="end"/>
            </w:r>
          </w:p>
        </w:tc>
        <w:tc>
          <w:tcPr>
            <w:tcW w:w="1701" w:type="dxa"/>
            <w:noWrap w:val="0"/>
            <w:tcMar>
              <w:left w:w="28" w:type="dxa"/>
              <w:right w:w="28" w:type="dxa"/>
            </w:tcMar>
            <w:vAlign w:val="center"/>
          </w:tcPr>
          <w:p>
            <w:pPr>
              <w:pStyle w:val="38"/>
              <w:spacing w:beforeLines="0" w:afterLines="0" w:line="240" w:lineRule="auto"/>
              <w:rPr>
                <w:rFonts w:hint="eastAsia"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t>在建工程</w:t>
            </w:r>
          </w:p>
          <w:p>
            <w:pPr>
              <w:pStyle w:val="38"/>
              <w:spacing w:beforeLines="0" w:afterLines="0" w:line="240" w:lineRule="auto"/>
              <w:rPr>
                <w:rFonts w:ascii="黑体" w:hAnsi="黑体" w:eastAsia="黑体"/>
                <w:snapToGrid w:val="0"/>
                <w:color w:val="auto"/>
                <w:spacing w:val="-6"/>
                <w:kern w:val="21"/>
                <w:szCs w:val="21"/>
                <w:u w:val="none" w:color="auto"/>
              </w:rPr>
            </w:pPr>
            <w:r>
              <w:rPr>
                <w:rFonts w:hint="eastAsia" w:ascii="黑体" w:hAnsi="黑体" w:eastAsia="黑体"/>
                <w:snapToGrid w:val="0"/>
                <w:color w:val="auto"/>
                <w:spacing w:val="-6"/>
                <w:kern w:val="21"/>
                <w:szCs w:val="21"/>
                <w:u w:val="none" w:color="auto"/>
                <w:lang w:val="en-US" w:eastAsia="zh-CN"/>
              </w:rPr>
              <w:t>产生量</w:t>
            </w:r>
            <w:r>
              <w:rPr>
                <w:rFonts w:ascii="黑体" w:hAnsi="黑体" w:eastAsia="黑体"/>
                <w:snapToGrid w:val="0"/>
                <w:color w:val="auto"/>
                <w:spacing w:val="-6"/>
                <w:kern w:val="21"/>
                <w:szCs w:val="21"/>
                <w:u w:val="none" w:color="auto"/>
              </w:rPr>
              <w:t>（固</w:t>
            </w:r>
            <w:r>
              <w:rPr>
                <w:rFonts w:hint="eastAsia" w:ascii="黑体" w:hAnsi="黑体" w:eastAsia="黑体"/>
                <w:snapToGrid w:val="0"/>
                <w:color w:val="auto"/>
                <w:spacing w:val="-6"/>
                <w:kern w:val="21"/>
                <w:szCs w:val="21"/>
                <w:u w:val="none" w:color="auto"/>
              </w:rPr>
              <w:t>体</w:t>
            </w:r>
            <w:r>
              <w:rPr>
                <w:rFonts w:ascii="黑体" w:hAnsi="黑体" w:eastAsia="黑体"/>
                <w:snapToGrid w:val="0"/>
                <w:color w:val="auto"/>
                <w:spacing w:val="-6"/>
                <w:kern w:val="21"/>
                <w:szCs w:val="21"/>
                <w:u w:val="none" w:color="auto"/>
              </w:rPr>
              <w:t>废</w:t>
            </w:r>
            <w:r>
              <w:rPr>
                <w:rFonts w:hint="eastAsia" w:ascii="黑体" w:hAnsi="黑体" w:eastAsia="黑体"/>
                <w:snapToGrid w:val="0"/>
                <w:color w:val="auto"/>
                <w:spacing w:val="-6"/>
                <w:kern w:val="21"/>
                <w:szCs w:val="21"/>
                <w:u w:val="none" w:color="auto"/>
              </w:rPr>
              <w:t>物</w:t>
            </w:r>
            <w:r>
              <w:rPr>
                <w:rFonts w:ascii="黑体" w:hAnsi="黑体" w:eastAsia="黑体"/>
                <w:snapToGrid w:val="0"/>
                <w:color w:val="auto"/>
                <w:spacing w:val="-6"/>
                <w:kern w:val="21"/>
                <w:szCs w:val="21"/>
                <w:u w:val="none" w:color="auto"/>
              </w:rPr>
              <w:t>产生量）</w:t>
            </w:r>
            <w:r>
              <w:rPr>
                <w:rFonts w:ascii="黑体" w:hAnsi="黑体" w:eastAsia="黑体"/>
                <w:snapToGrid w:val="0"/>
                <w:color w:val="auto"/>
                <w:spacing w:val="-6"/>
                <w:kern w:val="21"/>
                <w:szCs w:val="21"/>
                <w:u w:val="none" w:color="auto"/>
              </w:rPr>
              <w:fldChar w:fldCharType="begin"/>
            </w:r>
            <w:r>
              <w:rPr>
                <w:rFonts w:ascii="黑体" w:hAnsi="黑体" w:eastAsia="黑体"/>
                <w:snapToGrid w:val="0"/>
                <w:color w:val="auto"/>
                <w:spacing w:val="-6"/>
                <w:kern w:val="21"/>
                <w:szCs w:val="21"/>
                <w:u w:val="none" w:color="auto"/>
              </w:rPr>
              <w:instrText xml:space="preserve"> = 3 \* GB3 \* MERGEFORMAT </w:instrText>
            </w:r>
            <w:r>
              <w:rPr>
                <w:rFonts w:ascii="黑体" w:hAnsi="黑体" w:eastAsia="黑体"/>
                <w:snapToGrid w:val="0"/>
                <w:color w:val="auto"/>
                <w:spacing w:val="-6"/>
                <w:kern w:val="21"/>
                <w:szCs w:val="21"/>
                <w:u w:val="none" w:color="auto"/>
              </w:rPr>
              <w:fldChar w:fldCharType="separate"/>
            </w:r>
            <w:r>
              <w:rPr>
                <w:rFonts w:hint="eastAsia" w:ascii="黑体" w:hAnsi="黑体" w:eastAsia="黑体" w:cs="宋体"/>
                <w:color w:val="auto"/>
                <w:kern w:val="2"/>
                <w:szCs w:val="21"/>
                <w:u w:val="none" w:color="auto"/>
              </w:rPr>
              <w:t>③</w:t>
            </w:r>
            <w:r>
              <w:rPr>
                <w:rFonts w:ascii="黑体" w:hAnsi="黑体" w:eastAsia="黑体"/>
                <w:snapToGrid w:val="0"/>
                <w:color w:val="auto"/>
                <w:spacing w:val="-6"/>
                <w:kern w:val="21"/>
                <w:szCs w:val="21"/>
                <w:u w:val="none" w:color="auto"/>
              </w:rPr>
              <w:fldChar w:fldCharType="end"/>
            </w:r>
          </w:p>
        </w:tc>
        <w:tc>
          <w:tcPr>
            <w:tcW w:w="1559" w:type="dxa"/>
            <w:noWrap w:val="0"/>
            <w:tcMar>
              <w:left w:w="28" w:type="dxa"/>
              <w:right w:w="28" w:type="dxa"/>
            </w:tcMar>
            <w:vAlign w:val="center"/>
          </w:tcPr>
          <w:p>
            <w:pPr>
              <w:pStyle w:val="38"/>
              <w:spacing w:beforeLines="0" w:afterLines="0" w:line="240" w:lineRule="auto"/>
              <w:rPr>
                <w:rFonts w:hint="eastAsia"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t>本项目</w:t>
            </w:r>
          </w:p>
          <w:p>
            <w:pPr>
              <w:pStyle w:val="38"/>
              <w:spacing w:beforeLines="0" w:afterLines="0" w:line="240" w:lineRule="auto"/>
              <w:rPr>
                <w:rFonts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t>排放量（固</w:t>
            </w:r>
            <w:r>
              <w:rPr>
                <w:rFonts w:hint="eastAsia" w:ascii="黑体" w:hAnsi="黑体" w:eastAsia="黑体"/>
                <w:snapToGrid w:val="0"/>
                <w:color w:val="auto"/>
                <w:spacing w:val="-6"/>
                <w:kern w:val="21"/>
                <w:szCs w:val="21"/>
                <w:u w:val="none" w:color="auto"/>
              </w:rPr>
              <w:t>体</w:t>
            </w:r>
            <w:r>
              <w:rPr>
                <w:rFonts w:ascii="黑体" w:hAnsi="黑体" w:eastAsia="黑体"/>
                <w:snapToGrid w:val="0"/>
                <w:color w:val="auto"/>
                <w:spacing w:val="-6"/>
                <w:kern w:val="21"/>
                <w:szCs w:val="21"/>
                <w:u w:val="none" w:color="auto"/>
              </w:rPr>
              <w:t>废</w:t>
            </w:r>
            <w:r>
              <w:rPr>
                <w:rFonts w:hint="eastAsia" w:ascii="黑体" w:hAnsi="黑体" w:eastAsia="黑体"/>
                <w:snapToGrid w:val="0"/>
                <w:color w:val="auto"/>
                <w:spacing w:val="-6"/>
                <w:kern w:val="21"/>
                <w:szCs w:val="21"/>
                <w:u w:val="none" w:color="auto"/>
              </w:rPr>
              <w:t>物</w:t>
            </w:r>
            <w:r>
              <w:rPr>
                <w:rFonts w:ascii="黑体" w:hAnsi="黑体" w:eastAsia="黑体"/>
                <w:snapToGrid w:val="0"/>
                <w:color w:val="auto"/>
                <w:spacing w:val="-6"/>
                <w:kern w:val="21"/>
                <w:szCs w:val="21"/>
                <w:u w:val="none" w:color="auto"/>
              </w:rPr>
              <w:t>产生量）</w:t>
            </w:r>
            <w:r>
              <w:rPr>
                <w:rFonts w:ascii="黑体" w:hAnsi="黑体" w:eastAsia="黑体"/>
                <w:snapToGrid w:val="0"/>
                <w:color w:val="auto"/>
                <w:spacing w:val="-6"/>
                <w:kern w:val="21"/>
                <w:szCs w:val="21"/>
                <w:u w:val="none" w:color="auto"/>
              </w:rPr>
              <w:fldChar w:fldCharType="begin"/>
            </w:r>
            <w:r>
              <w:rPr>
                <w:rFonts w:ascii="黑体" w:hAnsi="黑体" w:eastAsia="黑体"/>
                <w:snapToGrid w:val="0"/>
                <w:color w:val="auto"/>
                <w:spacing w:val="-6"/>
                <w:kern w:val="21"/>
                <w:szCs w:val="21"/>
                <w:u w:val="none" w:color="auto"/>
              </w:rPr>
              <w:instrText xml:space="preserve"> = 4 \* GB3 \* MERGEFORMAT </w:instrText>
            </w:r>
            <w:r>
              <w:rPr>
                <w:rFonts w:ascii="黑体" w:hAnsi="黑体" w:eastAsia="黑体"/>
                <w:snapToGrid w:val="0"/>
                <w:color w:val="auto"/>
                <w:spacing w:val="-6"/>
                <w:kern w:val="21"/>
                <w:szCs w:val="21"/>
                <w:u w:val="none" w:color="auto"/>
              </w:rPr>
              <w:fldChar w:fldCharType="separate"/>
            </w:r>
            <w:r>
              <w:rPr>
                <w:rFonts w:hint="eastAsia" w:ascii="黑体" w:hAnsi="黑体" w:eastAsia="黑体" w:cs="宋体"/>
                <w:color w:val="auto"/>
                <w:kern w:val="2"/>
                <w:szCs w:val="21"/>
                <w:u w:val="none" w:color="auto"/>
              </w:rPr>
              <w:t>④</w:t>
            </w:r>
            <w:r>
              <w:rPr>
                <w:rFonts w:ascii="黑体" w:hAnsi="黑体" w:eastAsia="黑体"/>
                <w:snapToGrid w:val="0"/>
                <w:color w:val="auto"/>
                <w:spacing w:val="-6"/>
                <w:kern w:val="21"/>
                <w:szCs w:val="21"/>
                <w:u w:val="none" w:color="auto"/>
              </w:rPr>
              <w:fldChar w:fldCharType="end"/>
            </w:r>
          </w:p>
        </w:tc>
        <w:tc>
          <w:tcPr>
            <w:tcW w:w="1334" w:type="dxa"/>
            <w:noWrap w:val="0"/>
            <w:tcMar>
              <w:left w:w="28" w:type="dxa"/>
              <w:right w:w="28" w:type="dxa"/>
            </w:tcMar>
            <w:vAlign w:val="center"/>
          </w:tcPr>
          <w:p>
            <w:pPr>
              <w:pStyle w:val="38"/>
              <w:spacing w:beforeLines="0" w:afterLines="0" w:line="240" w:lineRule="auto"/>
              <w:rPr>
                <w:rFonts w:hint="eastAsia" w:ascii="黑体" w:hAnsi="黑体" w:eastAsia="黑体"/>
                <w:snapToGrid w:val="0"/>
                <w:color w:val="auto"/>
                <w:spacing w:val="-16"/>
                <w:kern w:val="21"/>
                <w:szCs w:val="21"/>
                <w:u w:val="none" w:color="auto"/>
              </w:rPr>
            </w:pPr>
            <w:r>
              <w:rPr>
                <w:rFonts w:ascii="黑体" w:hAnsi="黑体" w:eastAsia="黑体"/>
                <w:snapToGrid w:val="0"/>
                <w:color w:val="auto"/>
                <w:spacing w:val="-16"/>
                <w:kern w:val="21"/>
                <w:szCs w:val="21"/>
                <w:u w:val="none" w:color="auto"/>
              </w:rPr>
              <w:t>以新带老削减量</w:t>
            </w:r>
          </w:p>
          <w:p>
            <w:pPr>
              <w:pStyle w:val="38"/>
              <w:spacing w:beforeLines="0" w:afterLines="0" w:line="240" w:lineRule="auto"/>
              <w:rPr>
                <w:rFonts w:ascii="黑体" w:hAnsi="黑体" w:eastAsia="黑体"/>
                <w:snapToGrid w:val="0"/>
                <w:color w:val="auto"/>
                <w:spacing w:val="-16"/>
                <w:kern w:val="21"/>
                <w:szCs w:val="21"/>
                <w:u w:val="none" w:color="auto"/>
              </w:rPr>
            </w:pPr>
            <w:r>
              <w:rPr>
                <w:rFonts w:ascii="黑体" w:hAnsi="黑体" w:eastAsia="黑体"/>
                <w:snapToGrid w:val="0"/>
                <w:color w:val="auto"/>
                <w:spacing w:val="-16"/>
                <w:kern w:val="21"/>
                <w:szCs w:val="21"/>
                <w:u w:val="none" w:color="auto"/>
              </w:rPr>
              <w:t>（新建项目不填）</w:t>
            </w:r>
            <w:r>
              <w:rPr>
                <w:rFonts w:ascii="黑体" w:hAnsi="黑体" w:eastAsia="黑体"/>
                <w:snapToGrid w:val="0"/>
                <w:color w:val="auto"/>
                <w:spacing w:val="-16"/>
                <w:kern w:val="21"/>
                <w:szCs w:val="21"/>
                <w:u w:val="none" w:color="auto"/>
              </w:rPr>
              <w:fldChar w:fldCharType="begin"/>
            </w:r>
            <w:r>
              <w:rPr>
                <w:rFonts w:ascii="黑体" w:hAnsi="黑体" w:eastAsia="黑体"/>
                <w:snapToGrid w:val="0"/>
                <w:color w:val="auto"/>
                <w:spacing w:val="-16"/>
                <w:kern w:val="21"/>
                <w:szCs w:val="21"/>
                <w:u w:val="none" w:color="auto"/>
              </w:rPr>
              <w:instrText xml:space="preserve"> = 5 \* GB3 \* MERGEFORMAT </w:instrText>
            </w:r>
            <w:r>
              <w:rPr>
                <w:rFonts w:ascii="黑体" w:hAnsi="黑体" w:eastAsia="黑体"/>
                <w:snapToGrid w:val="0"/>
                <w:color w:val="auto"/>
                <w:spacing w:val="-16"/>
                <w:kern w:val="21"/>
                <w:szCs w:val="21"/>
                <w:u w:val="none" w:color="auto"/>
              </w:rPr>
              <w:fldChar w:fldCharType="separate"/>
            </w:r>
            <w:r>
              <w:rPr>
                <w:rFonts w:hint="eastAsia" w:ascii="黑体" w:hAnsi="黑体" w:eastAsia="黑体" w:cs="宋体"/>
                <w:color w:val="auto"/>
                <w:kern w:val="2"/>
                <w:szCs w:val="21"/>
                <w:u w:val="none" w:color="auto"/>
              </w:rPr>
              <w:t>⑤</w:t>
            </w:r>
            <w:r>
              <w:rPr>
                <w:rFonts w:ascii="黑体" w:hAnsi="黑体" w:eastAsia="黑体"/>
                <w:snapToGrid w:val="0"/>
                <w:color w:val="auto"/>
                <w:spacing w:val="-16"/>
                <w:kern w:val="21"/>
                <w:szCs w:val="21"/>
                <w:u w:val="none" w:color="auto"/>
              </w:rPr>
              <w:fldChar w:fldCharType="end"/>
            </w:r>
          </w:p>
        </w:tc>
        <w:tc>
          <w:tcPr>
            <w:tcW w:w="1704" w:type="dxa"/>
            <w:noWrap w:val="0"/>
            <w:tcMar>
              <w:left w:w="28" w:type="dxa"/>
              <w:right w:w="28" w:type="dxa"/>
            </w:tcMar>
            <w:vAlign w:val="center"/>
          </w:tcPr>
          <w:p>
            <w:pPr>
              <w:pStyle w:val="38"/>
              <w:spacing w:beforeLines="0" w:afterLines="0" w:line="240" w:lineRule="auto"/>
              <w:rPr>
                <w:rFonts w:hint="eastAsia" w:ascii="黑体" w:hAnsi="黑体" w:eastAsia="黑体"/>
                <w:snapToGrid w:val="0"/>
                <w:color w:val="auto"/>
                <w:spacing w:val="-16"/>
                <w:kern w:val="21"/>
                <w:szCs w:val="21"/>
                <w:u w:val="none" w:color="auto"/>
              </w:rPr>
            </w:pPr>
            <w:r>
              <w:rPr>
                <w:rFonts w:ascii="黑体" w:hAnsi="黑体" w:eastAsia="黑体"/>
                <w:snapToGrid w:val="0"/>
                <w:color w:val="auto"/>
                <w:spacing w:val="-16"/>
                <w:kern w:val="21"/>
                <w:szCs w:val="21"/>
                <w:u w:val="none" w:color="auto"/>
              </w:rPr>
              <w:t>本项目建成后</w:t>
            </w:r>
          </w:p>
          <w:p>
            <w:pPr>
              <w:pStyle w:val="38"/>
              <w:spacing w:beforeLines="0" w:afterLines="0" w:line="240" w:lineRule="auto"/>
              <w:rPr>
                <w:rFonts w:ascii="黑体" w:hAnsi="黑体" w:eastAsia="黑体"/>
                <w:snapToGrid w:val="0"/>
                <w:color w:val="auto"/>
                <w:spacing w:val="-16"/>
                <w:kern w:val="21"/>
                <w:szCs w:val="21"/>
                <w:u w:val="none" w:color="auto"/>
              </w:rPr>
            </w:pPr>
            <w:r>
              <w:rPr>
                <w:rFonts w:hint="eastAsia" w:ascii="黑体" w:hAnsi="黑体" w:eastAsia="黑体"/>
                <w:snapToGrid w:val="0"/>
                <w:color w:val="auto"/>
                <w:spacing w:val="-16"/>
                <w:kern w:val="21"/>
                <w:szCs w:val="21"/>
                <w:u w:val="none" w:color="auto"/>
              </w:rPr>
              <w:t>全厂</w:t>
            </w:r>
            <w:r>
              <w:rPr>
                <w:rFonts w:ascii="黑体" w:hAnsi="黑体" w:eastAsia="黑体"/>
                <w:snapToGrid w:val="0"/>
                <w:color w:val="auto"/>
                <w:spacing w:val="-16"/>
                <w:kern w:val="21"/>
                <w:szCs w:val="21"/>
                <w:u w:val="none" w:color="auto"/>
              </w:rPr>
              <w:t>排放量（固</w:t>
            </w:r>
            <w:r>
              <w:rPr>
                <w:rFonts w:hint="eastAsia" w:ascii="黑体" w:hAnsi="黑体" w:eastAsia="黑体"/>
                <w:snapToGrid w:val="0"/>
                <w:color w:val="auto"/>
                <w:spacing w:val="-16"/>
                <w:kern w:val="21"/>
                <w:szCs w:val="21"/>
                <w:u w:val="none" w:color="auto"/>
              </w:rPr>
              <w:t>体</w:t>
            </w:r>
            <w:r>
              <w:rPr>
                <w:rFonts w:ascii="黑体" w:hAnsi="黑体" w:eastAsia="黑体"/>
                <w:snapToGrid w:val="0"/>
                <w:color w:val="auto"/>
                <w:spacing w:val="-16"/>
                <w:kern w:val="21"/>
                <w:szCs w:val="21"/>
                <w:u w:val="none" w:color="auto"/>
              </w:rPr>
              <w:t>废</w:t>
            </w:r>
            <w:r>
              <w:rPr>
                <w:rFonts w:hint="eastAsia" w:ascii="黑体" w:hAnsi="黑体" w:eastAsia="黑体"/>
                <w:snapToGrid w:val="0"/>
                <w:color w:val="auto"/>
                <w:spacing w:val="-16"/>
                <w:kern w:val="21"/>
                <w:szCs w:val="21"/>
                <w:u w:val="none" w:color="auto"/>
              </w:rPr>
              <w:t>物</w:t>
            </w:r>
            <w:r>
              <w:rPr>
                <w:rFonts w:ascii="黑体" w:hAnsi="黑体" w:eastAsia="黑体"/>
                <w:snapToGrid w:val="0"/>
                <w:color w:val="auto"/>
                <w:spacing w:val="-16"/>
                <w:kern w:val="21"/>
                <w:szCs w:val="21"/>
                <w:u w:val="none" w:color="auto"/>
              </w:rPr>
              <w:t>产生量）</w:t>
            </w:r>
            <w:r>
              <w:rPr>
                <w:rFonts w:ascii="黑体" w:hAnsi="黑体" w:eastAsia="黑体"/>
                <w:snapToGrid w:val="0"/>
                <w:color w:val="auto"/>
                <w:spacing w:val="-16"/>
                <w:kern w:val="21"/>
                <w:szCs w:val="21"/>
                <w:u w:val="none" w:color="auto"/>
              </w:rPr>
              <w:fldChar w:fldCharType="begin"/>
            </w:r>
            <w:r>
              <w:rPr>
                <w:rFonts w:ascii="黑体" w:hAnsi="黑体" w:eastAsia="黑体"/>
                <w:snapToGrid w:val="0"/>
                <w:color w:val="auto"/>
                <w:spacing w:val="-16"/>
                <w:kern w:val="21"/>
                <w:szCs w:val="21"/>
                <w:u w:val="none" w:color="auto"/>
              </w:rPr>
              <w:instrText xml:space="preserve"> = 6 \* GB3 \* MERGEFORMAT </w:instrText>
            </w:r>
            <w:r>
              <w:rPr>
                <w:rFonts w:ascii="黑体" w:hAnsi="黑体" w:eastAsia="黑体"/>
                <w:snapToGrid w:val="0"/>
                <w:color w:val="auto"/>
                <w:spacing w:val="-16"/>
                <w:kern w:val="21"/>
                <w:szCs w:val="21"/>
                <w:u w:val="none" w:color="auto"/>
              </w:rPr>
              <w:fldChar w:fldCharType="separate"/>
            </w:r>
            <w:r>
              <w:rPr>
                <w:rFonts w:hint="eastAsia" w:ascii="黑体" w:hAnsi="黑体" w:eastAsia="黑体" w:cs="宋体"/>
                <w:color w:val="auto"/>
                <w:kern w:val="2"/>
                <w:szCs w:val="21"/>
                <w:u w:val="none" w:color="auto"/>
              </w:rPr>
              <w:t>⑥</w:t>
            </w:r>
            <w:r>
              <w:rPr>
                <w:rFonts w:ascii="黑体" w:hAnsi="黑体" w:eastAsia="黑体"/>
                <w:snapToGrid w:val="0"/>
                <w:color w:val="auto"/>
                <w:spacing w:val="-16"/>
                <w:kern w:val="21"/>
                <w:szCs w:val="21"/>
                <w:u w:val="none" w:color="auto"/>
              </w:rPr>
              <w:fldChar w:fldCharType="end"/>
            </w:r>
          </w:p>
        </w:tc>
        <w:tc>
          <w:tcPr>
            <w:tcW w:w="1508" w:type="dxa"/>
            <w:noWrap w:val="0"/>
            <w:tcMar>
              <w:left w:w="28" w:type="dxa"/>
              <w:right w:w="28" w:type="dxa"/>
            </w:tcMar>
            <w:vAlign w:val="center"/>
          </w:tcPr>
          <w:p>
            <w:pPr>
              <w:pStyle w:val="38"/>
              <w:spacing w:beforeLines="0" w:afterLines="0" w:line="240" w:lineRule="auto"/>
              <w:rPr>
                <w:rFonts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t>变化量</w:t>
            </w:r>
          </w:p>
          <w:p>
            <w:pPr>
              <w:pStyle w:val="38"/>
              <w:spacing w:beforeLines="0" w:afterLines="0" w:line="240" w:lineRule="auto"/>
              <w:rPr>
                <w:rFonts w:ascii="黑体" w:hAnsi="黑体" w:eastAsia="黑体"/>
                <w:snapToGrid w:val="0"/>
                <w:color w:val="auto"/>
                <w:spacing w:val="-6"/>
                <w:kern w:val="21"/>
                <w:szCs w:val="21"/>
                <w:u w:val="none" w:color="auto"/>
              </w:rPr>
            </w:pPr>
            <w:r>
              <w:rPr>
                <w:rFonts w:ascii="黑体" w:hAnsi="黑体" w:eastAsia="黑体"/>
                <w:snapToGrid w:val="0"/>
                <w:color w:val="auto"/>
                <w:spacing w:val="-6"/>
                <w:kern w:val="21"/>
                <w:szCs w:val="21"/>
                <w:u w:val="none" w:color="auto"/>
              </w:rPr>
              <w:fldChar w:fldCharType="begin"/>
            </w:r>
            <w:r>
              <w:rPr>
                <w:rFonts w:ascii="黑体" w:hAnsi="黑体" w:eastAsia="黑体"/>
                <w:snapToGrid w:val="0"/>
                <w:color w:val="auto"/>
                <w:spacing w:val="-6"/>
                <w:kern w:val="21"/>
                <w:szCs w:val="21"/>
                <w:u w:val="none" w:color="auto"/>
              </w:rPr>
              <w:instrText xml:space="preserve"> = 7 \* GB3 \* MERGEFORMAT </w:instrText>
            </w:r>
            <w:r>
              <w:rPr>
                <w:rFonts w:ascii="黑体" w:hAnsi="黑体" w:eastAsia="黑体"/>
                <w:snapToGrid w:val="0"/>
                <w:color w:val="auto"/>
                <w:spacing w:val="-6"/>
                <w:kern w:val="21"/>
                <w:szCs w:val="21"/>
                <w:u w:val="none" w:color="auto"/>
              </w:rPr>
              <w:fldChar w:fldCharType="separate"/>
            </w:r>
            <w:r>
              <w:rPr>
                <w:rFonts w:hint="eastAsia" w:ascii="黑体" w:hAnsi="黑体" w:eastAsia="黑体" w:cs="宋体"/>
                <w:color w:val="auto"/>
                <w:kern w:val="2"/>
                <w:szCs w:val="21"/>
                <w:u w:val="none" w:color="auto"/>
              </w:rPr>
              <w:t>⑦</w:t>
            </w:r>
            <w:r>
              <w:rPr>
                <w:rFonts w:ascii="黑体" w:hAnsi="黑体" w:eastAsia="黑体"/>
                <w:snapToGrid w:val="0"/>
                <w:color w:val="auto"/>
                <w:spacing w:val="-6"/>
                <w:kern w:val="21"/>
                <w:szCs w:val="21"/>
                <w:u w:val="none" w:color="auto"/>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8"/>
              <w:spacing w:beforeLines="0" w:afterLines="0" w:line="240" w:lineRule="auto"/>
              <w:rPr>
                <w:rFonts w:hint="eastAsia" w:hAnsi="宋体" w:cs="宋体"/>
                <w:snapToGrid w:val="0"/>
                <w:color w:val="auto"/>
                <w:kern w:val="21"/>
                <w:szCs w:val="21"/>
                <w:u w:val="none" w:color="auto"/>
              </w:rPr>
            </w:pPr>
            <w:r>
              <w:rPr>
                <w:rFonts w:hint="eastAsia" w:hAnsi="宋体" w:cs="宋体"/>
                <w:snapToGrid w:val="0"/>
                <w:color w:val="auto"/>
                <w:kern w:val="21"/>
                <w:szCs w:val="21"/>
                <w:u w:val="none" w:color="auto"/>
              </w:rPr>
              <w:t>废气</w:t>
            </w:r>
          </w:p>
        </w:tc>
        <w:tc>
          <w:tcPr>
            <w:tcW w:w="1417" w:type="dxa"/>
            <w:noWrap w:val="0"/>
            <w:vAlign w:val="center"/>
          </w:tcPr>
          <w:p>
            <w:pPr>
              <w:spacing w:beforeLines="0" w:afterLines="0" w:line="240" w:lineRule="auto"/>
              <w:jc w:val="center"/>
              <w:rPr>
                <w:rFonts w:hint="default" w:hAnsi="宋体" w:eastAsia="宋体" w:cs="宋体"/>
                <w:snapToGrid w:val="0"/>
                <w:color w:val="auto"/>
                <w:kern w:val="21"/>
                <w:szCs w:val="21"/>
                <w:u w:val="none" w:color="auto"/>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701" w:type="dxa"/>
            <w:noWrap w:val="0"/>
            <w:vAlign w:val="center"/>
          </w:tcPr>
          <w:p>
            <w:pPr>
              <w:spacing w:beforeLines="0" w:afterLines="0" w:line="240" w:lineRule="auto"/>
              <w:jc w:val="center"/>
              <w:rPr>
                <w:rFonts w:hint="eastAsia" w:hAnsi="宋体" w:eastAsia="宋体" w:cs="宋体"/>
                <w:snapToGrid w:val="0"/>
                <w:color w:val="auto"/>
                <w:kern w:val="21"/>
                <w:szCs w:val="21"/>
                <w:u w:val="none" w:color="auto"/>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559"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334" w:type="dxa"/>
            <w:noWrap w:val="0"/>
            <w:vAlign w:val="center"/>
          </w:tcPr>
          <w:p>
            <w:pPr>
              <w:spacing w:beforeLines="0" w:afterLines="0" w:line="240" w:lineRule="auto"/>
              <w:jc w:val="center"/>
              <w:rPr>
                <w:rFonts w:hAnsi="宋体" w:cs="宋体"/>
                <w:snapToGrid w:val="0"/>
                <w:color w:val="auto"/>
                <w:kern w:val="21"/>
                <w:szCs w:val="21"/>
                <w:highlight w:val="none"/>
                <w:u w:val="none" w:color="auto"/>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704"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508"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eastAsia" w:hAnsi="宋体" w:cs="宋体"/>
                <w:snapToGrid w:val="0"/>
                <w:color w:val="auto"/>
                <w:kern w:val="21"/>
                <w:szCs w:val="21"/>
                <w:u w:val="none" w:color="auto"/>
              </w:rPr>
            </w:pPr>
          </w:p>
        </w:tc>
        <w:tc>
          <w:tcPr>
            <w:tcW w:w="1417" w:type="dxa"/>
            <w:noWrap w:val="0"/>
            <w:vAlign w:val="center"/>
          </w:tcPr>
          <w:p>
            <w:pPr>
              <w:spacing w:beforeLines="0" w:afterLines="0" w:line="240" w:lineRule="auto"/>
              <w:jc w:val="center"/>
              <w:rPr>
                <w:rFonts w:hint="default"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u w:val="none" w:color="auto"/>
              </w:rPr>
            </w:pPr>
            <w:r>
              <w:rPr>
                <w:rFonts w:hint="eastAsia" w:hAnsi="宋体" w:cs="宋体"/>
                <w:snapToGrid w:val="0"/>
                <w:color w:val="auto"/>
                <w:kern w:val="21"/>
                <w:szCs w:val="21"/>
                <w:u w:val="none" w:color="auto"/>
                <w:lang w:val="en-US" w:eastAsia="zh-CN"/>
              </w:rPr>
              <w:t>/</w:t>
            </w:r>
          </w:p>
        </w:tc>
        <w:tc>
          <w:tcPr>
            <w:tcW w:w="1334" w:type="dxa"/>
            <w:noWrap w:val="0"/>
            <w:vAlign w:val="center"/>
          </w:tcPr>
          <w:p>
            <w:pPr>
              <w:spacing w:beforeLines="0" w:afterLines="0" w:line="240" w:lineRule="auto"/>
              <w:jc w:val="center"/>
              <w:rPr>
                <w:rFonts w:hAnsi="宋体" w:cs="宋体"/>
                <w:snapToGrid w:val="0"/>
                <w:color w:val="auto"/>
                <w:kern w:val="21"/>
                <w:szCs w:val="21"/>
                <w:highlight w:val="none"/>
                <w:u w:val="none" w:color="auto"/>
              </w:rPr>
            </w:pPr>
            <w:r>
              <w:rPr>
                <w:rFonts w:hint="eastAsia" w:hAnsi="宋体" w:cs="宋体"/>
                <w:snapToGrid w:val="0"/>
                <w:color w:val="auto"/>
                <w:kern w:val="21"/>
                <w:szCs w:val="21"/>
                <w:u w:val="none" w:color="auto"/>
                <w:lang w:val="en-US" w:eastAsia="zh-CN"/>
              </w:rPr>
              <w:t>/</w:t>
            </w:r>
          </w:p>
        </w:tc>
        <w:tc>
          <w:tcPr>
            <w:tcW w:w="1704" w:type="dxa"/>
            <w:noWrap w:val="0"/>
            <w:vAlign w:val="center"/>
          </w:tcPr>
          <w:p>
            <w:pPr>
              <w:spacing w:beforeLines="0" w:afterLines="0" w:line="240" w:lineRule="auto"/>
              <w:jc w:val="center"/>
              <w:rPr>
                <w:rFonts w:hint="default" w:ascii="Times New Roman" w:hAnsi="Times New Roman" w:cs="Times New Roman"/>
                <w:snapToGrid w:val="0"/>
                <w:color w:val="auto"/>
                <w:kern w:val="21"/>
                <w:sz w:val="21"/>
                <w:szCs w:val="21"/>
                <w:highlight w:val="none"/>
                <w:u w:val="none" w:color="auto"/>
                <w:lang w:val="en-US" w:eastAsia="zh-CN" w:bidi="ar-SA"/>
              </w:rPr>
            </w:pPr>
            <w:r>
              <w:rPr>
                <w:rFonts w:hint="eastAsia" w:hAnsi="宋体" w:cs="宋体"/>
                <w:snapToGrid w:val="0"/>
                <w:color w:val="auto"/>
                <w:kern w:val="21"/>
                <w:szCs w:val="21"/>
                <w:u w:val="none" w:color="auto"/>
                <w:lang w:val="en-US" w:eastAsia="zh-CN"/>
              </w:rPr>
              <w:t>/</w:t>
            </w:r>
          </w:p>
        </w:tc>
        <w:tc>
          <w:tcPr>
            <w:tcW w:w="1508" w:type="dxa"/>
            <w:noWrap w:val="0"/>
            <w:vAlign w:val="center"/>
          </w:tcPr>
          <w:p>
            <w:pPr>
              <w:spacing w:beforeLines="0" w:afterLines="0" w:line="240" w:lineRule="auto"/>
              <w:jc w:val="center"/>
              <w:rPr>
                <w:rFonts w:hint="default" w:ascii="Times New Roman" w:hAnsi="Times New Roman" w:cs="Times New Roman"/>
                <w:snapToGrid w:val="0"/>
                <w:color w:val="auto"/>
                <w:kern w:val="21"/>
                <w:sz w:val="21"/>
                <w:szCs w:val="21"/>
                <w:highlight w:val="none"/>
                <w:u w:val="none" w:color="auto"/>
                <w:lang w:val="en-US" w:eastAsia="zh-CN" w:bidi="ar-SA"/>
              </w:rPr>
            </w:pPr>
            <w:r>
              <w:rPr>
                <w:rFonts w:hint="eastAsia" w:hAnsi="宋体" w:cs="宋体"/>
                <w:snapToGrid w:val="0"/>
                <w:color w:val="auto"/>
                <w:kern w:val="21"/>
                <w:szCs w:val="21"/>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8"/>
              <w:spacing w:beforeLines="0" w:afterLines="0" w:line="240" w:lineRule="auto"/>
              <w:rPr>
                <w:rFonts w:hint="eastAsia" w:hAnsi="宋体" w:cs="宋体"/>
                <w:snapToGrid w:val="0"/>
                <w:color w:val="auto"/>
                <w:kern w:val="21"/>
                <w:szCs w:val="21"/>
                <w:u w:val="none" w:color="auto"/>
              </w:rPr>
            </w:pPr>
            <w:r>
              <w:rPr>
                <w:rFonts w:hint="eastAsia" w:hAnsi="宋体" w:cs="宋体"/>
                <w:snapToGrid w:val="0"/>
                <w:color w:val="auto"/>
                <w:kern w:val="21"/>
                <w:szCs w:val="21"/>
                <w:u w:val="none" w:color="auto"/>
              </w:rPr>
              <w:t>废水</w:t>
            </w:r>
          </w:p>
        </w:tc>
        <w:tc>
          <w:tcPr>
            <w:tcW w:w="1417" w:type="dxa"/>
            <w:noWrap w:val="0"/>
            <w:vAlign w:val="center"/>
          </w:tcPr>
          <w:p>
            <w:pPr>
              <w:pStyle w:val="38"/>
              <w:spacing w:beforeLines="0" w:afterLines="0" w:line="240" w:lineRule="auto"/>
              <w:rPr>
                <w:rFonts w:hint="eastAsia"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废水量</w:t>
            </w:r>
          </w:p>
        </w:tc>
        <w:tc>
          <w:tcPr>
            <w:tcW w:w="1701" w:type="dxa"/>
            <w:noWrap w:val="0"/>
            <w:vAlign w:val="center"/>
          </w:tcPr>
          <w:p>
            <w:pPr>
              <w:pStyle w:val="38"/>
              <w:spacing w:beforeLines="0" w:afterLines="0" w:line="240" w:lineRule="auto"/>
              <w:rPr>
                <w:rFonts w:hint="default" w:hAnsi="宋体" w:eastAsia="宋体" w:cs="宋体"/>
                <w:snapToGrid w:val="0"/>
                <w:color w:val="auto"/>
                <w:kern w:val="21"/>
                <w:szCs w:val="21"/>
                <w:u w:val="none" w:color="auto"/>
                <w:lang w:val="en-US" w:eastAsia="zh-CN"/>
              </w:rPr>
            </w:pPr>
            <w:r>
              <w:rPr>
                <w:rFonts w:hint="eastAsia" w:ascii="Times New Roman" w:hAnsi="Times New Roman" w:eastAsia="宋体" w:cs="Times New Roman"/>
                <w:color w:val="auto"/>
                <w:sz w:val="21"/>
                <w:szCs w:val="21"/>
                <w:highlight w:val="none"/>
                <w:vertAlign w:val="baseline"/>
                <w:lang w:val="en-US" w:eastAsia="zh-CN"/>
              </w:rPr>
              <w:t>3640.6m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vertAlign w:val="baseline"/>
                <w:lang w:val="en-US" w:eastAsia="zh-CN"/>
              </w:rPr>
              <w:t>/a</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559" w:type="dxa"/>
            <w:noWrap w:val="0"/>
            <w:vAlign w:val="center"/>
          </w:tcPr>
          <w:p>
            <w:pPr>
              <w:pStyle w:val="38"/>
              <w:spacing w:beforeLines="0" w:afterLines="0" w:line="240" w:lineRule="auto"/>
              <w:rPr>
                <w:rFonts w:hint="default" w:ascii="Times New Roman" w:hAnsi="Times New Roman" w:cs="Times New Roman"/>
                <w:snapToGrid w:val="0"/>
                <w:color w:val="auto"/>
                <w:kern w:val="21"/>
                <w:szCs w:val="21"/>
                <w:u w:val="none" w:color="auto"/>
              </w:rPr>
            </w:pPr>
            <w:r>
              <w:rPr>
                <w:rFonts w:hint="eastAsia" w:ascii="Times New Roman" w:cs="Times New Roman"/>
                <w:color w:val="auto"/>
                <w:sz w:val="21"/>
                <w:szCs w:val="21"/>
                <w:highlight w:val="none"/>
                <w:u w:val="none" w:color="auto"/>
                <w:vertAlign w:val="baseline"/>
                <w:lang w:val="en-US" w:eastAsia="zh-CN"/>
              </w:rPr>
              <w:t>3000</w:t>
            </w:r>
            <w:r>
              <w:rPr>
                <w:rFonts w:hint="eastAsia" w:ascii="Times New Roman" w:hAnsi="Times New Roman" w:eastAsia="宋体" w:cs="Times New Roman"/>
                <w:color w:val="auto"/>
                <w:sz w:val="21"/>
                <w:szCs w:val="21"/>
                <w:highlight w:val="none"/>
                <w:u w:val="none" w:color="auto"/>
                <w:vertAlign w:val="baseline"/>
                <w:lang w:val="en-US" w:eastAsia="zh-CN"/>
              </w:rPr>
              <w:t>m</w:t>
            </w:r>
            <w:r>
              <w:rPr>
                <w:rFonts w:hint="eastAsia" w:ascii="Times New Roman" w:hAnsi="Times New Roman" w:eastAsia="宋体" w:cs="Times New Roman"/>
                <w:color w:val="auto"/>
                <w:sz w:val="21"/>
                <w:szCs w:val="21"/>
                <w:highlight w:val="none"/>
                <w:u w:val="none" w:color="auto"/>
                <w:vertAlign w:val="superscript"/>
                <w:lang w:val="en-US" w:eastAsia="zh-CN"/>
              </w:rPr>
              <w:t>3</w:t>
            </w:r>
            <w:r>
              <w:rPr>
                <w:rFonts w:hint="eastAsia" w:ascii="Times New Roman" w:hAnsi="Times New Roman" w:eastAsia="宋体" w:cs="Times New Roman"/>
                <w:color w:val="auto"/>
                <w:sz w:val="21"/>
                <w:szCs w:val="21"/>
                <w:highlight w:val="none"/>
                <w:u w:val="none" w:color="auto"/>
                <w:vertAlign w:val="baseline"/>
                <w:lang w:val="en-US" w:eastAsia="zh-CN"/>
              </w:rPr>
              <w:t>/a</w:t>
            </w:r>
          </w:p>
        </w:tc>
        <w:tc>
          <w:tcPr>
            <w:tcW w:w="1334"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4" w:type="dxa"/>
            <w:noWrap w:val="0"/>
            <w:vAlign w:val="center"/>
          </w:tcPr>
          <w:p>
            <w:pPr>
              <w:pStyle w:val="38"/>
              <w:spacing w:beforeLines="0" w:afterLines="0" w:line="240" w:lineRule="auto"/>
              <w:rPr>
                <w:rFonts w:hAnsi="宋体" w:cs="宋体"/>
                <w:snapToGrid w:val="0"/>
                <w:color w:val="auto"/>
                <w:kern w:val="21"/>
                <w:szCs w:val="21"/>
                <w:u w:val="none" w:color="auto"/>
              </w:rPr>
            </w:pPr>
            <w:r>
              <w:rPr>
                <w:rFonts w:hint="eastAsia" w:ascii="Times New Roman" w:cs="Times New Roman"/>
                <w:color w:val="auto"/>
                <w:sz w:val="21"/>
                <w:szCs w:val="21"/>
                <w:highlight w:val="none"/>
                <w:u w:val="none" w:color="auto"/>
                <w:vertAlign w:val="baseline"/>
                <w:lang w:val="en-US" w:eastAsia="zh-CN"/>
              </w:rPr>
              <w:t>6461.23</w:t>
            </w:r>
            <w:r>
              <w:rPr>
                <w:rFonts w:hint="eastAsia" w:ascii="Times New Roman" w:hAnsi="Times New Roman" w:eastAsia="宋体" w:cs="Times New Roman"/>
                <w:color w:val="auto"/>
                <w:sz w:val="21"/>
                <w:szCs w:val="21"/>
                <w:highlight w:val="none"/>
                <w:u w:val="none" w:color="auto"/>
                <w:vertAlign w:val="baseline"/>
                <w:lang w:val="en-US" w:eastAsia="zh-CN"/>
              </w:rPr>
              <w:t>m</w:t>
            </w:r>
            <w:r>
              <w:rPr>
                <w:rFonts w:hint="eastAsia" w:ascii="Times New Roman" w:hAnsi="Times New Roman" w:eastAsia="宋体" w:cs="Times New Roman"/>
                <w:color w:val="auto"/>
                <w:sz w:val="21"/>
                <w:szCs w:val="21"/>
                <w:highlight w:val="none"/>
                <w:u w:val="none" w:color="auto"/>
                <w:vertAlign w:val="superscript"/>
                <w:lang w:val="en-US" w:eastAsia="zh-CN"/>
              </w:rPr>
              <w:t>3</w:t>
            </w:r>
            <w:r>
              <w:rPr>
                <w:rFonts w:hint="eastAsia" w:ascii="Times New Roman" w:hAnsi="Times New Roman" w:eastAsia="宋体" w:cs="Times New Roman"/>
                <w:color w:val="auto"/>
                <w:sz w:val="21"/>
                <w:szCs w:val="21"/>
                <w:highlight w:val="none"/>
                <w:u w:val="none" w:color="auto"/>
                <w:vertAlign w:val="baseline"/>
                <w:lang w:val="en-US" w:eastAsia="zh-CN"/>
              </w:rPr>
              <w:t>/a</w:t>
            </w:r>
          </w:p>
        </w:tc>
        <w:tc>
          <w:tcPr>
            <w:tcW w:w="1508" w:type="dxa"/>
            <w:noWrap w:val="0"/>
            <w:vAlign w:val="center"/>
          </w:tcPr>
          <w:p>
            <w:pPr>
              <w:pStyle w:val="38"/>
              <w:spacing w:beforeLines="0" w:afterLines="0" w:line="240" w:lineRule="auto"/>
              <w:rPr>
                <w:rFonts w:hAnsi="宋体" w:cs="宋体"/>
                <w:snapToGrid w:val="0"/>
                <w:color w:val="auto"/>
                <w:kern w:val="21"/>
                <w:szCs w:val="21"/>
                <w:u w:val="none" w:color="auto"/>
              </w:rPr>
            </w:pPr>
            <w:r>
              <w:rPr>
                <w:rFonts w:hint="eastAsia" w:ascii="Times New Roman" w:cs="Times New Roman"/>
                <w:color w:val="auto"/>
                <w:sz w:val="21"/>
                <w:szCs w:val="21"/>
                <w:highlight w:val="none"/>
                <w:u w:val="none" w:color="auto"/>
                <w:vertAlign w:val="baseline"/>
                <w:lang w:val="en-US" w:eastAsia="zh-CN"/>
              </w:rPr>
              <w:t>+3000</w:t>
            </w:r>
            <w:r>
              <w:rPr>
                <w:rFonts w:hint="eastAsia" w:ascii="Times New Roman" w:hAnsi="Times New Roman" w:eastAsia="宋体" w:cs="Times New Roman"/>
                <w:color w:val="auto"/>
                <w:sz w:val="21"/>
                <w:szCs w:val="21"/>
                <w:highlight w:val="none"/>
                <w:u w:val="none" w:color="auto"/>
                <w:vertAlign w:val="baseline"/>
                <w:lang w:val="en-US" w:eastAsia="zh-CN"/>
              </w:rPr>
              <w:t>m</w:t>
            </w:r>
            <w:r>
              <w:rPr>
                <w:rFonts w:hint="eastAsia" w:ascii="Times New Roman" w:hAnsi="Times New Roman" w:eastAsia="宋体" w:cs="Times New Roman"/>
                <w:color w:val="auto"/>
                <w:sz w:val="21"/>
                <w:szCs w:val="21"/>
                <w:highlight w:val="none"/>
                <w:u w:val="none" w:color="auto"/>
                <w:vertAlign w:val="superscript"/>
                <w:lang w:val="en-US" w:eastAsia="zh-CN"/>
              </w:rPr>
              <w:t>3</w:t>
            </w:r>
            <w:r>
              <w:rPr>
                <w:rFonts w:hint="eastAsia" w:ascii="Times New Roman" w:hAnsi="Times New Roman" w:eastAsia="宋体" w:cs="Times New Roman"/>
                <w:color w:val="auto"/>
                <w:sz w:val="21"/>
                <w:szCs w:val="21"/>
                <w:highlight w:val="none"/>
                <w:u w:val="none" w:color="auto"/>
                <w:vertAlign w:val="baseline"/>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eastAsia" w:hAnsi="宋体" w:cs="宋体"/>
                <w:snapToGrid w:val="0"/>
                <w:color w:val="auto"/>
                <w:kern w:val="21"/>
                <w:szCs w:val="21"/>
                <w:u w:val="none" w:color="auto"/>
              </w:rPr>
            </w:pPr>
          </w:p>
        </w:tc>
        <w:tc>
          <w:tcPr>
            <w:tcW w:w="1417" w:type="dxa"/>
            <w:noWrap w:val="0"/>
            <w:vAlign w:val="center"/>
          </w:tcPr>
          <w:p>
            <w:pPr>
              <w:pStyle w:val="38"/>
              <w:spacing w:beforeLines="0" w:afterLines="0" w:line="240" w:lineRule="auto"/>
              <w:rPr>
                <w:rFonts w:hint="default"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COD</w:t>
            </w:r>
            <w:r>
              <w:rPr>
                <w:rFonts w:hint="eastAsia" w:hAnsi="宋体" w:cs="宋体"/>
                <w:snapToGrid w:val="0"/>
                <w:color w:val="auto"/>
                <w:kern w:val="21"/>
                <w:szCs w:val="21"/>
                <w:u w:val="none" w:color="auto"/>
                <w:vertAlign w:val="subscript"/>
                <w:lang w:val="en-US" w:eastAsia="zh-CN"/>
              </w:rPr>
              <w:t>Cr</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cs="Times New Roman"/>
                <w:bCs/>
                <w:color w:val="auto"/>
                <w:spacing w:val="-10"/>
                <w:sz w:val="21"/>
                <w:szCs w:val="21"/>
                <w:vertAlign w:val="baseline"/>
                <w:lang w:val="en-US" w:eastAsia="zh-CN"/>
              </w:rPr>
              <w:t>0.182</w:t>
            </w:r>
            <w:r>
              <w:rPr>
                <w:rFonts w:hint="eastAsia" w:ascii="Times New Roman" w:hAnsi="Times New Roman" w:eastAsia="宋体" w:cs="Times New Roman"/>
                <w:bCs/>
                <w:color w:val="auto"/>
                <w:spacing w:val="-10"/>
                <w:sz w:val="21"/>
                <w:szCs w:val="21"/>
                <w:vertAlign w:val="baseline"/>
                <w:lang w:val="en-US" w:eastAsia="zh-CN"/>
              </w:rPr>
              <w:t>t/a</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 w:val="21"/>
                <w:szCs w:val="21"/>
                <w:u w:val="none" w:color="auto"/>
                <w:lang w:val="en-US" w:eastAsia="zh-CN" w:bidi="ar-SA"/>
              </w:rPr>
            </w:pPr>
            <w:r>
              <w:rPr>
                <w:rFonts w:hint="eastAsia" w:hAnsi="宋体" w:cs="宋体"/>
                <w:snapToGrid w:val="0"/>
                <w:color w:val="auto"/>
                <w:kern w:val="21"/>
                <w:szCs w:val="21"/>
                <w:u w:val="none" w:color="auto"/>
                <w:lang w:val="en-US" w:eastAsia="zh-CN"/>
              </w:rPr>
              <w:t>/</w:t>
            </w:r>
          </w:p>
        </w:tc>
        <w:tc>
          <w:tcPr>
            <w:tcW w:w="1559" w:type="dxa"/>
            <w:noWrap w:val="0"/>
            <w:vAlign w:val="center"/>
          </w:tcPr>
          <w:p>
            <w:pPr>
              <w:spacing w:beforeLines="0" w:afterLines="0" w:line="240" w:lineRule="auto"/>
              <w:jc w:val="center"/>
              <w:rPr>
                <w:rFonts w:hint="default" w:hAnsi="宋体" w:cs="宋体"/>
                <w:snapToGrid w:val="0"/>
                <w:color w:val="auto"/>
                <w:kern w:val="21"/>
                <w:sz w:val="21"/>
                <w:szCs w:val="21"/>
                <w:u w:val="none" w:color="auto"/>
                <w:lang w:val="en-US" w:eastAsia="zh-CN" w:bidi="ar-SA"/>
              </w:rPr>
            </w:pPr>
            <w:r>
              <w:rPr>
                <w:rFonts w:hint="eastAsia" w:cs="Times New Roman"/>
                <w:bCs/>
                <w:color w:val="auto"/>
                <w:spacing w:val="-10"/>
                <w:sz w:val="21"/>
                <w:szCs w:val="21"/>
                <w:u w:val="none" w:color="auto"/>
                <w:vertAlign w:val="baseline"/>
                <w:lang w:val="en-US" w:eastAsia="zh-CN"/>
              </w:rPr>
              <w:t>0.141</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334"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highlight w:val="none"/>
                <w:u w:val="none" w:color="auto"/>
                <w:lang w:val="en-US" w:eastAsia="zh-CN"/>
              </w:rPr>
              <w:t>/</w:t>
            </w:r>
          </w:p>
        </w:tc>
        <w:tc>
          <w:tcPr>
            <w:tcW w:w="1704"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cs="Times New Roman"/>
                <w:bCs/>
                <w:color w:val="auto"/>
                <w:spacing w:val="-10"/>
                <w:sz w:val="21"/>
                <w:szCs w:val="21"/>
                <w:u w:val="none" w:color="auto"/>
                <w:vertAlign w:val="baseline"/>
                <w:lang w:val="en-US" w:eastAsia="zh-CN"/>
              </w:rPr>
              <w:t>0.323</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508"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cs="Times New Roman"/>
                <w:bCs/>
                <w:color w:val="auto"/>
                <w:spacing w:val="-10"/>
                <w:sz w:val="21"/>
                <w:szCs w:val="21"/>
                <w:u w:val="none" w:color="auto"/>
                <w:vertAlign w:val="baseline"/>
                <w:lang w:val="en-US" w:eastAsia="zh-CN"/>
              </w:rPr>
              <w:t>+0.141</w:t>
            </w:r>
            <w:r>
              <w:rPr>
                <w:rFonts w:hint="eastAsia" w:ascii="Times New Roman" w:hAnsi="Times New Roman" w:eastAsia="宋体" w:cs="Times New Roman"/>
                <w:bCs/>
                <w:color w:val="auto"/>
                <w:spacing w:val="-10"/>
                <w:sz w:val="21"/>
                <w:szCs w:val="21"/>
                <w:u w:val="none" w:color="auto"/>
                <w:vertAlign w:val="baseli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eastAsia" w:hAnsi="宋体" w:cs="宋体"/>
                <w:snapToGrid w:val="0"/>
                <w:color w:val="auto"/>
                <w:kern w:val="21"/>
                <w:szCs w:val="21"/>
                <w:u w:val="none" w:color="auto"/>
              </w:rPr>
            </w:pPr>
          </w:p>
        </w:tc>
        <w:tc>
          <w:tcPr>
            <w:tcW w:w="1417" w:type="dxa"/>
            <w:noWrap w:val="0"/>
            <w:vAlign w:val="center"/>
          </w:tcPr>
          <w:p>
            <w:pPr>
              <w:pStyle w:val="38"/>
              <w:spacing w:beforeLines="0" w:afterLines="0" w:line="240" w:lineRule="auto"/>
              <w:rPr>
                <w:rFonts w:hint="eastAsia"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氨氮</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lang w:val="en-US" w:eastAsia="zh-CN"/>
              </w:rPr>
              <w:t>0.018</w:t>
            </w:r>
            <w:r>
              <w:rPr>
                <w:rFonts w:hint="eastAsia" w:ascii="Times New Roman" w:hAnsi="Times New Roman" w:eastAsia="宋体" w:cs="Times New Roman"/>
                <w:bCs/>
                <w:color w:val="auto"/>
                <w:spacing w:val="-10"/>
                <w:sz w:val="21"/>
                <w:szCs w:val="21"/>
                <w:vertAlign w:val="baseline"/>
                <w:lang w:val="en-US" w:eastAsia="zh-CN"/>
              </w:rPr>
              <w:t>t/a</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 w:val="21"/>
                <w:szCs w:val="21"/>
                <w:u w:val="none" w:color="auto"/>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1559" w:type="dxa"/>
            <w:noWrap w:val="0"/>
            <w:vAlign w:val="center"/>
          </w:tcPr>
          <w:p>
            <w:pPr>
              <w:spacing w:beforeLines="0" w:afterLines="0" w:line="240" w:lineRule="auto"/>
              <w:jc w:val="center"/>
              <w:rPr>
                <w:rFonts w:hint="default" w:hAnsi="宋体" w:cs="宋体"/>
                <w:snapToGrid w:val="0"/>
                <w:color w:val="auto"/>
                <w:kern w:val="21"/>
                <w:sz w:val="21"/>
                <w:szCs w:val="21"/>
                <w:u w:val="none" w:color="auto"/>
                <w:lang w:val="en-US" w:eastAsia="zh-CN" w:bidi="ar-SA"/>
              </w:rPr>
            </w:pPr>
            <w:r>
              <w:rPr>
                <w:rFonts w:hint="eastAsia" w:hAnsi="宋体" w:cs="宋体"/>
                <w:snapToGrid w:val="0"/>
                <w:color w:val="auto"/>
                <w:kern w:val="21"/>
                <w:szCs w:val="21"/>
                <w:u w:val="none" w:color="auto"/>
                <w:lang w:val="en-US" w:eastAsia="zh-CN"/>
              </w:rPr>
              <w:t>0.014</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334" w:type="dxa"/>
            <w:noWrap w:val="0"/>
            <w:vAlign w:val="center"/>
          </w:tcPr>
          <w:p>
            <w:pPr>
              <w:spacing w:beforeLines="0" w:afterLines="0" w:line="240" w:lineRule="auto"/>
              <w:jc w:val="center"/>
              <w:rPr>
                <w:rFonts w:hint="default" w:hAnsi="宋体" w:cs="宋体"/>
                <w:snapToGrid w:val="0"/>
                <w:color w:val="auto"/>
                <w:kern w:val="21"/>
                <w:szCs w:val="21"/>
                <w:u w:val="none" w:color="auto"/>
                <w:lang w:val="en-US"/>
              </w:rPr>
            </w:pPr>
            <w:r>
              <w:rPr>
                <w:rFonts w:hint="eastAsia" w:hAnsi="宋体" w:cs="宋体"/>
                <w:snapToGrid w:val="0"/>
                <w:color w:val="auto"/>
                <w:kern w:val="21"/>
                <w:szCs w:val="21"/>
                <w:u w:val="none" w:color="auto"/>
                <w:lang w:val="en-US" w:eastAsia="zh-CN"/>
              </w:rPr>
              <w:t>/</w:t>
            </w:r>
          </w:p>
        </w:tc>
        <w:tc>
          <w:tcPr>
            <w:tcW w:w="1704"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cs="Times New Roman"/>
                <w:bCs/>
                <w:color w:val="auto"/>
                <w:spacing w:val="-10"/>
                <w:sz w:val="21"/>
                <w:szCs w:val="21"/>
                <w:u w:val="none" w:color="auto"/>
                <w:vertAlign w:val="baseline"/>
                <w:lang w:val="en-US" w:eastAsia="zh-CN"/>
              </w:rPr>
              <w:t>0.032</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508"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+0.014</w:t>
            </w:r>
            <w:r>
              <w:rPr>
                <w:rFonts w:hint="eastAsia" w:ascii="Times New Roman" w:hAnsi="Times New Roman" w:eastAsia="宋体" w:cs="Times New Roman"/>
                <w:bCs/>
                <w:color w:val="auto"/>
                <w:spacing w:val="-10"/>
                <w:sz w:val="21"/>
                <w:szCs w:val="21"/>
                <w:u w:val="none" w:color="auto"/>
                <w:vertAlign w:val="baseline"/>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8"/>
              <w:spacing w:beforeLines="0" w:afterLines="0" w:line="240" w:lineRule="auto"/>
              <w:rPr>
                <w:rFonts w:hAnsi="宋体" w:cs="宋体"/>
                <w:snapToGrid w:val="0"/>
                <w:color w:val="auto"/>
                <w:kern w:val="21"/>
                <w:szCs w:val="21"/>
                <w:u w:val="none" w:color="auto"/>
              </w:rPr>
            </w:pPr>
            <w:r>
              <w:rPr>
                <w:rFonts w:hint="eastAsia" w:hAnsi="宋体" w:cs="宋体"/>
                <w:snapToGrid w:val="0"/>
                <w:color w:val="auto"/>
                <w:kern w:val="21"/>
                <w:szCs w:val="21"/>
                <w:u w:val="none" w:color="auto"/>
              </w:rPr>
              <w:t>一般工业</w:t>
            </w:r>
          </w:p>
          <w:p>
            <w:pPr>
              <w:pStyle w:val="38"/>
              <w:spacing w:beforeLines="0" w:afterLines="0" w:line="240" w:lineRule="auto"/>
              <w:rPr>
                <w:rFonts w:hint="eastAsia" w:hAnsi="宋体" w:cs="宋体"/>
                <w:snapToGrid w:val="0"/>
                <w:color w:val="auto"/>
                <w:kern w:val="21"/>
                <w:szCs w:val="21"/>
                <w:u w:val="none" w:color="auto"/>
              </w:rPr>
            </w:pPr>
            <w:r>
              <w:rPr>
                <w:rFonts w:hint="eastAsia" w:hAnsi="宋体" w:cs="宋体"/>
                <w:snapToGrid w:val="0"/>
                <w:color w:val="auto"/>
                <w:kern w:val="21"/>
                <w:szCs w:val="21"/>
                <w:u w:val="none" w:color="auto"/>
              </w:rPr>
              <w:t>固体废物</w:t>
            </w:r>
          </w:p>
        </w:tc>
        <w:tc>
          <w:tcPr>
            <w:tcW w:w="1417" w:type="dxa"/>
            <w:noWrap w:val="0"/>
            <w:vAlign w:val="center"/>
          </w:tcPr>
          <w:p>
            <w:pPr>
              <w:pStyle w:val="38"/>
              <w:spacing w:beforeLines="0" w:afterLines="0" w:line="240" w:lineRule="auto"/>
              <w:rPr>
                <w:rFonts w:hint="eastAsia"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生活垃圾</w:t>
            </w:r>
          </w:p>
        </w:tc>
        <w:tc>
          <w:tcPr>
            <w:tcW w:w="17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vertAlign w:val="baseline"/>
                <w:lang w:val="en-US" w:eastAsia="zh-CN"/>
              </w:rPr>
              <w:t>40</w:t>
            </w:r>
            <w:r>
              <w:rPr>
                <w:rFonts w:hint="eastAsia" w:ascii="Times New Roman" w:hAnsi="Times New Roman" w:eastAsia="宋体" w:cs="Times New Roman"/>
                <w:bCs/>
                <w:color w:val="auto"/>
                <w:spacing w:val="-10"/>
                <w:sz w:val="21"/>
                <w:szCs w:val="21"/>
                <w:vertAlign w:val="baseline"/>
                <w:lang w:val="en-US" w:eastAsia="zh-CN"/>
              </w:rPr>
              <w:t>t/a</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559" w:type="dxa"/>
            <w:noWrap w:val="0"/>
            <w:vAlign w:val="center"/>
          </w:tcPr>
          <w:p>
            <w:pPr>
              <w:bidi w:val="0"/>
              <w:jc w:val="center"/>
              <w:rPr>
                <w:rFonts w:hint="default"/>
                <w:color w:val="auto"/>
                <w:lang w:val="en-US" w:eastAsia="zh-CN"/>
              </w:rPr>
            </w:pPr>
            <w:r>
              <w:rPr>
                <w:rFonts w:hint="eastAsia"/>
                <w:color w:val="auto"/>
                <w:lang w:val="en-US" w:eastAsia="zh-CN"/>
              </w:rPr>
              <w:t>4.895t/a</w:t>
            </w:r>
          </w:p>
        </w:tc>
        <w:tc>
          <w:tcPr>
            <w:tcW w:w="1334" w:type="dxa"/>
            <w:noWrap w:val="0"/>
            <w:vAlign w:val="center"/>
          </w:tcPr>
          <w:p>
            <w:pPr>
              <w:bidi w:val="0"/>
              <w:jc w:val="center"/>
              <w:rPr>
                <w:color w:val="auto"/>
              </w:rPr>
            </w:pPr>
            <w:r>
              <w:rPr>
                <w:rFonts w:hint="eastAsia"/>
                <w:color w:val="auto"/>
                <w:lang w:val="en-US" w:eastAsia="zh-CN"/>
              </w:rPr>
              <w:t>/</w:t>
            </w:r>
          </w:p>
        </w:tc>
        <w:tc>
          <w:tcPr>
            <w:tcW w:w="1704" w:type="dxa"/>
            <w:noWrap w:val="0"/>
            <w:vAlign w:val="center"/>
          </w:tcPr>
          <w:p>
            <w:pPr>
              <w:bidi w:val="0"/>
              <w:jc w:val="center"/>
              <w:rPr>
                <w:rFonts w:hint="default"/>
                <w:color w:val="auto"/>
                <w:lang w:val="en-US" w:eastAsia="zh-CN"/>
              </w:rPr>
            </w:pPr>
            <w:r>
              <w:rPr>
                <w:rFonts w:hint="eastAsia"/>
                <w:color w:val="auto"/>
                <w:lang w:val="en-US" w:eastAsia="zh-CN"/>
              </w:rPr>
              <w:t>44.895t/a</w:t>
            </w:r>
          </w:p>
        </w:tc>
        <w:tc>
          <w:tcPr>
            <w:tcW w:w="1508" w:type="dxa"/>
            <w:noWrap w:val="0"/>
            <w:vAlign w:val="center"/>
          </w:tcPr>
          <w:p>
            <w:pPr>
              <w:bidi w:val="0"/>
              <w:jc w:val="center"/>
              <w:rPr>
                <w:rFonts w:hint="eastAsia"/>
                <w:color w:val="auto"/>
                <w:lang w:val="en-US" w:eastAsia="zh-CN"/>
              </w:rPr>
            </w:pPr>
            <w:r>
              <w:rPr>
                <w:rFonts w:hint="eastAsia"/>
                <w:color w:val="auto"/>
                <w:lang w:val="en-US" w:eastAsia="zh-CN"/>
              </w:rPr>
              <w:t>+4.895t/a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eastAsia" w:hAnsi="宋体" w:cs="宋体"/>
                <w:snapToGrid w:val="0"/>
                <w:color w:val="auto"/>
                <w:kern w:val="21"/>
                <w:szCs w:val="21"/>
                <w:u w:val="none" w:color="auto"/>
              </w:rPr>
            </w:pPr>
          </w:p>
        </w:tc>
        <w:tc>
          <w:tcPr>
            <w:tcW w:w="1417" w:type="dxa"/>
            <w:noWrap w:val="0"/>
            <w:vAlign w:val="center"/>
          </w:tcPr>
          <w:p>
            <w:pPr>
              <w:pStyle w:val="38"/>
              <w:spacing w:beforeLines="0" w:afterLines="0" w:line="240" w:lineRule="auto"/>
              <w:rPr>
                <w:rFonts w:hint="default"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输液瓶（袋）及玻璃瓶</w:t>
            </w:r>
          </w:p>
        </w:tc>
        <w:tc>
          <w:tcPr>
            <w:tcW w:w="17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ascii="Times New Roman" w:hAnsi="Times New Roman" w:eastAsia="宋体" w:cs="Times New Roman"/>
                <w:bCs/>
                <w:color w:val="auto"/>
                <w:spacing w:val="-10"/>
                <w:sz w:val="21"/>
                <w:szCs w:val="21"/>
                <w:vertAlign w:val="baseline"/>
                <w:lang w:val="en-US" w:eastAsia="zh-CN"/>
              </w:rPr>
              <w:t>5.0t/a</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0</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334"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ascii="Times New Roman" w:hAnsi="Times New Roman" w:eastAsia="宋体" w:cs="Times New Roman"/>
                <w:bCs/>
                <w:color w:val="auto"/>
                <w:spacing w:val="-10"/>
                <w:sz w:val="21"/>
                <w:szCs w:val="21"/>
                <w:u w:val="none" w:color="auto"/>
                <w:vertAlign w:val="baseline"/>
                <w:lang w:val="en-US" w:eastAsia="zh-CN"/>
              </w:rPr>
              <w:t>5.0t/a</w:t>
            </w:r>
          </w:p>
        </w:tc>
        <w:tc>
          <w:tcPr>
            <w:tcW w:w="150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+0</w:t>
            </w:r>
            <w:r>
              <w:rPr>
                <w:rFonts w:hint="eastAsia" w:ascii="Times New Roman" w:hAnsi="Times New Roman" w:eastAsia="宋体" w:cs="Times New Roman"/>
                <w:bCs/>
                <w:color w:val="auto"/>
                <w:spacing w:val="-10"/>
                <w:sz w:val="21"/>
                <w:szCs w:val="21"/>
                <w:u w:val="none" w:color="auto"/>
                <w:vertAlign w:val="baseli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88" w:type="dxa"/>
            <w:vMerge w:val="continue"/>
            <w:noWrap w:val="0"/>
            <w:vAlign w:val="center"/>
          </w:tcPr>
          <w:p>
            <w:pPr>
              <w:pStyle w:val="38"/>
              <w:spacing w:beforeLines="0" w:afterLines="0" w:line="240" w:lineRule="auto"/>
              <w:rPr>
                <w:rFonts w:hAnsi="宋体" w:cs="宋体"/>
                <w:snapToGrid w:val="0"/>
                <w:color w:val="auto"/>
                <w:kern w:val="21"/>
                <w:szCs w:val="21"/>
                <w:u w:val="none" w:color="auto"/>
              </w:rPr>
            </w:pPr>
          </w:p>
        </w:tc>
        <w:tc>
          <w:tcPr>
            <w:tcW w:w="1417" w:type="dxa"/>
            <w:noWrap w:val="0"/>
            <w:vAlign w:val="center"/>
          </w:tcPr>
          <w:p>
            <w:pPr>
              <w:pStyle w:val="38"/>
              <w:spacing w:beforeLines="0" w:afterLines="0" w:line="240" w:lineRule="auto"/>
              <w:rPr>
                <w:rFonts w:hint="default"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废包装材料</w:t>
            </w:r>
          </w:p>
        </w:tc>
        <w:tc>
          <w:tcPr>
            <w:tcW w:w="17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ascii="Times New Roman" w:hAnsi="Times New Roman" w:eastAsia="宋体" w:cs="Times New Roman"/>
                <w:bCs/>
                <w:color w:val="auto"/>
                <w:spacing w:val="-10"/>
                <w:sz w:val="21"/>
                <w:szCs w:val="21"/>
                <w:vertAlign w:val="baseline"/>
                <w:lang w:val="en-US" w:eastAsia="zh-CN"/>
              </w:rPr>
              <w:t>1.0t/a</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0</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334"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ascii="Times New Roman" w:hAnsi="Times New Roman" w:eastAsia="宋体" w:cs="Times New Roman"/>
                <w:bCs/>
                <w:color w:val="auto"/>
                <w:spacing w:val="-10"/>
                <w:sz w:val="21"/>
                <w:szCs w:val="21"/>
                <w:u w:val="none" w:color="auto"/>
                <w:vertAlign w:val="baseline"/>
                <w:lang w:val="en-US" w:eastAsia="zh-CN"/>
              </w:rPr>
              <w:t>1.0t/a</w:t>
            </w:r>
          </w:p>
        </w:tc>
        <w:tc>
          <w:tcPr>
            <w:tcW w:w="150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+0</w:t>
            </w:r>
            <w:r>
              <w:rPr>
                <w:rFonts w:hint="eastAsia" w:ascii="Times New Roman" w:hAnsi="Times New Roman" w:eastAsia="宋体" w:cs="Times New Roman"/>
                <w:bCs/>
                <w:color w:val="auto"/>
                <w:spacing w:val="-10"/>
                <w:sz w:val="21"/>
                <w:szCs w:val="21"/>
                <w:u w:val="none" w:color="auto"/>
                <w:vertAlign w:val="baseli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8"/>
              <w:spacing w:beforeLines="0" w:afterLines="0" w:line="240" w:lineRule="auto"/>
              <w:rPr>
                <w:rFonts w:hint="eastAsia" w:hAnsi="宋体" w:cs="宋体"/>
                <w:snapToGrid w:val="0"/>
                <w:color w:val="auto"/>
                <w:kern w:val="21"/>
                <w:szCs w:val="21"/>
                <w:u w:val="none" w:color="auto"/>
              </w:rPr>
            </w:pPr>
            <w:r>
              <w:rPr>
                <w:rFonts w:hint="eastAsia" w:hAnsi="宋体" w:cs="宋体"/>
                <w:snapToGrid w:val="0"/>
                <w:color w:val="auto"/>
                <w:kern w:val="21"/>
                <w:szCs w:val="21"/>
                <w:u w:val="none" w:color="auto"/>
              </w:rPr>
              <w:t>危险废物</w:t>
            </w:r>
          </w:p>
        </w:tc>
        <w:tc>
          <w:tcPr>
            <w:tcW w:w="1417" w:type="dxa"/>
            <w:noWrap w:val="0"/>
            <w:vAlign w:val="center"/>
          </w:tcPr>
          <w:p>
            <w:pPr>
              <w:pStyle w:val="38"/>
              <w:spacing w:beforeLines="0" w:afterLines="0" w:line="240" w:lineRule="auto"/>
              <w:rPr>
                <w:rFonts w:hint="eastAsia"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医疗废物</w:t>
            </w:r>
          </w:p>
        </w:tc>
        <w:tc>
          <w:tcPr>
            <w:tcW w:w="17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ascii="Times New Roman" w:hAnsi="Times New Roman" w:eastAsia="宋体" w:cs="Times New Roman"/>
                <w:bCs/>
                <w:color w:val="auto"/>
                <w:spacing w:val="-10"/>
                <w:sz w:val="21"/>
                <w:szCs w:val="21"/>
                <w:vertAlign w:val="baseline"/>
                <w:lang w:val="en-US" w:eastAsia="zh-CN"/>
              </w:rPr>
              <w:t>10.51t/a</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1.9</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334"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12.41</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50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+1.9</w:t>
            </w:r>
            <w:r>
              <w:rPr>
                <w:rFonts w:hint="eastAsia" w:ascii="Times New Roman" w:hAnsi="Times New Roman" w:eastAsia="宋体" w:cs="Times New Roman"/>
                <w:bCs/>
                <w:color w:val="auto"/>
                <w:spacing w:val="-10"/>
                <w:sz w:val="21"/>
                <w:szCs w:val="21"/>
                <w:u w:val="none" w:color="auto"/>
                <w:vertAlign w:val="baseli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eastAsia" w:hAnsi="宋体" w:cs="宋体"/>
                <w:snapToGrid w:val="0"/>
                <w:color w:val="auto"/>
                <w:kern w:val="21"/>
                <w:szCs w:val="21"/>
                <w:u w:val="none" w:color="auto"/>
              </w:rPr>
            </w:pPr>
          </w:p>
        </w:tc>
        <w:tc>
          <w:tcPr>
            <w:tcW w:w="1417" w:type="dxa"/>
            <w:noWrap w:val="0"/>
            <w:vAlign w:val="center"/>
          </w:tcPr>
          <w:p>
            <w:pPr>
              <w:pStyle w:val="38"/>
              <w:spacing w:beforeLines="0" w:afterLines="0" w:line="240" w:lineRule="auto"/>
              <w:rPr>
                <w:rFonts w:hint="default" w:hAnsi="宋体" w:eastAsia="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污泥</w:t>
            </w:r>
          </w:p>
        </w:tc>
        <w:tc>
          <w:tcPr>
            <w:tcW w:w="17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vertAlign w:val="baseline"/>
                <w:lang w:val="en-US" w:eastAsia="zh-CN"/>
              </w:rPr>
              <w:t>0</w:t>
            </w:r>
          </w:p>
        </w:tc>
        <w:tc>
          <w:tcPr>
            <w:tcW w:w="1276"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12.565</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334" w:type="dxa"/>
            <w:noWrap w:val="0"/>
            <w:vAlign w:val="center"/>
          </w:tcPr>
          <w:p>
            <w:pPr>
              <w:spacing w:beforeLines="0" w:afterLines="0" w:line="240" w:lineRule="auto"/>
              <w:jc w:val="center"/>
              <w:rPr>
                <w:rFonts w:hAnsi="宋体" w:cs="宋体"/>
                <w:snapToGrid w:val="0"/>
                <w:color w:val="auto"/>
                <w:kern w:val="21"/>
                <w:szCs w:val="21"/>
                <w:u w:val="none" w:color="auto"/>
              </w:rPr>
            </w:pPr>
            <w:r>
              <w:rPr>
                <w:rFonts w:hint="eastAsia" w:hAnsi="宋体" w:cs="宋体"/>
                <w:snapToGrid w:val="0"/>
                <w:color w:val="auto"/>
                <w:kern w:val="21"/>
                <w:szCs w:val="21"/>
                <w:u w:val="none" w:color="auto"/>
                <w:lang w:val="en-US" w:eastAsia="zh-CN"/>
              </w:rPr>
              <w:t>/</w:t>
            </w:r>
          </w:p>
        </w:tc>
        <w:tc>
          <w:tcPr>
            <w:tcW w:w="17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12.565</w:t>
            </w:r>
            <w:r>
              <w:rPr>
                <w:rFonts w:hint="eastAsia" w:ascii="Times New Roman" w:hAnsi="Times New Roman" w:eastAsia="宋体" w:cs="Times New Roman"/>
                <w:bCs/>
                <w:color w:val="auto"/>
                <w:spacing w:val="-10"/>
                <w:sz w:val="21"/>
                <w:szCs w:val="21"/>
                <w:u w:val="none" w:color="auto"/>
                <w:vertAlign w:val="baseline"/>
                <w:lang w:val="en-US" w:eastAsia="zh-CN"/>
              </w:rPr>
              <w:t>t/a</w:t>
            </w:r>
          </w:p>
        </w:tc>
        <w:tc>
          <w:tcPr>
            <w:tcW w:w="150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pacing w:val="-10"/>
                <w:kern w:val="2"/>
                <w:sz w:val="21"/>
                <w:szCs w:val="21"/>
                <w:u w:val="none" w:color="auto"/>
                <w:vertAlign w:val="baseline"/>
                <w:lang w:val="en-US" w:eastAsia="zh-CN" w:bidi="ar-SA"/>
              </w:rPr>
            </w:pPr>
            <w:r>
              <w:rPr>
                <w:rFonts w:hint="eastAsia" w:cs="Times New Roman"/>
                <w:bCs/>
                <w:color w:val="auto"/>
                <w:spacing w:val="-10"/>
                <w:sz w:val="21"/>
                <w:szCs w:val="21"/>
                <w:u w:val="none" w:color="auto"/>
                <w:vertAlign w:val="baseline"/>
                <w:lang w:val="en-US" w:eastAsia="zh-CN"/>
              </w:rPr>
              <w:t>+12.565</w:t>
            </w:r>
            <w:r>
              <w:rPr>
                <w:rFonts w:hint="eastAsia" w:ascii="Times New Roman" w:hAnsi="Times New Roman" w:eastAsia="宋体" w:cs="Times New Roman"/>
                <w:bCs/>
                <w:color w:val="auto"/>
                <w:spacing w:val="-10"/>
                <w:sz w:val="21"/>
                <w:szCs w:val="21"/>
                <w:u w:val="none" w:color="auto"/>
                <w:vertAlign w:val="baseli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eastAsia" w:hAnsi="宋体" w:cs="宋体"/>
                <w:snapToGrid w:val="0"/>
                <w:color w:val="auto"/>
                <w:kern w:val="21"/>
                <w:szCs w:val="21"/>
                <w:u w:val="none" w:color="auto"/>
              </w:rPr>
            </w:pPr>
          </w:p>
        </w:tc>
        <w:tc>
          <w:tcPr>
            <w:tcW w:w="1417" w:type="dxa"/>
            <w:noWrap w:val="0"/>
            <w:vAlign w:val="center"/>
          </w:tcPr>
          <w:p>
            <w:pPr>
              <w:pStyle w:val="38"/>
              <w:spacing w:beforeLines="0" w:afterLines="0" w:line="240" w:lineRule="auto"/>
              <w:rPr>
                <w:rFonts w:hint="eastAsia" w:hAnsi="宋体" w:cs="宋体"/>
                <w:snapToGrid w:val="0"/>
                <w:color w:val="auto"/>
                <w:kern w:val="21"/>
                <w:szCs w:val="21"/>
                <w:u w:val="none" w:color="auto"/>
                <w:lang w:val="en-US" w:eastAsia="zh-CN"/>
              </w:rPr>
            </w:pPr>
            <w:r>
              <w:rPr>
                <w:rFonts w:hint="default" w:ascii="Times New Roman" w:hAnsi="Times New Roman" w:eastAsia="宋体" w:cs="Times New Roman"/>
                <w:color w:val="auto"/>
                <w:spacing w:val="8"/>
                <w:sz w:val="21"/>
                <w:szCs w:val="21"/>
              </w:rPr>
              <w:t>废紫外灯管</w:t>
            </w:r>
          </w:p>
        </w:tc>
        <w:tc>
          <w:tcPr>
            <w:tcW w:w="17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Cs/>
                <w:color w:val="auto"/>
                <w:spacing w:val="-10"/>
                <w:sz w:val="21"/>
                <w:szCs w:val="21"/>
                <w:vertAlign w:val="baseline"/>
                <w:lang w:val="en-US" w:eastAsia="zh-CN"/>
              </w:rPr>
            </w:pPr>
            <w:r>
              <w:rPr>
                <w:rFonts w:hint="eastAsia" w:cs="Times New Roman"/>
                <w:bCs/>
                <w:color w:val="auto"/>
                <w:spacing w:val="-10"/>
                <w:sz w:val="21"/>
                <w:szCs w:val="21"/>
                <w:vertAlign w:val="baseline"/>
                <w:lang w:val="en-US" w:eastAsia="zh-CN"/>
              </w:rPr>
              <w:t>0</w:t>
            </w:r>
          </w:p>
        </w:tc>
        <w:tc>
          <w:tcPr>
            <w:tcW w:w="1276" w:type="dxa"/>
            <w:noWrap w:val="0"/>
            <w:vAlign w:val="center"/>
          </w:tcPr>
          <w:p>
            <w:pPr>
              <w:spacing w:beforeLines="0" w:afterLines="0" w:line="240" w:lineRule="auto"/>
              <w:jc w:val="center"/>
              <w:rPr>
                <w:rFonts w:hint="default" w:hAnsi="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w:t>
            </w:r>
          </w:p>
        </w:tc>
        <w:tc>
          <w:tcPr>
            <w:tcW w:w="1701" w:type="dxa"/>
            <w:noWrap w:val="0"/>
            <w:vAlign w:val="center"/>
          </w:tcPr>
          <w:p>
            <w:pPr>
              <w:spacing w:beforeLines="0" w:afterLines="0" w:line="240" w:lineRule="auto"/>
              <w:jc w:val="center"/>
              <w:rPr>
                <w:rFonts w:hint="default" w:hAnsi="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Cs/>
                <w:color w:val="auto"/>
                <w:spacing w:val="-10"/>
                <w:sz w:val="21"/>
                <w:szCs w:val="21"/>
                <w:u w:val="none" w:color="auto"/>
                <w:vertAlign w:val="baseline"/>
                <w:lang w:val="en-US" w:eastAsia="zh-CN"/>
              </w:rPr>
            </w:pPr>
            <w:r>
              <w:rPr>
                <w:rFonts w:hint="eastAsia" w:cs="Times New Roman"/>
                <w:bCs/>
                <w:color w:val="auto"/>
                <w:spacing w:val="-10"/>
                <w:sz w:val="21"/>
                <w:szCs w:val="21"/>
                <w:u w:val="none" w:color="auto"/>
                <w:vertAlign w:val="baseline"/>
                <w:lang w:val="en-US" w:eastAsia="zh-CN"/>
              </w:rPr>
              <w:t>0.1</w:t>
            </w:r>
          </w:p>
        </w:tc>
        <w:tc>
          <w:tcPr>
            <w:tcW w:w="1334" w:type="dxa"/>
            <w:noWrap w:val="0"/>
            <w:vAlign w:val="center"/>
          </w:tcPr>
          <w:p>
            <w:pPr>
              <w:spacing w:beforeLines="0" w:afterLines="0" w:line="240" w:lineRule="auto"/>
              <w:jc w:val="center"/>
              <w:rPr>
                <w:rFonts w:hint="default" w:hAnsi="宋体" w:cs="宋体"/>
                <w:snapToGrid w:val="0"/>
                <w:color w:val="auto"/>
                <w:kern w:val="21"/>
                <w:szCs w:val="21"/>
                <w:u w:val="none" w:color="auto"/>
                <w:lang w:val="en-US" w:eastAsia="zh-CN"/>
              </w:rPr>
            </w:pPr>
            <w:r>
              <w:rPr>
                <w:rFonts w:hint="eastAsia" w:hAnsi="宋体" w:cs="宋体"/>
                <w:snapToGrid w:val="0"/>
                <w:color w:val="auto"/>
                <w:kern w:val="21"/>
                <w:szCs w:val="21"/>
                <w:u w:val="none" w:color="auto"/>
                <w:lang w:val="en-US" w:eastAsia="zh-CN"/>
              </w:rPr>
              <w:t>/</w:t>
            </w:r>
          </w:p>
        </w:tc>
        <w:tc>
          <w:tcPr>
            <w:tcW w:w="17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Cs/>
                <w:color w:val="auto"/>
                <w:spacing w:val="-10"/>
                <w:sz w:val="21"/>
                <w:szCs w:val="21"/>
                <w:u w:val="none" w:color="auto"/>
                <w:vertAlign w:val="baseline"/>
                <w:lang w:val="en-US" w:eastAsia="zh-CN"/>
              </w:rPr>
            </w:pPr>
            <w:r>
              <w:rPr>
                <w:rFonts w:hint="eastAsia" w:cs="Times New Roman"/>
                <w:bCs/>
                <w:color w:val="auto"/>
                <w:spacing w:val="-10"/>
                <w:sz w:val="21"/>
                <w:szCs w:val="21"/>
                <w:u w:val="none" w:color="auto"/>
                <w:vertAlign w:val="baseline"/>
                <w:lang w:val="en-US" w:eastAsia="zh-CN"/>
              </w:rPr>
              <w:t>0.1</w:t>
            </w:r>
          </w:p>
        </w:tc>
        <w:tc>
          <w:tcPr>
            <w:tcW w:w="150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Cs/>
                <w:color w:val="auto"/>
                <w:spacing w:val="-10"/>
                <w:sz w:val="21"/>
                <w:szCs w:val="21"/>
                <w:u w:val="none" w:color="auto"/>
                <w:vertAlign w:val="baseline"/>
                <w:lang w:val="en-US" w:eastAsia="zh-CN"/>
              </w:rPr>
            </w:pPr>
            <w:r>
              <w:rPr>
                <w:rFonts w:hint="eastAsia" w:cs="Times New Roman"/>
                <w:bCs/>
                <w:color w:val="auto"/>
                <w:spacing w:val="-10"/>
                <w:sz w:val="21"/>
                <w:szCs w:val="21"/>
                <w:u w:val="none" w:color="auto"/>
                <w:vertAlign w:val="baseline"/>
                <w:lang w:val="en-US" w:eastAsia="zh-CN"/>
              </w:rPr>
              <w:t>+0.15</w:t>
            </w:r>
            <w:r>
              <w:rPr>
                <w:rFonts w:hint="eastAsia" w:ascii="Times New Roman" w:hAnsi="Times New Roman" w:eastAsia="宋体" w:cs="Times New Roman"/>
                <w:bCs/>
                <w:color w:val="auto"/>
                <w:spacing w:val="-10"/>
                <w:sz w:val="21"/>
                <w:szCs w:val="21"/>
                <w:u w:val="none" w:color="auto"/>
                <w:vertAlign w:val="baseline"/>
                <w:lang w:val="en-US" w:eastAsia="zh-CN"/>
              </w:rPr>
              <w:t>t/a</w:t>
            </w:r>
          </w:p>
        </w:tc>
      </w:tr>
    </w:tbl>
    <w:p>
      <w:pPr>
        <w:pStyle w:val="38"/>
        <w:spacing w:before="192" w:beforeLines="80" w:after="24"/>
        <w:jc w:val="left"/>
        <w:rPr>
          <w:rFonts w:hint="default"/>
          <w:color w:val="auto"/>
          <w:u w:val="none" w:color="auto"/>
          <w:lang w:val="en-US" w:eastAsia="zh-CN"/>
        </w:rPr>
      </w:pPr>
      <w:r>
        <w:rPr>
          <w:rFonts w:hAnsi="宋体"/>
          <w:snapToGrid w:val="0"/>
          <w:color w:val="auto"/>
          <w:kern w:val="21"/>
          <w:szCs w:val="21"/>
          <w:u w:val="none" w:color="auto"/>
        </w:rPr>
        <w:t>注：</w:t>
      </w:r>
      <w:r>
        <w:rPr>
          <w:rFonts w:hAnsi="宋体"/>
          <w:snapToGrid w:val="0"/>
          <w:color w:val="auto"/>
          <w:spacing w:val="-16"/>
          <w:kern w:val="21"/>
          <w:szCs w:val="21"/>
          <w:u w:val="none" w:color="auto"/>
        </w:rPr>
        <w:fldChar w:fldCharType="begin"/>
      </w:r>
      <w:r>
        <w:rPr>
          <w:rFonts w:hAnsi="宋体"/>
          <w:snapToGrid w:val="0"/>
          <w:color w:val="auto"/>
          <w:spacing w:val="-16"/>
          <w:kern w:val="21"/>
          <w:szCs w:val="21"/>
          <w:u w:val="none" w:color="auto"/>
        </w:rPr>
        <w:instrText xml:space="preserve"> = 6 \* GB3 \* MERGEFORMAT </w:instrText>
      </w:r>
      <w:r>
        <w:rPr>
          <w:rFonts w:hAnsi="宋体"/>
          <w:snapToGrid w:val="0"/>
          <w:color w:val="auto"/>
          <w:spacing w:val="-16"/>
          <w:kern w:val="21"/>
          <w:szCs w:val="21"/>
          <w:u w:val="none" w:color="auto"/>
        </w:rPr>
        <w:fldChar w:fldCharType="separate"/>
      </w:r>
      <w:r>
        <w:rPr>
          <w:rFonts w:hint="eastAsia" w:hAnsi="宋体"/>
          <w:color w:val="auto"/>
          <w:szCs w:val="21"/>
          <w:u w:val="none" w:color="auto"/>
        </w:rPr>
        <w:t>⑥</w:t>
      </w:r>
      <w:r>
        <w:rPr>
          <w:rFonts w:hAnsi="宋体"/>
          <w:snapToGrid w:val="0"/>
          <w:color w:val="auto"/>
          <w:spacing w:val="-16"/>
          <w:kern w:val="21"/>
          <w:szCs w:val="21"/>
          <w:u w:val="none" w:color="auto"/>
        </w:rPr>
        <w:fldChar w:fldCharType="end"/>
      </w:r>
      <w:r>
        <w:rPr>
          <w:rFonts w:hAnsi="宋体"/>
          <w:snapToGrid w:val="0"/>
          <w:color w:val="auto"/>
          <w:spacing w:val="-1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1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①</w:t>
      </w:r>
      <w:r>
        <w:rPr>
          <w:rFonts w:hAnsi="宋体"/>
          <w:snapToGrid w:val="0"/>
          <w:color w:val="auto"/>
          <w:spacing w:val="-6"/>
          <w:kern w:val="21"/>
          <w:szCs w:val="21"/>
          <w:u w:val="none" w:color="auto"/>
        </w:rPr>
        <w:fldChar w:fldCharType="end"/>
      </w:r>
      <w:r>
        <w:rPr>
          <w:rFonts w:hAnsi="宋体"/>
          <w:snapToGrid w:val="0"/>
          <w:color w:val="auto"/>
          <w:spacing w:val="-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3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③</w:t>
      </w:r>
      <w:r>
        <w:rPr>
          <w:rFonts w:hAnsi="宋体"/>
          <w:snapToGrid w:val="0"/>
          <w:color w:val="auto"/>
          <w:spacing w:val="-6"/>
          <w:kern w:val="21"/>
          <w:szCs w:val="21"/>
          <w:u w:val="none" w:color="auto"/>
        </w:rPr>
        <w:fldChar w:fldCharType="end"/>
      </w:r>
      <w:r>
        <w:rPr>
          <w:rFonts w:hAnsi="宋体"/>
          <w:snapToGrid w:val="0"/>
          <w:color w:val="auto"/>
          <w:spacing w:val="-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4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④</w:t>
      </w:r>
      <w:r>
        <w:rPr>
          <w:rFonts w:hAnsi="宋体"/>
          <w:snapToGrid w:val="0"/>
          <w:color w:val="auto"/>
          <w:spacing w:val="-6"/>
          <w:kern w:val="21"/>
          <w:szCs w:val="21"/>
          <w:u w:val="none" w:color="auto"/>
        </w:rPr>
        <w:fldChar w:fldCharType="end"/>
      </w:r>
      <w:r>
        <w:rPr>
          <w:rFonts w:hAnsi="宋体"/>
          <w:snapToGrid w:val="0"/>
          <w:color w:val="auto"/>
          <w:spacing w:val="-6"/>
          <w:kern w:val="21"/>
          <w:szCs w:val="21"/>
          <w:u w:val="none" w:color="auto"/>
        </w:rPr>
        <w:t>-</w:t>
      </w:r>
      <w:r>
        <w:rPr>
          <w:rFonts w:hAnsi="宋体"/>
          <w:snapToGrid w:val="0"/>
          <w:color w:val="auto"/>
          <w:spacing w:val="-16"/>
          <w:kern w:val="21"/>
          <w:szCs w:val="21"/>
          <w:u w:val="none" w:color="auto"/>
        </w:rPr>
        <w:fldChar w:fldCharType="begin"/>
      </w:r>
      <w:r>
        <w:rPr>
          <w:rFonts w:hAnsi="宋体"/>
          <w:snapToGrid w:val="0"/>
          <w:color w:val="auto"/>
          <w:spacing w:val="-16"/>
          <w:kern w:val="21"/>
          <w:szCs w:val="21"/>
          <w:u w:val="none" w:color="auto"/>
        </w:rPr>
        <w:instrText xml:space="preserve"> = 5 \* GB3 \* MERGEFORMAT </w:instrText>
      </w:r>
      <w:r>
        <w:rPr>
          <w:rFonts w:hAnsi="宋体"/>
          <w:snapToGrid w:val="0"/>
          <w:color w:val="auto"/>
          <w:spacing w:val="-16"/>
          <w:kern w:val="21"/>
          <w:szCs w:val="21"/>
          <w:u w:val="none" w:color="auto"/>
        </w:rPr>
        <w:fldChar w:fldCharType="separate"/>
      </w:r>
      <w:r>
        <w:rPr>
          <w:rFonts w:hint="eastAsia" w:hAnsi="宋体"/>
          <w:color w:val="auto"/>
          <w:szCs w:val="21"/>
          <w:u w:val="none" w:color="auto"/>
        </w:rPr>
        <w:t>⑤</w:t>
      </w:r>
      <w:r>
        <w:rPr>
          <w:rFonts w:hAnsi="宋体"/>
          <w:snapToGrid w:val="0"/>
          <w:color w:val="auto"/>
          <w:spacing w:val="-16"/>
          <w:kern w:val="21"/>
          <w:szCs w:val="21"/>
          <w:u w:val="none" w:color="auto"/>
        </w:rPr>
        <w:fldChar w:fldCharType="end"/>
      </w:r>
      <w:r>
        <w:rPr>
          <w:rFonts w:hAnsi="宋体"/>
          <w:snapToGrid w:val="0"/>
          <w:color w:val="auto"/>
          <w:spacing w:val="-1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7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⑦</w:t>
      </w:r>
      <w:r>
        <w:rPr>
          <w:rFonts w:hAnsi="宋体"/>
          <w:snapToGrid w:val="0"/>
          <w:color w:val="auto"/>
          <w:spacing w:val="-6"/>
          <w:kern w:val="21"/>
          <w:szCs w:val="21"/>
          <w:u w:val="none" w:color="auto"/>
        </w:rPr>
        <w:fldChar w:fldCharType="end"/>
      </w:r>
      <w:r>
        <w:rPr>
          <w:rFonts w:hAnsi="宋体"/>
          <w:snapToGrid w:val="0"/>
          <w:color w:val="auto"/>
          <w:spacing w:val="-6"/>
          <w:kern w:val="21"/>
          <w:szCs w:val="21"/>
          <w:u w:val="none" w:color="auto"/>
        </w:rPr>
        <w:t>=</w:t>
      </w:r>
      <w:r>
        <w:rPr>
          <w:rFonts w:hAnsi="宋体"/>
          <w:snapToGrid w:val="0"/>
          <w:color w:val="auto"/>
          <w:spacing w:val="-16"/>
          <w:kern w:val="21"/>
          <w:szCs w:val="21"/>
          <w:u w:val="none" w:color="auto"/>
        </w:rPr>
        <w:fldChar w:fldCharType="begin"/>
      </w:r>
      <w:r>
        <w:rPr>
          <w:rFonts w:hAnsi="宋体"/>
          <w:snapToGrid w:val="0"/>
          <w:color w:val="auto"/>
          <w:spacing w:val="-16"/>
          <w:kern w:val="21"/>
          <w:szCs w:val="21"/>
          <w:u w:val="none" w:color="auto"/>
        </w:rPr>
        <w:instrText xml:space="preserve"> = 6 \* GB3 \* MERGEFORMAT </w:instrText>
      </w:r>
      <w:r>
        <w:rPr>
          <w:rFonts w:hAnsi="宋体"/>
          <w:snapToGrid w:val="0"/>
          <w:color w:val="auto"/>
          <w:spacing w:val="-16"/>
          <w:kern w:val="21"/>
          <w:szCs w:val="21"/>
          <w:u w:val="none" w:color="auto"/>
        </w:rPr>
        <w:fldChar w:fldCharType="separate"/>
      </w:r>
      <w:r>
        <w:rPr>
          <w:rFonts w:hint="eastAsia" w:hAnsi="宋体"/>
          <w:color w:val="auto"/>
          <w:szCs w:val="21"/>
          <w:u w:val="none" w:color="auto"/>
        </w:rPr>
        <w:t>⑥</w:t>
      </w:r>
      <w:r>
        <w:rPr>
          <w:rFonts w:hAnsi="宋体"/>
          <w:snapToGrid w:val="0"/>
          <w:color w:val="auto"/>
          <w:spacing w:val="-16"/>
          <w:kern w:val="21"/>
          <w:szCs w:val="21"/>
          <w:u w:val="none" w:color="auto"/>
        </w:rPr>
        <w:fldChar w:fldCharType="end"/>
      </w:r>
      <w:r>
        <w:rPr>
          <w:rFonts w:hAnsi="宋体"/>
          <w:snapToGrid w:val="0"/>
          <w:color w:val="auto"/>
          <w:spacing w:val="-1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1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①</w:t>
      </w:r>
      <w:r>
        <w:rPr>
          <w:rFonts w:hAnsi="宋体"/>
          <w:snapToGrid w:val="0"/>
          <w:color w:val="auto"/>
          <w:spacing w:val="-6"/>
          <w:kern w:val="21"/>
          <w:szCs w:val="21"/>
          <w:u w:val="none" w:color="auto"/>
        </w:rPr>
        <w:fldChar w:fldCharType="end"/>
      </w:r>
    </w:p>
    <w:sectPr>
      <w:footerReference r:id="rId10"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5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auCMW4QEAAMMDAAAOAAAA&#10;AAAAAAEAIAAAAB4BAABkcnMvZTJvRG9jLnhtbFBLBQYAAAAABgAGAFkBAABx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2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05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saS9m4QEAAMMDAAAOAAAA&#10;AAAAAAEAIAAAAB4BAABkcnMvZTJvRG9jLnhtbFBLBQYAAAAABgAGAFkBAABx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20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205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f0m3c0BAACeAwAADgAAAAAAAAABACAAAAAe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lear" w:pos="4153"/>
      </w:tabs>
      <w:jc w:val="center"/>
      <w:rPr>
        <w:rFonts w:hint="default" w:eastAsia="宋体"/>
        <w:strike w:val="0"/>
        <w:dstrike w:val="0"/>
        <w:u w:val="thick"/>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eastAsia="宋体"/>
        <w:sz w:val="20"/>
        <w:szCs w:val="21"/>
        <w:lang w:val="en-US" w:eastAsia="zh-CN"/>
      </w:rPr>
    </w:pPr>
    <w:r>
      <w:rPr>
        <w:rFonts w:hint="eastAsia"/>
        <w:sz w:val="20"/>
        <w:szCs w:val="21"/>
        <w:lang w:eastAsia="zh-CN"/>
      </w:rPr>
      <w:t>湘阴县人民医院医疗副中心（二期）东塘卫生院分中心建设项目</w:t>
    </w:r>
    <w:r>
      <w:rPr>
        <w:rFonts w:hint="eastAsia"/>
        <w:sz w:val="20"/>
        <w:szCs w:val="21"/>
        <w:lang w:val="en-US" w:eastAsia="zh-CN"/>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11FA1"/>
    <w:multiLevelType w:val="singleLevel"/>
    <w:tmpl w:val="81711FA1"/>
    <w:lvl w:ilvl="0" w:tentative="0">
      <w:start w:val="1"/>
      <w:numFmt w:val="decimal"/>
      <w:suff w:val="nothing"/>
      <w:lvlText w:val="（%1）"/>
      <w:lvlJc w:val="left"/>
    </w:lvl>
  </w:abstractNum>
  <w:abstractNum w:abstractNumId="1">
    <w:nsid w:val="AD82B496"/>
    <w:multiLevelType w:val="singleLevel"/>
    <w:tmpl w:val="AD82B496"/>
    <w:lvl w:ilvl="0" w:tentative="0">
      <w:start w:val="3"/>
      <w:numFmt w:val="decimal"/>
      <w:suff w:val="nothing"/>
      <w:lvlText w:val="（%1）"/>
      <w:lvlJc w:val="left"/>
    </w:lvl>
  </w:abstractNum>
  <w:abstractNum w:abstractNumId="2">
    <w:nsid w:val="E245418B"/>
    <w:multiLevelType w:val="singleLevel"/>
    <w:tmpl w:val="E245418B"/>
    <w:lvl w:ilvl="0" w:tentative="0">
      <w:start w:val="2"/>
      <w:numFmt w:val="decimal"/>
      <w:suff w:val="nothing"/>
      <w:lvlText w:val="（%1）"/>
      <w:lvlJc w:val="left"/>
    </w:lvl>
  </w:abstractNum>
  <w:abstractNum w:abstractNumId="3">
    <w:nsid w:val="EDB3EE00"/>
    <w:multiLevelType w:val="singleLevel"/>
    <w:tmpl w:val="EDB3EE00"/>
    <w:lvl w:ilvl="0" w:tentative="0">
      <w:start w:val="1"/>
      <w:numFmt w:val="decimal"/>
      <w:suff w:val="nothing"/>
      <w:lvlText w:val="（%1）"/>
      <w:lvlJc w:val="left"/>
    </w:lvl>
  </w:abstractNum>
  <w:abstractNum w:abstractNumId="4">
    <w:nsid w:val="FCEFB015"/>
    <w:multiLevelType w:val="singleLevel"/>
    <w:tmpl w:val="FCEFB015"/>
    <w:lvl w:ilvl="0" w:tentative="0">
      <w:start w:val="1"/>
      <w:numFmt w:val="decimal"/>
      <w:suff w:val="nothing"/>
      <w:lvlText w:val="（%1）"/>
      <w:lvlJc w:val="left"/>
    </w:lvl>
  </w:abstractNum>
  <w:abstractNum w:abstractNumId="5">
    <w:nsid w:val="19640D77"/>
    <w:multiLevelType w:val="singleLevel"/>
    <w:tmpl w:val="19640D77"/>
    <w:lvl w:ilvl="0" w:tentative="0">
      <w:start w:val="2"/>
      <w:numFmt w:val="decimal"/>
      <w:suff w:val="nothing"/>
      <w:lvlText w:val="（%1）"/>
      <w:lvlJc w:val="left"/>
    </w:lvl>
  </w:abstractNum>
  <w:abstractNum w:abstractNumId="6">
    <w:nsid w:val="2791F1CC"/>
    <w:multiLevelType w:val="singleLevel"/>
    <w:tmpl w:val="2791F1CC"/>
    <w:lvl w:ilvl="0" w:tentative="0">
      <w:start w:val="1"/>
      <w:numFmt w:val="decimal"/>
      <w:suff w:val="nothing"/>
      <w:lvlText w:val="（%1）"/>
      <w:lvlJc w:val="left"/>
    </w:lvl>
  </w:abstractNum>
  <w:abstractNum w:abstractNumId="7">
    <w:nsid w:val="2D3F85AF"/>
    <w:multiLevelType w:val="singleLevel"/>
    <w:tmpl w:val="2D3F85AF"/>
    <w:lvl w:ilvl="0" w:tentative="0">
      <w:start w:val="1"/>
      <w:numFmt w:val="decimal"/>
      <w:suff w:val="nothing"/>
      <w:lvlText w:val="（%1）"/>
      <w:lvlJc w:val="left"/>
    </w:lvl>
  </w:abstractNum>
  <w:num w:numId="1">
    <w:abstractNumId w:val="2"/>
  </w:num>
  <w:num w:numId="2">
    <w:abstractNumId w:val="5"/>
  </w:num>
  <w:num w:numId="3">
    <w:abstractNumId w:val="1"/>
  </w:num>
  <w:num w:numId="4">
    <w:abstractNumId w:val="4"/>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Dc3YTMxNWU3YTdmNWUxYjI0MTc3NzdhYjk3NzYifQ=="/>
    <w:docVar w:name="KSO_WPS_MARK_KEY" w:val="cc93d062-5d66-41b6-a460-9d9895e85461"/>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45594"/>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04C8"/>
    <w:rsid w:val="00483F16"/>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97D30"/>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1184"/>
    <w:rsid w:val="00A423AA"/>
    <w:rsid w:val="00A53EC6"/>
    <w:rsid w:val="00A55C0F"/>
    <w:rsid w:val="00A8713F"/>
    <w:rsid w:val="00A90BA1"/>
    <w:rsid w:val="00A97A9A"/>
    <w:rsid w:val="00AA0671"/>
    <w:rsid w:val="00AA2531"/>
    <w:rsid w:val="00AB1E09"/>
    <w:rsid w:val="00AB35C0"/>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10C0B"/>
    <w:rsid w:val="00E2656A"/>
    <w:rsid w:val="00E412D0"/>
    <w:rsid w:val="00E56322"/>
    <w:rsid w:val="00E60982"/>
    <w:rsid w:val="00E62C62"/>
    <w:rsid w:val="00E654C1"/>
    <w:rsid w:val="00E65D97"/>
    <w:rsid w:val="00E72A5A"/>
    <w:rsid w:val="00E73354"/>
    <w:rsid w:val="00E9242D"/>
    <w:rsid w:val="00EB5255"/>
    <w:rsid w:val="00EB5C47"/>
    <w:rsid w:val="00ED0639"/>
    <w:rsid w:val="00EF3127"/>
    <w:rsid w:val="00EF4755"/>
    <w:rsid w:val="00EF7135"/>
    <w:rsid w:val="00F027DB"/>
    <w:rsid w:val="00F14A7A"/>
    <w:rsid w:val="00F22985"/>
    <w:rsid w:val="00F3383E"/>
    <w:rsid w:val="00F465A7"/>
    <w:rsid w:val="00F50B7C"/>
    <w:rsid w:val="00F550E6"/>
    <w:rsid w:val="00F74345"/>
    <w:rsid w:val="00F8031C"/>
    <w:rsid w:val="00F80A0A"/>
    <w:rsid w:val="00F82B19"/>
    <w:rsid w:val="00F9212D"/>
    <w:rsid w:val="00F965DA"/>
    <w:rsid w:val="00FA406A"/>
    <w:rsid w:val="00FB503A"/>
    <w:rsid w:val="00FB516C"/>
    <w:rsid w:val="00FD0236"/>
    <w:rsid w:val="00FD18F4"/>
    <w:rsid w:val="00FD54DB"/>
    <w:rsid w:val="00FD619F"/>
    <w:rsid w:val="01203FAE"/>
    <w:rsid w:val="01290F7E"/>
    <w:rsid w:val="012A3BAC"/>
    <w:rsid w:val="015B42E4"/>
    <w:rsid w:val="015D1E09"/>
    <w:rsid w:val="016F51CA"/>
    <w:rsid w:val="01772A9E"/>
    <w:rsid w:val="01AC687F"/>
    <w:rsid w:val="01B36BD0"/>
    <w:rsid w:val="01DC37E8"/>
    <w:rsid w:val="0209479C"/>
    <w:rsid w:val="021C29C7"/>
    <w:rsid w:val="025739FF"/>
    <w:rsid w:val="0264611C"/>
    <w:rsid w:val="02697903"/>
    <w:rsid w:val="027F6499"/>
    <w:rsid w:val="02DF39F5"/>
    <w:rsid w:val="02F54FC6"/>
    <w:rsid w:val="02F96569"/>
    <w:rsid w:val="02FA082F"/>
    <w:rsid w:val="02FF5E45"/>
    <w:rsid w:val="03201783"/>
    <w:rsid w:val="0375005C"/>
    <w:rsid w:val="03795BF7"/>
    <w:rsid w:val="03891DB3"/>
    <w:rsid w:val="03BE360A"/>
    <w:rsid w:val="03CA1FAF"/>
    <w:rsid w:val="03D251BA"/>
    <w:rsid w:val="03EA7B21"/>
    <w:rsid w:val="03EF7C67"/>
    <w:rsid w:val="04003C23"/>
    <w:rsid w:val="04073203"/>
    <w:rsid w:val="04074FB1"/>
    <w:rsid w:val="042A4779"/>
    <w:rsid w:val="04335DA6"/>
    <w:rsid w:val="044D6F13"/>
    <w:rsid w:val="045D1075"/>
    <w:rsid w:val="046441B2"/>
    <w:rsid w:val="047D34C5"/>
    <w:rsid w:val="048A1B3E"/>
    <w:rsid w:val="04A70F1E"/>
    <w:rsid w:val="04B30C95"/>
    <w:rsid w:val="04BE5FB8"/>
    <w:rsid w:val="04D05CEB"/>
    <w:rsid w:val="04DA26C6"/>
    <w:rsid w:val="04DA4474"/>
    <w:rsid w:val="04E13A54"/>
    <w:rsid w:val="04E142F5"/>
    <w:rsid w:val="04F217BD"/>
    <w:rsid w:val="04F96FF0"/>
    <w:rsid w:val="05241B93"/>
    <w:rsid w:val="05557F9E"/>
    <w:rsid w:val="05746676"/>
    <w:rsid w:val="05793C8D"/>
    <w:rsid w:val="05A76A4C"/>
    <w:rsid w:val="05B13426"/>
    <w:rsid w:val="05D47115"/>
    <w:rsid w:val="05DC421B"/>
    <w:rsid w:val="05E01F5E"/>
    <w:rsid w:val="05E57574"/>
    <w:rsid w:val="05E80E12"/>
    <w:rsid w:val="05F83EAE"/>
    <w:rsid w:val="061340E1"/>
    <w:rsid w:val="062B237E"/>
    <w:rsid w:val="063E7D85"/>
    <w:rsid w:val="065D710A"/>
    <w:rsid w:val="065F787C"/>
    <w:rsid w:val="066C559F"/>
    <w:rsid w:val="067735D0"/>
    <w:rsid w:val="067E16A1"/>
    <w:rsid w:val="06846D8D"/>
    <w:rsid w:val="06856661"/>
    <w:rsid w:val="068E5516"/>
    <w:rsid w:val="06976AC0"/>
    <w:rsid w:val="06A967F3"/>
    <w:rsid w:val="06AE7966"/>
    <w:rsid w:val="06B83C69"/>
    <w:rsid w:val="06BC02D5"/>
    <w:rsid w:val="06C929F2"/>
    <w:rsid w:val="06CE0008"/>
    <w:rsid w:val="07041C7C"/>
    <w:rsid w:val="0708176C"/>
    <w:rsid w:val="071A149F"/>
    <w:rsid w:val="071A4FFB"/>
    <w:rsid w:val="071B7B45"/>
    <w:rsid w:val="07293586"/>
    <w:rsid w:val="07295285"/>
    <w:rsid w:val="073C07C2"/>
    <w:rsid w:val="07480E14"/>
    <w:rsid w:val="07520C39"/>
    <w:rsid w:val="075A633F"/>
    <w:rsid w:val="07636392"/>
    <w:rsid w:val="076D7821"/>
    <w:rsid w:val="076E3F95"/>
    <w:rsid w:val="07770C56"/>
    <w:rsid w:val="077C5CB6"/>
    <w:rsid w:val="0788465B"/>
    <w:rsid w:val="079F3753"/>
    <w:rsid w:val="07B13BB2"/>
    <w:rsid w:val="07C05BA3"/>
    <w:rsid w:val="07C11DB2"/>
    <w:rsid w:val="07CF228A"/>
    <w:rsid w:val="07F25F78"/>
    <w:rsid w:val="082500FC"/>
    <w:rsid w:val="0831084F"/>
    <w:rsid w:val="084355C0"/>
    <w:rsid w:val="086A3D60"/>
    <w:rsid w:val="08A2799E"/>
    <w:rsid w:val="08B03E69"/>
    <w:rsid w:val="08B5322E"/>
    <w:rsid w:val="08DF474E"/>
    <w:rsid w:val="08E43B13"/>
    <w:rsid w:val="08E92ED7"/>
    <w:rsid w:val="09137F54"/>
    <w:rsid w:val="092217DD"/>
    <w:rsid w:val="09246605"/>
    <w:rsid w:val="09273A00"/>
    <w:rsid w:val="093A7294"/>
    <w:rsid w:val="0949606C"/>
    <w:rsid w:val="09510A7C"/>
    <w:rsid w:val="09722ECD"/>
    <w:rsid w:val="098D5F59"/>
    <w:rsid w:val="098D7D07"/>
    <w:rsid w:val="09944FAB"/>
    <w:rsid w:val="09AF5ECF"/>
    <w:rsid w:val="09FB55B8"/>
    <w:rsid w:val="0A0F4BBF"/>
    <w:rsid w:val="0A263993"/>
    <w:rsid w:val="0A2D3AC2"/>
    <w:rsid w:val="0A2F5262"/>
    <w:rsid w:val="0A3442AC"/>
    <w:rsid w:val="0A5B7E05"/>
    <w:rsid w:val="0A917CCA"/>
    <w:rsid w:val="0A9E7CF1"/>
    <w:rsid w:val="0AA755DF"/>
    <w:rsid w:val="0AB47515"/>
    <w:rsid w:val="0ABF0394"/>
    <w:rsid w:val="0ACD116E"/>
    <w:rsid w:val="0B043044"/>
    <w:rsid w:val="0B054875"/>
    <w:rsid w:val="0B095AB3"/>
    <w:rsid w:val="0B0B0334"/>
    <w:rsid w:val="0B120D44"/>
    <w:rsid w:val="0B177A72"/>
    <w:rsid w:val="0B2226D0"/>
    <w:rsid w:val="0B41349E"/>
    <w:rsid w:val="0B5C3E34"/>
    <w:rsid w:val="0B6A7431"/>
    <w:rsid w:val="0B6C7DF0"/>
    <w:rsid w:val="0B8A35FC"/>
    <w:rsid w:val="0BA13F3D"/>
    <w:rsid w:val="0BA17A99"/>
    <w:rsid w:val="0BAB6B6A"/>
    <w:rsid w:val="0BD25EA5"/>
    <w:rsid w:val="0BD27BF6"/>
    <w:rsid w:val="0BE36304"/>
    <w:rsid w:val="0C1741FF"/>
    <w:rsid w:val="0C175FAD"/>
    <w:rsid w:val="0C2030B4"/>
    <w:rsid w:val="0C2E0569"/>
    <w:rsid w:val="0C3B3C7D"/>
    <w:rsid w:val="0C676F35"/>
    <w:rsid w:val="0C915D60"/>
    <w:rsid w:val="0CAB2EAE"/>
    <w:rsid w:val="0CD7592C"/>
    <w:rsid w:val="0CD93263"/>
    <w:rsid w:val="0CEC743A"/>
    <w:rsid w:val="0CF63E15"/>
    <w:rsid w:val="0CFB25DD"/>
    <w:rsid w:val="0CFB374F"/>
    <w:rsid w:val="0D0E73B0"/>
    <w:rsid w:val="0D103128"/>
    <w:rsid w:val="0D1A3FA7"/>
    <w:rsid w:val="0D2153FA"/>
    <w:rsid w:val="0D224C0A"/>
    <w:rsid w:val="0D2546FA"/>
    <w:rsid w:val="0D5154EF"/>
    <w:rsid w:val="0D5B011C"/>
    <w:rsid w:val="0D5D20E6"/>
    <w:rsid w:val="0D621C7D"/>
    <w:rsid w:val="0D676AC1"/>
    <w:rsid w:val="0D7A67F4"/>
    <w:rsid w:val="0D815DD4"/>
    <w:rsid w:val="0D8D4779"/>
    <w:rsid w:val="0D9A5FD7"/>
    <w:rsid w:val="0D9A6E96"/>
    <w:rsid w:val="0DBE2B84"/>
    <w:rsid w:val="0DC319E8"/>
    <w:rsid w:val="0DC9777B"/>
    <w:rsid w:val="0DD8176C"/>
    <w:rsid w:val="0DE34399"/>
    <w:rsid w:val="0DEA202A"/>
    <w:rsid w:val="0DF84640"/>
    <w:rsid w:val="0DFA7935"/>
    <w:rsid w:val="0DFC7A6B"/>
    <w:rsid w:val="0E042561"/>
    <w:rsid w:val="0E39220B"/>
    <w:rsid w:val="0E3E1F17"/>
    <w:rsid w:val="0E6F3E7F"/>
    <w:rsid w:val="0E73034D"/>
    <w:rsid w:val="0E770F85"/>
    <w:rsid w:val="0E780F3B"/>
    <w:rsid w:val="0EBE4E06"/>
    <w:rsid w:val="0ED51CDE"/>
    <w:rsid w:val="0EDB59B8"/>
    <w:rsid w:val="0F024CF3"/>
    <w:rsid w:val="0F13775A"/>
    <w:rsid w:val="0F2F1860"/>
    <w:rsid w:val="0F331350"/>
    <w:rsid w:val="0F3550C8"/>
    <w:rsid w:val="0F3A26DF"/>
    <w:rsid w:val="0F4470B9"/>
    <w:rsid w:val="0F476BAA"/>
    <w:rsid w:val="0F4E7F38"/>
    <w:rsid w:val="0F5F45FE"/>
    <w:rsid w:val="0F694D72"/>
    <w:rsid w:val="0F8B55F9"/>
    <w:rsid w:val="0F9A112B"/>
    <w:rsid w:val="0FB0474F"/>
    <w:rsid w:val="0FC1070A"/>
    <w:rsid w:val="0FD66517"/>
    <w:rsid w:val="0FFC3E38"/>
    <w:rsid w:val="100D7DF3"/>
    <w:rsid w:val="10262C63"/>
    <w:rsid w:val="10282537"/>
    <w:rsid w:val="102962AF"/>
    <w:rsid w:val="10392996"/>
    <w:rsid w:val="104650B3"/>
    <w:rsid w:val="10484987"/>
    <w:rsid w:val="106D1FAD"/>
    <w:rsid w:val="106D2F64"/>
    <w:rsid w:val="108160EB"/>
    <w:rsid w:val="10B63710"/>
    <w:rsid w:val="10C06C14"/>
    <w:rsid w:val="10DE52EC"/>
    <w:rsid w:val="10F10820"/>
    <w:rsid w:val="110034B4"/>
    <w:rsid w:val="111C2F7A"/>
    <w:rsid w:val="11335637"/>
    <w:rsid w:val="11390EDF"/>
    <w:rsid w:val="11637D55"/>
    <w:rsid w:val="11665CA1"/>
    <w:rsid w:val="11886A44"/>
    <w:rsid w:val="11B53C3B"/>
    <w:rsid w:val="11B61DC5"/>
    <w:rsid w:val="11D54941"/>
    <w:rsid w:val="11E64458"/>
    <w:rsid w:val="11EB5770"/>
    <w:rsid w:val="11FD79F3"/>
    <w:rsid w:val="122B630F"/>
    <w:rsid w:val="12577104"/>
    <w:rsid w:val="12601D9F"/>
    <w:rsid w:val="12681311"/>
    <w:rsid w:val="12751C80"/>
    <w:rsid w:val="12AF5192"/>
    <w:rsid w:val="12BB3B36"/>
    <w:rsid w:val="12BC165D"/>
    <w:rsid w:val="12CD27E6"/>
    <w:rsid w:val="12D469A6"/>
    <w:rsid w:val="12E070F9"/>
    <w:rsid w:val="12EA61CA"/>
    <w:rsid w:val="12F170F1"/>
    <w:rsid w:val="12FE7EC7"/>
    <w:rsid w:val="1300779B"/>
    <w:rsid w:val="13107904"/>
    <w:rsid w:val="13425A1A"/>
    <w:rsid w:val="13541895"/>
    <w:rsid w:val="136715C8"/>
    <w:rsid w:val="1382549E"/>
    <w:rsid w:val="13951726"/>
    <w:rsid w:val="139B74C4"/>
    <w:rsid w:val="13AB6AB5"/>
    <w:rsid w:val="13BC5DB8"/>
    <w:rsid w:val="13D44784"/>
    <w:rsid w:val="13DA623E"/>
    <w:rsid w:val="13F13588"/>
    <w:rsid w:val="141D612B"/>
    <w:rsid w:val="142B6A9A"/>
    <w:rsid w:val="14396509"/>
    <w:rsid w:val="143B7FF8"/>
    <w:rsid w:val="143F2545"/>
    <w:rsid w:val="144A69ED"/>
    <w:rsid w:val="14542808"/>
    <w:rsid w:val="14634486"/>
    <w:rsid w:val="146D07AF"/>
    <w:rsid w:val="14B0380B"/>
    <w:rsid w:val="14B22C98"/>
    <w:rsid w:val="14B24AC5"/>
    <w:rsid w:val="14C36CD2"/>
    <w:rsid w:val="14D03C1D"/>
    <w:rsid w:val="14DD2C3C"/>
    <w:rsid w:val="14EC447B"/>
    <w:rsid w:val="14ED3166"/>
    <w:rsid w:val="15033573"/>
    <w:rsid w:val="152D6842"/>
    <w:rsid w:val="153D4CD7"/>
    <w:rsid w:val="155B515D"/>
    <w:rsid w:val="156A1844"/>
    <w:rsid w:val="156C45A2"/>
    <w:rsid w:val="159D7523"/>
    <w:rsid w:val="15A00DC2"/>
    <w:rsid w:val="15C3168C"/>
    <w:rsid w:val="15C90318"/>
    <w:rsid w:val="15DD5B72"/>
    <w:rsid w:val="16070E41"/>
    <w:rsid w:val="16087E1D"/>
    <w:rsid w:val="162B2D81"/>
    <w:rsid w:val="16421E79"/>
    <w:rsid w:val="16465E0D"/>
    <w:rsid w:val="16551BAC"/>
    <w:rsid w:val="165D6CB3"/>
    <w:rsid w:val="167C182F"/>
    <w:rsid w:val="16810BF3"/>
    <w:rsid w:val="16A01784"/>
    <w:rsid w:val="16A50D85"/>
    <w:rsid w:val="16BA4105"/>
    <w:rsid w:val="16C46D32"/>
    <w:rsid w:val="16EB0762"/>
    <w:rsid w:val="16FE0496"/>
    <w:rsid w:val="17103D25"/>
    <w:rsid w:val="17442587"/>
    <w:rsid w:val="17487963"/>
    <w:rsid w:val="174C7453"/>
    <w:rsid w:val="174F105B"/>
    <w:rsid w:val="174F6F43"/>
    <w:rsid w:val="175C6F6A"/>
    <w:rsid w:val="17701D14"/>
    <w:rsid w:val="17735226"/>
    <w:rsid w:val="178274C4"/>
    <w:rsid w:val="17936E30"/>
    <w:rsid w:val="17A80401"/>
    <w:rsid w:val="17D15BAA"/>
    <w:rsid w:val="17D2722C"/>
    <w:rsid w:val="17D631C0"/>
    <w:rsid w:val="17DE3E23"/>
    <w:rsid w:val="17E841F0"/>
    <w:rsid w:val="17E85B8D"/>
    <w:rsid w:val="17F72ACD"/>
    <w:rsid w:val="17F90C5D"/>
    <w:rsid w:val="17FD699F"/>
    <w:rsid w:val="1800023D"/>
    <w:rsid w:val="181C0704"/>
    <w:rsid w:val="183A54FD"/>
    <w:rsid w:val="185B5474"/>
    <w:rsid w:val="185D2F9A"/>
    <w:rsid w:val="18602A8A"/>
    <w:rsid w:val="187D53EA"/>
    <w:rsid w:val="18846779"/>
    <w:rsid w:val="189D783A"/>
    <w:rsid w:val="189F624C"/>
    <w:rsid w:val="18A230A3"/>
    <w:rsid w:val="18A961DF"/>
    <w:rsid w:val="18AC1E92"/>
    <w:rsid w:val="18DC65B5"/>
    <w:rsid w:val="192817FA"/>
    <w:rsid w:val="194F6D87"/>
    <w:rsid w:val="19650358"/>
    <w:rsid w:val="19866520"/>
    <w:rsid w:val="19A540AB"/>
    <w:rsid w:val="19AD1CFF"/>
    <w:rsid w:val="19B60BB4"/>
    <w:rsid w:val="19CD180A"/>
    <w:rsid w:val="19D454DE"/>
    <w:rsid w:val="19D76D7C"/>
    <w:rsid w:val="19D9020B"/>
    <w:rsid w:val="19DA2643"/>
    <w:rsid w:val="1A0062D3"/>
    <w:rsid w:val="1A1C66C0"/>
    <w:rsid w:val="1A264B75"/>
    <w:rsid w:val="1A42393B"/>
    <w:rsid w:val="1A516B2E"/>
    <w:rsid w:val="1A604FC3"/>
    <w:rsid w:val="1A734CF7"/>
    <w:rsid w:val="1A7D7923"/>
    <w:rsid w:val="1AA77875"/>
    <w:rsid w:val="1AAD45DE"/>
    <w:rsid w:val="1ABF1CEA"/>
    <w:rsid w:val="1AE15926"/>
    <w:rsid w:val="1B046F80"/>
    <w:rsid w:val="1B102545"/>
    <w:rsid w:val="1B267FBB"/>
    <w:rsid w:val="1B302BE8"/>
    <w:rsid w:val="1B304996"/>
    <w:rsid w:val="1B3267B5"/>
    <w:rsid w:val="1B40161D"/>
    <w:rsid w:val="1B441859"/>
    <w:rsid w:val="1B540633"/>
    <w:rsid w:val="1B6603B7"/>
    <w:rsid w:val="1B6606B1"/>
    <w:rsid w:val="1B6B2773"/>
    <w:rsid w:val="1B726EB7"/>
    <w:rsid w:val="1B8847D2"/>
    <w:rsid w:val="1B99078D"/>
    <w:rsid w:val="1BB13D28"/>
    <w:rsid w:val="1BB90E2F"/>
    <w:rsid w:val="1C0449E5"/>
    <w:rsid w:val="1C297D63"/>
    <w:rsid w:val="1C301DCD"/>
    <w:rsid w:val="1C382C4E"/>
    <w:rsid w:val="1C5E7925"/>
    <w:rsid w:val="1C7107ED"/>
    <w:rsid w:val="1C715266"/>
    <w:rsid w:val="1CA23671"/>
    <w:rsid w:val="1CB55FC3"/>
    <w:rsid w:val="1CBF06C7"/>
    <w:rsid w:val="1CC63804"/>
    <w:rsid w:val="1CCD78AA"/>
    <w:rsid w:val="1CFD070F"/>
    <w:rsid w:val="1D243F51"/>
    <w:rsid w:val="1D2B18B9"/>
    <w:rsid w:val="1D383FD6"/>
    <w:rsid w:val="1D4330A6"/>
    <w:rsid w:val="1D4B3D09"/>
    <w:rsid w:val="1D4E41A0"/>
    <w:rsid w:val="1D5F6196"/>
    <w:rsid w:val="1D6132A5"/>
    <w:rsid w:val="1D686669"/>
    <w:rsid w:val="1D81772B"/>
    <w:rsid w:val="1D8E56D5"/>
    <w:rsid w:val="1DA7108B"/>
    <w:rsid w:val="1DBA355C"/>
    <w:rsid w:val="1DBE097F"/>
    <w:rsid w:val="1DC00253"/>
    <w:rsid w:val="1DC046F7"/>
    <w:rsid w:val="1DC15D79"/>
    <w:rsid w:val="1DDC686B"/>
    <w:rsid w:val="1E0A5972"/>
    <w:rsid w:val="1E0A7720"/>
    <w:rsid w:val="1E107C03"/>
    <w:rsid w:val="1E162F83"/>
    <w:rsid w:val="1E1B192D"/>
    <w:rsid w:val="1E1B7B7F"/>
    <w:rsid w:val="1E3649B9"/>
    <w:rsid w:val="1E6A6411"/>
    <w:rsid w:val="1E707ECB"/>
    <w:rsid w:val="1E7352C5"/>
    <w:rsid w:val="1E7A43DA"/>
    <w:rsid w:val="1E7B061E"/>
    <w:rsid w:val="1E7D3C90"/>
    <w:rsid w:val="1E815887"/>
    <w:rsid w:val="1E8369C8"/>
    <w:rsid w:val="1E9B0CC0"/>
    <w:rsid w:val="1EA14894"/>
    <w:rsid w:val="1EA638ED"/>
    <w:rsid w:val="1EAA2CB1"/>
    <w:rsid w:val="1EB61656"/>
    <w:rsid w:val="1EB83300"/>
    <w:rsid w:val="1EBD29E4"/>
    <w:rsid w:val="1EDB2E6A"/>
    <w:rsid w:val="1EE12B77"/>
    <w:rsid w:val="1F0B6D2A"/>
    <w:rsid w:val="1F247119"/>
    <w:rsid w:val="1F3F5AEF"/>
    <w:rsid w:val="1FA47700"/>
    <w:rsid w:val="1FA92F69"/>
    <w:rsid w:val="1FBB33C8"/>
    <w:rsid w:val="1FCD4EA9"/>
    <w:rsid w:val="1FE30229"/>
    <w:rsid w:val="1FE7539E"/>
    <w:rsid w:val="200759F0"/>
    <w:rsid w:val="200F101E"/>
    <w:rsid w:val="20120B0E"/>
    <w:rsid w:val="202251F5"/>
    <w:rsid w:val="20262FFD"/>
    <w:rsid w:val="20270A5D"/>
    <w:rsid w:val="20427645"/>
    <w:rsid w:val="20457135"/>
    <w:rsid w:val="204D1B46"/>
    <w:rsid w:val="20670E5A"/>
    <w:rsid w:val="20671BE0"/>
    <w:rsid w:val="20762583"/>
    <w:rsid w:val="20823EE5"/>
    <w:rsid w:val="208C08C0"/>
    <w:rsid w:val="20943C19"/>
    <w:rsid w:val="20963CB8"/>
    <w:rsid w:val="20A81A1B"/>
    <w:rsid w:val="20B07FB6"/>
    <w:rsid w:val="20B3409F"/>
    <w:rsid w:val="20B646FB"/>
    <w:rsid w:val="20B87907"/>
    <w:rsid w:val="20C242E2"/>
    <w:rsid w:val="20D81D57"/>
    <w:rsid w:val="20D83B05"/>
    <w:rsid w:val="2119066A"/>
    <w:rsid w:val="21313E12"/>
    <w:rsid w:val="213435D0"/>
    <w:rsid w:val="213B74B1"/>
    <w:rsid w:val="214B3387"/>
    <w:rsid w:val="214C004F"/>
    <w:rsid w:val="21575C29"/>
    <w:rsid w:val="21582E98"/>
    <w:rsid w:val="215A2310"/>
    <w:rsid w:val="21657C15"/>
    <w:rsid w:val="21701F90"/>
    <w:rsid w:val="21837F15"/>
    <w:rsid w:val="2193671F"/>
    <w:rsid w:val="21B93937"/>
    <w:rsid w:val="21BC592B"/>
    <w:rsid w:val="21C276D6"/>
    <w:rsid w:val="21CF4F08"/>
    <w:rsid w:val="21D90809"/>
    <w:rsid w:val="21DE318A"/>
    <w:rsid w:val="21E5472C"/>
    <w:rsid w:val="21EF55AB"/>
    <w:rsid w:val="21EF5B80"/>
    <w:rsid w:val="22053E70"/>
    <w:rsid w:val="22167F23"/>
    <w:rsid w:val="223D5FE2"/>
    <w:rsid w:val="22513B6F"/>
    <w:rsid w:val="22576990"/>
    <w:rsid w:val="225B2C40"/>
    <w:rsid w:val="2265586D"/>
    <w:rsid w:val="22673393"/>
    <w:rsid w:val="228D26CE"/>
    <w:rsid w:val="22AC349C"/>
    <w:rsid w:val="22BA3A2B"/>
    <w:rsid w:val="22DE333F"/>
    <w:rsid w:val="22F47480"/>
    <w:rsid w:val="22FB1D2D"/>
    <w:rsid w:val="230706D2"/>
    <w:rsid w:val="2335523F"/>
    <w:rsid w:val="23386ADD"/>
    <w:rsid w:val="234611FA"/>
    <w:rsid w:val="23775858"/>
    <w:rsid w:val="23897339"/>
    <w:rsid w:val="238D7665"/>
    <w:rsid w:val="23AE763F"/>
    <w:rsid w:val="23D305B4"/>
    <w:rsid w:val="23DE1C48"/>
    <w:rsid w:val="23FC7B0B"/>
    <w:rsid w:val="24014B04"/>
    <w:rsid w:val="240210CD"/>
    <w:rsid w:val="24030C99"/>
    <w:rsid w:val="24156E1F"/>
    <w:rsid w:val="243948BB"/>
    <w:rsid w:val="243A0FCD"/>
    <w:rsid w:val="2452597D"/>
    <w:rsid w:val="24572F93"/>
    <w:rsid w:val="245C4A4D"/>
    <w:rsid w:val="24732D7A"/>
    <w:rsid w:val="247F624D"/>
    <w:rsid w:val="24973CD7"/>
    <w:rsid w:val="24B44889"/>
    <w:rsid w:val="24BF09F7"/>
    <w:rsid w:val="24CC572F"/>
    <w:rsid w:val="24E94533"/>
    <w:rsid w:val="24EE7D9B"/>
    <w:rsid w:val="24F353B2"/>
    <w:rsid w:val="25037925"/>
    <w:rsid w:val="250A26FB"/>
    <w:rsid w:val="251F7F55"/>
    <w:rsid w:val="25201F1F"/>
    <w:rsid w:val="252D53FE"/>
    <w:rsid w:val="253A0D6D"/>
    <w:rsid w:val="253D662D"/>
    <w:rsid w:val="25493224"/>
    <w:rsid w:val="25565941"/>
    <w:rsid w:val="255E0351"/>
    <w:rsid w:val="256242E5"/>
    <w:rsid w:val="25637F0D"/>
    <w:rsid w:val="25657932"/>
    <w:rsid w:val="256A4F48"/>
    <w:rsid w:val="2572277A"/>
    <w:rsid w:val="258C3110"/>
    <w:rsid w:val="2599570A"/>
    <w:rsid w:val="259F1096"/>
    <w:rsid w:val="25A466AC"/>
    <w:rsid w:val="25A920F9"/>
    <w:rsid w:val="25B52667"/>
    <w:rsid w:val="25BC39F6"/>
    <w:rsid w:val="25BD776E"/>
    <w:rsid w:val="25E140B7"/>
    <w:rsid w:val="25E44CFA"/>
    <w:rsid w:val="25EC2D81"/>
    <w:rsid w:val="2604714B"/>
    <w:rsid w:val="261C6242"/>
    <w:rsid w:val="262B2929"/>
    <w:rsid w:val="262E5F76"/>
    <w:rsid w:val="26354676"/>
    <w:rsid w:val="26395046"/>
    <w:rsid w:val="263E440B"/>
    <w:rsid w:val="264D464E"/>
    <w:rsid w:val="26551754"/>
    <w:rsid w:val="265F3B5E"/>
    <w:rsid w:val="266A3452"/>
    <w:rsid w:val="267D7507"/>
    <w:rsid w:val="268B33C8"/>
    <w:rsid w:val="269A74DB"/>
    <w:rsid w:val="26C012C4"/>
    <w:rsid w:val="26CA3EF0"/>
    <w:rsid w:val="26E66850"/>
    <w:rsid w:val="26EA27E4"/>
    <w:rsid w:val="26F1147D"/>
    <w:rsid w:val="27191F7D"/>
    <w:rsid w:val="272950BB"/>
    <w:rsid w:val="273D46C2"/>
    <w:rsid w:val="275B0FEC"/>
    <w:rsid w:val="276A7481"/>
    <w:rsid w:val="277057A2"/>
    <w:rsid w:val="27930786"/>
    <w:rsid w:val="27AC3442"/>
    <w:rsid w:val="27D25752"/>
    <w:rsid w:val="28137B19"/>
    <w:rsid w:val="282801A3"/>
    <w:rsid w:val="28577A06"/>
    <w:rsid w:val="28672762"/>
    <w:rsid w:val="286A598B"/>
    <w:rsid w:val="287F6F5C"/>
    <w:rsid w:val="288401B6"/>
    <w:rsid w:val="28904CC6"/>
    <w:rsid w:val="28926C90"/>
    <w:rsid w:val="289742A6"/>
    <w:rsid w:val="289B1FE8"/>
    <w:rsid w:val="289C366A"/>
    <w:rsid w:val="28DF17A9"/>
    <w:rsid w:val="28E026ED"/>
    <w:rsid w:val="28E03E9F"/>
    <w:rsid w:val="2916341D"/>
    <w:rsid w:val="29206EB8"/>
    <w:rsid w:val="292426B6"/>
    <w:rsid w:val="29542197"/>
    <w:rsid w:val="29595666"/>
    <w:rsid w:val="2964062C"/>
    <w:rsid w:val="2964687E"/>
    <w:rsid w:val="29713987"/>
    <w:rsid w:val="29874881"/>
    <w:rsid w:val="29934A6D"/>
    <w:rsid w:val="29A46C7B"/>
    <w:rsid w:val="29AF73CD"/>
    <w:rsid w:val="29D82DC8"/>
    <w:rsid w:val="29D86924"/>
    <w:rsid w:val="29E11C7D"/>
    <w:rsid w:val="29E325E0"/>
    <w:rsid w:val="29EE56E7"/>
    <w:rsid w:val="2A0616E3"/>
    <w:rsid w:val="2A0E67EA"/>
    <w:rsid w:val="2A3A313B"/>
    <w:rsid w:val="2A452503"/>
    <w:rsid w:val="2A622692"/>
    <w:rsid w:val="2A73489F"/>
    <w:rsid w:val="2A77438F"/>
    <w:rsid w:val="2A834AE2"/>
    <w:rsid w:val="2A842608"/>
    <w:rsid w:val="2A8645D2"/>
    <w:rsid w:val="2ABC1DA2"/>
    <w:rsid w:val="2AD0584D"/>
    <w:rsid w:val="2AD76BDC"/>
    <w:rsid w:val="2ADE429D"/>
    <w:rsid w:val="2AEF3F25"/>
    <w:rsid w:val="2AFE060C"/>
    <w:rsid w:val="2B035C23"/>
    <w:rsid w:val="2B1B4A5A"/>
    <w:rsid w:val="2B2F6A18"/>
    <w:rsid w:val="2B3D7387"/>
    <w:rsid w:val="2B481888"/>
    <w:rsid w:val="2B512E32"/>
    <w:rsid w:val="2B595843"/>
    <w:rsid w:val="2B7B16EA"/>
    <w:rsid w:val="2B85488A"/>
    <w:rsid w:val="2BA50A88"/>
    <w:rsid w:val="2BA936A8"/>
    <w:rsid w:val="2BC41856"/>
    <w:rsid w:val="2BC929C8"/>
    <w:rsid w:val="2BCF4209"/>
    <w:rsid w:val="2BE05F64"/>
    <w:rsid w:val="2BE27F2E"/>
    <w:rsid w:val="2BEF61A7"/>
    <w:rsid w:val="2C0B2FE1"/>
    <w:rsid w:val="2C0E487F"/>
    <w:rsid w:val="2C315A5A"/>
    <w:rsid w:val="2C387B4E"/>
    <w:rsid w:val="2C3D5164"/>
    <w:rsid w:val="2C477D91"/>
    <w:rsid w:val="2C4B1C25"/>
    <w:rsid w:val="2C752B50"/>
    <w:rsid w:val="2C7F3EBF"/>
    <w:rsid w:val="2C8608B9"/>
    <w:rsid w:val="2CC21DBC"/>
    <w:rsid w:val="2CD77367"/>
    <w:rsid w:val="2CD86C3B"/>
    <w:rsid w:val="2D2B320F"/>
    <w:rsid w:val="2D345718"/>
    <w:rsid w:val="2D404F0C"/>
    <w:rsid w:val="2D4976E5"/>
    <w:rsid w:val="2D517119"/>
    <w:rsid w:val="2D6230D5"/>
    <w:rsid w:val="2D7C0853"/>
    <w:rsid w:val="2D880661"/>
    <w:rsid w:val="2D8D3ECA"/>
    <w:rsid w:val="2D9E56F5"/>
    <w:rsid w:val="2DAA41AE"/>
    <w:rsid w:val="2DCD42C6"/>
    <w:rsid w:val="2DD218DC"/>
    <w:rsid w:val="2DFB7085"/>
    <w:rsid w:val="2E1A3E9F"/>
    <w:rsid w:val="2E1F2D74"/>
    <w:rsid w:val="2E24038A"/>
    <w:rsid w:val="2E262354"/>
    <w:rsid w:val="2E33681F"/>
    <w:rsid w:val="2E3600BD"/>
    <w:rsid w:val="2E5C113F"/>
    <w:rsid w:val="2E667F96"/>
    <w:rsid w:val="2E755089"/>
    <w:rsid w:val="2E793C56"/>
    <w:rsid w:val="2E8226AB"/>
    <w:rsid w:val="2EA119DB"/>
    <w:rsid w:val="2EDF69A7"/>
    <w:rsid w:val="2EED2E72"/>
    <w:rsid w:val="2F067A90"/>
    <w:rsid w:val="2F0F2DE8"/>
    <w:rsid w:val="2F2A24B4"/>
    <w:rsid w:val="2F7366F2"/>
    <w:rsid w:val="2F950C4B"/>
    <w:rsid w:val="2FA33530"/>
    <w:rsid w:val="2FA63021"/>
    <w:rsid w:val="2FAC4ADB"/>
    <w:rsid w:val="2FB35E69"/>
    <w:rsid w:val="2FD065E6"/>
    <w:rsid w:val="2FD513A6"/>
    <w:rsid w:val="2FD656B4"/>
    <w:rsid w:val="2FD96870"/>
    <w:rsid w:val="2FDB53C0"/>
    <w:rsid w:val="2FEC1210"/>
    <w:rsid w:val="30274161"/>
    <w:rsid w:val="30580BC9"/>
    <w:rsid w:val="3058165E"/>
    <w:rsid w:val="306929CC"/>
    <w:rsid w:val="307D3857"/>
    <w:rsid w:val="308C0468"/>
    <w:rsid w:val="30913CD1"/>
    <w:rsid w:val="30C3310C"/>
    <w:rsid w:val="30C96FC7"/>
    <w:rsid w:val="30D065A7"/>
    <w:rsid w:val="30E42053"/>
    <w:rsid w:val="30EB1633"/>
    <w:rsid w:val="30F74D2A"/>
    <w:rsid w:val="31102E48"/>
    <w:rsid w:val="311E2ED7"/>
    <w:rsid w:val="314D7BF8"/>
    <w:rsid w:val="315619EE"/>
    <w:rsid w:val="315C449C"/>
    <w:rsid w:val="31701B38"/>
    <w:rsid w:val="31772EC7"/>
    <w:rsid w:val="31996A45"/>
    <w:rsid w:val="31A041CB"/>
    <w:rsid w:val="31B82709"/>
    <w:rsid w:val="31D05482"/>
    <w:rsid w:val="31E21AC1"/>
    <w:rsid w:val="31E7004C"/>
    <w:rsid w:val="31EC4555"/>
    <w:rsid w:val="321C2E06"/>
    <w:rsid w:val="32274EF5"/>
    <w:rsid w:val="32382656"/>
    <w:rsid w:val="32400B34"/>
    <w:rsid w:val="324F5BF1"/>
    <w:rsid w:val="32544FB6"/>
    <w:rsid w:val="327E7BFA"/>
    <w:rsid w:val="329E6876"/>
    <w:rsid w:val="32A84668"/>
    <w:rsid w:val="32AE0B6A"/>
    <w:rsid w:val="32DD144F"/>
    <w:rsid w:val="32F12805"/>
    <w:rsid w:val="331362FA"/>
    <w:rsid w:val="331C3D26"/>
    <w:rsid w:val="33274478"/>
    <w:rsid w:val="332D7CE1"/>
    <w:rsid w:val="333015F2"/>
    <w:rsid w:val="333170A5"/>
    <w:rsid w:val="3341378C"/>
    <w:rsid w:val="334B6320"/>
    <w:rsid w:val="334D3AF2"/>
    <w:rsid w:val="33792F26"/>
    <w:rsid w:val="338465E9"/>
    <w:rsid w:val="33925D96"/>
    <w:rsid w:val="33A31A67"/>
    <w:rsid w:val="33B45D0C"/>
    <w:rsid w:val="33D934D4"/>
    <w:rsid w:val="33F22CD8"/>
    <w:rsid w:val="33F46A50"/>
    <w:rsid w:val="33F702EF"/>
    <w:rsid w:val="33FE2F6A"/>
    <w:rsid w:val="34030A42"/>
    <w:rsid w:val="340E07E5"/>
    <w:rsid w:val="34235BF7"/>
    <w:rsid w:val="344A6670"/>
    <w:rsid w:val="34527549"/>
    <w:rsid w:val="349124F1"/>
    <w:rsid w:val="349A75F8"/>
    <w:rsid w:val="349D2C44"/>
    <w:rsid w:val="349D49F2"/>
    <w:rsid w:val="34A43FD3"/>
    <w:rsid w:val="34B1049E"/>
    <w:rsid w:val="34B468E5"/>
    <w:rsid w:val="34B956E5"/>
    <w:rsid w:val="34D16D92"/>
    <w:rsid w:val="34E16FD5"/>
    <w:rsid w:val="350902DA"/>
    <w:rsid w:val="3518051D"/>
    <w:rsid w:val="35245113"/>
    <w:rsid w:val="35337105"/>
    <w:rsid w:val="35494B7A"/>
    <w:rsid w:val="35540E6C"/>
    <w:rsid w:val="355C665B"/>
    <w:rsid w:val="356674DA"/>
    <w:rsid w:val="35847960"/>
    <w:rsid w:val="358833D3"/>
    <w:rsid w:val="358C5FA8"/>
    <w:rsid w:val="358D2CB9"/>
    <w:rsid w:val="359978AF"/>
    <w:rsid w:val="35B21124"/>
    <w:rsid w:val="35C12962"/>
    <w:rsid w:val="35C15DF1"/>
    <w:rsid w:val="35C506A4"/>
    <w:rsid w:val="35E14B40"/>
    <w:rsid w:val="35EF3C35"/>
    <w:rsid w:val="36074A7F"/>
    <w:rsid w:val="36140CE4"/>
    <w:rsid w:val="3618168A"/>
    <w:rsid w:val="36307C8E"/>
    <w:rsid w:val="365437D6"/>
    <w:rsid w:val="36545584"/>
    <w:rsid w:val="365B2DB7"/>
    <w:rsid w:val="365D3F21"/>
    <w:rsid w:val="366A124C"/>
    <w:rsid w:val="36743E79"/>
    <w:rsid w:val="368C11C2"/>
    <w:rsid w:val="36923549"/>
    <w:rsid w:val="369465A8"/>
    <w:rsid w:val="36963DEF"/>
    <w:rsid w:val="369C23EC"/>
    <w:rsid w:val="36A06E8D"/>
    <w:rsid w:val="36B14785"/>
    <w:rsid w:val="36B75FBF"/>
    <w:rsid w:val="36BD0C45"/>
    <w:rsid w:val="36D87F64"/>
    <w:rsid w:val="36DA1F2E"/>
    <w:rsid w:val="374750E9"/>
    <w:rsid w:val="3748158D"/>
    <w:rsid w:val="377F0D27"/>
    <w:rsid w:val="378347EE"/>
    <w:rsid w:val="37A204F4"/>
    <w:rsid w:val="37A36E6E"/>
    <w:rsid w:val="37B22EAA"/>
    <w:rsid w:val="37C52BDE"/>
    <w:rsid w:val="37CE75B8"/>
    <w:rsid w:val="37DF1ACB"/>
    <w:rsid w:val="37E00298"/>
    <w:rsid w:val="38042FDA"/>
    <w:rsid w:val="381256F7"/>
    <w:rsid w:val="382677D9"/>
    <w:rsid w:val="383B2EA0"/>
    <w:rsid w:val="386341A5"/>
    <w:rsid w:val="38836992"/>
    <w:rsid w:val="3894435E"/>
    <w:rsid w:val="38A472A8"/>
    <w:rsid w:val="38B302F9"/>
    <w:rsid w:val="38B7004D"/>
    <w:rsid w:val="38B95B73"/>
    <w:rsid w:val="38E36089"/>
    <w:rsid w:val="38F12CD3"/>
    <w:rsid w:val="38F35529"/>
    <w:rsid w:val="38F44DFD"/>
    <w:rsid w:val="38F80D91"/>
    <w:rsid w:val="38F94775"/>
    <w:rsid w:val="39231172"/>
    <w:rsid w:val="39237490"/>
    <w:rsid w:val="392971ED"/>
    <w:rsid w:val="392C27E9"/>
    <w:rsid w:val="39325651"/>
    <w:rsid w:val="393D1902"/>
    <w:rsid w:val="39513FFD"/>
    <w:rsid w:val="395D0BF4"/>
    <w:rsid w:val="397B107A"/>
    <w:rsid w:val="399E5083"/>
    <w:rsid w:val="39CD1864"/>
    <w:rsid w:val="39E906DA"/>
    <w:rsid w:val="39F72DF7"/>
    <w:rsid w:val="3A3333ED"/>
    <w:rsid w:val="3A3A0F35"/>
    <w:rsid w:val="3A654204"/>
    <w:rsid w:val="3A6E179E"/>
    <w:rsid w:val="3A872856"/>
    <w:rsid w:val="3A8C64EC"/>
    <w:rsid w:val="3ABD5DEE"/>
    <w:rsid w:val="3ABE3914"/>
    <w:rsid w:val="3AD7041F"/>
    <w:rsid w:val="3AEA64B7"/>
    <w:rsid w:val="3AED5FA8"/>
    <w:rsid w:val="3B134CE5"/>
    <w:rsid w:val="3B1874C8"/>
    <w:rsid w:val="3B2A2D58"/>
    <w:rsid w:val="3B3763D1"/>
    <w:rsid w:val="3B3B31B7"/>
    <w:rsid w:val="3B4756B8"/>
    <w:rsid w:val="3B4B164C"/>
    <w:rsid w:val="3B554279"/>
    <w:rsid w:val="3B620744"/>
    <w:rsid w:val="3B787F67"/>
    <w:rsid w:val="3B903503"/>
    <w:rsid w:val="3BA23236"/>
    <w:rsid w:val="3BAB20EB"/>
    <w:rsid w:val="3BAB3E99"/>
    <w:rsid w:val="3BB16FD5"/>
    <w:rsid w:val="3BE13D5E"/>
    <w:rsid w:val="3BE41159"/>
    <w:rsid w:val="3BE70C49"/>
    <w:rsid w:val="3BEC4ABF"/>
    <w:rsid w:val="3C08753D"/>
    <w:rsid w:val="3C2F6E1E"/>
    <w:rsid w:val="3C355E58"/>
    <w:rsid w:val="3C3E2F5F"/>
    <w:rsid w:val="3C4147FD"/>
    <w:rsid w:val="3C4F64BA"/>
    <w:rsid w:val="3C541247"/>
    <w:rsid w:val="3C553E04"/>
    <w:rsid w:val="3C575DCE"/>
    <w:rsid w:val="3C616C4D"/>
    <w:rsid w:val="3C9963E7"/>
    <w:rsid w:val="3CA21BA3"/>
    <w:rsid w:val="3CBC3E83"/>
    <w:rsid w:val="3CCD7E3F"/>
    <w:rsid w:val="3CDA245A"/>
    <w:rsid w:val="3CDE3DFA"/>
    <w:rsid w:val="3CFC24D2"/>
    <w:rsid w:val="3D000214"/>
    <w:rsid w:val="3D1E06B7"/>
    <w:rsid w:val="3D3E0D3C"/>
    <w:rsid w:val="3D4225DB"/>
    <w:rsid w:val="3D51281E"/>
    <w:rsid w:val="3D5440BC"/>
    <w:rsid w:val="3D567E34"/>
    <w:rsid w:val="3D5D5666"/>
    <w:rsid w:val="3D622C7D"/>
    <w:rsid w:val="3DC94AAA"/>
    <w:rsid w:val="3DDB658B"/>
    <w:rsid w:val="3DDD2303"/>
    <w:rsid w:val="3DDF607B"/>
    <w:rsid w:val="3DF03B89"/>
    <w:rsid w:val="3E045AE2"/>
    <w:rsid w:val="3E0C2BE9"/>
    <w:rsid w:val="3E18158D"/>
    <w:rsid w:val="3E265A58"/>
    <w:rsid w:val="3E523866"/>
    <w:rsid w:val="3E594080"/>
    <w:rsid w:val="3E9A01F4"/>
    <w:rsid w:val="3EC139D3"/>
    <w:rsid w:val="3EDA0523"/>
    <w:rsid w:val="3EE15E23"/>
    <w:rsid w:val="3EE871B2"/>
    <w:rsid w:val="3EED2A1A"/>
    <w:rsid w:val="3F220916"/>
    <w:rsid w:val="3F2226C4"/>
    <w:rsid w:val="3F3C12AC"/>
    <w:rsid w:val="3F3F70D6"/>
    <w:rsid w:val="3F4343E8"/>
    <w:rsid w:val="3F4940F4"/>
    <w:rsid w:val="3F5B3554"/>
    <w:rsid w:val="3F615F5F"/>
    <w:rsid w:val="3FBB48C6"/>
    <w:rsid w:val="3FC217B1"/>
    <w:rsid w:val="3FD020C9"/>
    <w:rsid w:val="3FD57736"/>
    <w:rsid w:val="3FD7368D"/>
    <w:rsid w:val="3FF75270"/>
    <w:rsid w:val="40224945"/>
    <w:rsid w:val="4024246B"/>
    <w:rsid w:val="40414DCB"/>
    <w:rsid w:val="404E74E8"/>
    <w:rsid w:val="40632F94"/>
    <w:rsid w:val="40786313"/>
    <w:rsid w:val="407A6407"/>
    <w:rsid w:val="408A1289"/>
    <w:rsid w:val="40C17CBA"/>
    <w:rsid w:val="40D774DE"/>
    <w:rsid w:val="40DA709C"/>
    <w:rsid w:val="40F956A6"/>
    <w:rsid w:val="410F6C78"/>
    <w:rsid w:val="411424E0"/>
    <w:rsid w:val="41164303"/>
    <w:rsid w:val="4126497D"/>
    <w:rsid w:val="41344930"/>
    <w:rsid w:val="41384D70"/>
    <w:rsid w:val="413B181B"/>
    <w:rsid w:val="415154E2"/>
    <w:rsid w:val="415428DD"/>
    <w:rsid w:val="41970A1B"/>
    <w:rsid w:val="41E225DE"/>
    <w:rsid w:val="41EA4FEF"/>
    <w:rsid w:val="41FD11C6"/>
    <w:rsid w:val="42002A64"/>
    <w:rsid w:val="4200449D"/>
    <w:rsid w:val="420C765B"/>
    <w:rsid w:val="420E33D3"/>
    <w:rsid w:val="42164036"/>
    <w:rsid w:val="42181B5C"/>
    <w:rsid w:val="4235270E"/>
    <w:rsid w:val="423A3BCC"/>
    <w:rsid w:val="423C0698"/>
    <w:rsid w:val="423F533B"/>
    <w:rsid w:val="424E57D2"/>
    <w:rsid w:val="42530DE6"/>
    <w:rsid w:val="425A4FEF"/>
    <w:rsid w:val="425D1C65"/>
    <w:rsid w:val="426B6130"/>
    <w:rsid w:val="42793291"/>
    <w:rsid w:val="428231A0"/>
    <w:rsid w:val="42845443"/>
    <w:rsid w:val="42890CAC"/>
    <w:rsid w:val="428E62C2"/>
    <w:rsid w:val="42957651"/>
    <w:rsid w:val="42B26C49"/>
    <w:rsid w:val="42E65ECD"/>
    <w:rsid w:val="42F04887"/>
    <w:rsid w:val="42F06635"/>
    <w:rsid w:val="42FF57AB"/>
    <w:rsid w:val="43040332"/>
    <w:rsid w:val="430F7403"/>
    <w:rsid w:val="433A6FE6"/>
    <w:rsid w:val="433E1A96"/>
    <w:rsid w:val="43443190"/>
    <w:rsid w:val="43480868"/>
    <w:rsid w:val="4350713C"/>
    <w:rsid w:val="436653E0"/>
    <w:rsid w:val="438374A9"/>
    <w:rsid w:val="438558C8"/>
    <w:rsid w:val="43994F1E"/>
    <w:rsid w:val="43AC2EA4"/>
    <w:rsid w:val="43B503B6"/>
    <w:rsid w:val="43BD40CA"/>
    <w:rsid w:val="43C401ED"/>
    <w:rsid w:val="43C4431A"/>
    <w:rsid w:val="44022AC4"/>
    <w:rsid w:val="440F6F8F"/>
    <w:rsid w:val="444D54B3"/>
    <w:rsid w:val="44692B43"/>
    <w:rsid w:val="448B0D0B"/>
    <w:rsid w:val="44AD6ED3"/>
    <w:rsid w:val="44B57B36"/>
    <w:rsid w:val="44B951CC"/>
    <w:rsid w:val="44C43BE6"/>
    <w:rsid w:val="44CD14E0"/>
    <w:rsid w:val="44E64193"/>
    <w:rsid w:val="44EE3048"/>
    <w:rsid w:val="44F20B0B"/>
    <w:rsid w:val="44F85C75"/>
    <w:rsid w:val="45085EB8"/>
    <w:rsid w:val="45091C30"/>
    <w:rsid w:val="45132AAF"/>
    <w:rsid w:val="451900C5"/>
    <w:rsid w:val="452E1696"/>
    <w:rsid w:val="452E5F4C"/>
    <w:rsid w:val="45395E48"/>
    <w:rsid w:val="45505AB1"/>
    <w:rsid w:val="4557342D"/>
    <w:rsid w:val="45612018"/>
    <w:rsid w:val="456B28EB"/>
    <w:rsid w:val="45886FF9"/>
    <w:rsid w:val="458946E9"/>
    <w:rsid w:val="45912351"/>
    <w:rsid w:val="4594599D"/>
    <w:rsid w:val="45997458"/>
    <w:rsid w:val="45A41C6B"/>
    <w:rsid w:val="45A47C0E"/>
    <w:rsid w:val="45CE5353"/>
    <w:rsid w:val="45E2495B"/>
    <w:rsid w:val="45F21C58"/>
    <w:rsid w:val="46032B23"/>
    <w:rsid w:val="463F7FFF"/>
    <w:rsid w:val="4646150C"/>
    <w:rsid w:val="46577FD6"/>
    <w:rsid w:val="465D2233"/>
    <w:rsid w:val="46731A57"/>
    <w:rsid w:val="467B6B5D"/>
    <w:rsid w:val="467D75D6"/>
    <w:rsid w:val="467F21AA"/>
    <w:rsid w:val="46814E35"/>
    <w:rsid w:val="46AD4EF1"/>
    <w:rsid w:val="46CB1893"/>
    <w:rsid w:val="46D06EA9"/>
    <w:rsid w:val="46D955A7"/>
    <w:rsid w:val="46ED1809"/>
    <w:rsid w:val="46EE5581"/>
    <w:rsid w:val="46FA3F26"/>
    <w:rsid w:val="4707219F"/>
    <w:rsid w:val="470D1EAB"/>
    <w:rsid w:val="47133957"/>
    <w:rsid w:val="47262F6D"/>
    <w:rsid w:val="472F3D13"/>
    <w:rsid w:val="473C62ED"/>
    <w:rsid w:val="474B6530"/>
    <w:rsid w:val="47721D0E"/>
    <w:rsid w:val="47743CD8"/>
    <w:rsid w:val="47811F51"/>
    <w:rsid w:val="47941C85"/>
    <w:rsid w:val="47A07E0C"/>
    <w:rsid w:val="47AB5220"/>
    <w:rsid w:val="47B95B8F"/>
    <w:rsid w:val="47BC567F"/>
    <w:rsid w:val="48030BB8"/>
    <w:rsid w:val="48195E3B"/>
    <w:rsid w:val="481C1C7A"/>
    <w:rsid w:val="4870272E"/>
    <w:rsid w:val="48AB197C"/>
    <w:rsid w:val="48AB372A"/>
    <w:rsid w:val="48BF71D5"/>
    <w:rsid w:val="48D948BC"/>
    <w:rsid w:val="48FD1AAC"/>
    <w:rsid w:val="49082166"/>
    <w:rsid w:val="490966A2"/>
    <w:rsid w:val="491F1A22"/>
    <w:rsid w:val="493279A7"/>
    <w:rsid w:val="49380D36"/>
    <w:rsid w:val="49507E2D"/>
    <w:rsid w:val="49520049"/>
    <w:rsid w:val="4961203A"/>
    <w:rsid w:val="496438D9"/>
    <w:rsid w:val="499F2B63"/>
    <w:rsid w:val="49AF724A"/>
    <w:rsid w:val="49B52386"/>
    <w:rsid w:val="49CE00ED"/>
    <w:rsid w:val="49DB003F"/>
    <w:rsid w:val="49DC7715"/>
    <w:rsid w:val="49E50EBD"/>
    <w:rsid w:val="49ED38CE"/>
    <w:rsid w:val="49EF6445"/>
    <w:rsid w:val="4A023139"/>
    <w:rsid w:val="4A2D016F"/>
    <w:rsid w:val="4A315EB1"/>
    <w:rsid w:val="4A3B288C"/>
    <w:rsid w:val="4A7B576F"/>
    <w:rsid w:val="4A8E6E5F"/>
    <w:rsid w:val="4AA22DC5"/>
    <w:rsid w:val="4AB26AE1"/>
    <w:rsid w:val="4ACC0719"/>
    <w:rsid w:val="4AE90539"/>
    <w:rsid w:val="4AE922E8"/>
    <w:rsid w:val="4AF561A9"/>
    <w:rsid w:val="4AFF5FAF"/>
    <w:rsid w:val="4B081B3A"/>
    <w:rsid w:val="4B1C090F"/>
    <w:rsid w:val="4B386DCB"/>
    <w:rsid w:val="4B8244EA"/>
    <w:rsid w:val="4B863FDA"/>
    <w:rsid w:val="4BA92BA5"/>
    <w:rsid w:val="4BB02E05"/>
    <w:rsid w:val="4BBC79FC"/>
    <w:rsid w:val="4BBF129A"/>
    <w:rsid w:val="4BC15012"/>
    <w:rsid w:val="4BEC60B8"/>
    <w:rsid w:val="4C021461"/>
    <w:rsid w:val="4C0354CC"/>
    <w:rsid w:val="4C22797B"/>
    <w:rsid w:val="4C231829"/>
    <w:rsid w:val="4C2630C7"/>
    <w:rsid w:val="4C2832E3"/>
    <w:rsid w:val="4C4874E2"/>
    <w:rsid w:val="4C4A0649"/>
    <w:rsid w:val="4C4B0D80"/>
    <w:rsid w:val="4C6205A3"/>
    <w:rsid w:val="4C7E5ECA"/>
    <w:rsid w:val="4C876AA5"/>
    <w:rsid w:val="4C947091"/>
    <w:rsid w:val="4C983FC5"/>
    <w:rsid w:val="4CB02346"/>
    <w:rsid w:val="4CB701C3"/>
    <w:rsid w:val="4CF1216C"/>
    <w:rsid w:val="4CF84A64"/>
    <w:rsid w:val="4D096C71"/>
    <w:rsid w:val="4D0E00FB"/>
    <w:rsid w:val="4D176606"/>
    <w:rsid w:val="4D2910C1"/>
    <w:rsid w:val="4D5B4FF3"/>
    <w:rsid w:val="4D5C3245"/>
    <w:rsid w:val="4D8409ED"/>
    <w:rsid w:val="4DC62DB4"/>
    <w:rsid w:val="4DCB2178"/>
    <w:rsid w:val="4DCB3F26"/>
    <w:rsid w:val="4DD03C33"/>
    <w:rsid w:val="4DE10749"/>
    <w:rsid w:val="4DEC4FB0"/>
    <w:rsid w:val="4E047438"/>
    <w:rsid w:val="4E075D8A"/>
    <w:rsid w:val="4E2A6F97"/>
    <w:rsid w:val="4E393586"/>
    <w:rsid w:val="4E497D56"/>
    <w:rsid w:val="4E5008D0"/>
    <w:rsid w:val="4E5F69CD"/>
    <w:rsid w:val="4E604738"/>
    <w:rsid w:val="4EA2112B"/>
    <w:rsid w:val="4EB3158A"/>
    <w:rsid w:val="4EBC7D13"/>
    <w:rsid w:val="4EC00FAD"/>
    <w:rsid w:val="4ECA2430"/>
    <w:rsid w:val="4ED03623"/>
    <w:rsid w:val="4EEA4880"/>
    <w:rsid w:val="4F005E52"/>
    <w:rsid w:val="4F0516BA"/>
    <w:rsid w:val="4F277882"/>
    <w:rsid w:val="4F3E697A"/>
    <w:rsid w:val="4F473A81"/>
    <w:rsid w:val="4F4C1097"/>
    <w:rsid w:val="4F4C3956"/>
    <w:rsid w:val="4F5904BD"/>
    <w:rsid w:val="4F5F5505"/>
    <w:rsid w:val="4F813436"/>
    <w:rsid w:val="4F860A4D"/>
    <w:rsid w:val="4F934F18"/>
    <w:rsid w:val="4F9843DC"/>
    <w:rsid w:val="4FC62A8C"/>
    <w:rsid w:val="4FD712A8"/>
    <w:rsid w:val="4FE17A31"/>
    <w:rsid w:val="4FE20F0D"/>
    <w:rsid w:val="4FE440F7"/>
    <w:rsid w:val="4FE51552"/>
    <w:rsid w:val="4FE65048"/>
    <w:rsid w:val="4FF534DD"/>
    <w:rsid w:val="4FF5684F"/>
    <w:rsid w:val="50131BB5"/>
    <w:rsid w:val="50504C4B"/>
    <w:rsid w:val="509C6E7C"/>
    <w:rsid w:val="50E05F3B"/>
    <w:rsid w:val="50E772C9"/>
    <w:rsid w:val="510936E3"/>
    <w:rsid w:val="512978E2"/>
    <w:rsid w:val="5139564B"/>
    <w:rsid w:val="513A1B11"/>
    <w:rsid w:val="513D15DF"/>
    <w:rsid w:val="5147420C"/>
    <w:rsid w:val="514A7858"/>
    <w:rsid w:val="5153495F"/>
    <w:rsid w:val="5162104E"/>
    <w:rsid w:val="51711289"/>
    <w:rsid w:val="517E44CE"/>
    <w:rsid w:val="51A522FC"/>
    <w:rsid w:val="51D81308"/>
    <w:rsid w:val="51E63A25"/>
    <w:rsid w:val="51E67581"/>
    <w:rsid w:val="51E70FFE"/>
    <w:rsid w:val="51F37EF0"/>
    <w:rsid w:val="51F6353C"/>
    <w:rsid w:val="52097713"/>
    <w:rsid w:val="52117FC9"/>
    <w:rsid w:val="521A36CE"/>
    <w:rsid w:val="523227C6"/>
    <w:rsid w:val="52462715"/>
    <w:rsid w:val="525070F0"/>
    <w:rsid w:val="52642B9B"/>
    <w:rsid w:val="526A6404"/>
    <w:rsid w:val="5281374D"/>
    <w:rsid w:val="52846D9A"/>
    <w:rsid w:val="52C33D66"/>
    <w:rsid w:val="52CB49C9"/>
    <w:rsid w:val="52F61A46"/>
    <w:rsid w:val="53004672"/>
    <w:rsid w:val="5314011E"/>
    <w:rsid w:val="53277E51"/>
    <w:rsid w:val="53666823"/>
    <w:rsid w:val="5367649F"/>
    <w:rsid w:val="5386726D"/>
    <w:rsid w:val="53876B42"/>
    <w:rsid w:val="538F3C48"/>
    <w:rsid w:val="53937294"/>
    <w:rsid w:val="53956558"/>
    <w:rsid w:val="53964FD7"/>
    <w:rsid w:val="53A039CC"/>
    <w:rsid w:val="53A1505A"/>
    <w:rsid w:val="53A56FC8"/>
    <w:rsid w:val="53CC09F8"/>
    <w:rsid w:val="53D45A77"/>
    <w:rsid w:val="53DA4EC3"/>
    <w:rsid w:val="53DC7CF5"/>
    <w:rsid w:val="53EB5322"/>
    <w:rsid w:val="53F73CC7"/>
    <w:rsid w:val="5406215C"/>
    <w:rsid w:val="54063E08"/>
    <w:rsid w:val="54114F59"/>
    <w:rsid w:val="54273E81"/>
    <w:rsid w:val="543437E8"/>
    <w:rsid w:val="545C7FCE"/>
    <w:rsid w:val="546B6F9E"/>
    <w:rsid w:val="54774E08"/>
    <w:rsid w:val="54776BB6"/>
    <w:rsid w:val="5495657D"/>
    <w:rsid w:val="549E4143"/>
    <w:rsid w:val="54D47934"/>
    <w:rsid w:val="54D9161F"/>
    <w:rsid w:val="54E52047"/>
    <w:rsid w:val="54F73313"/>
    <w:rsid w:val="54F80955"/>
    <w:rsid w:val="54FB4092"/>
    <w:rsid w:val="55012924"/>
    <w:rsid w:val="55164621"/>
    <w:rsid w:val="551B1C37"/>
    <w:rsid w:val="552F56E3"/>
    <w:rsid w:val="554E3DBB"/>
    <w:rsid w:val="555170A7"/>
    <w:rsid w:val="5552317F"/>
    <w:rsid w:val="55623657"/>
    <w:rsid w:val="557D644E"/>
    <w:rsid w:val="5587536D"/>
    <w:rsid w:val="558A2919"/>
    <w:rsid w:val="559B174B"/>
    <w:rsid w:val="55BE2333"/>
    <w:rsid w:val="55CE0CF4"/>
    <w:rsid w:val="55EF09CE"/>
    <w:rsid w:val="55F45FE4"/>
    <w:rsid w:val="5612303A"/>
    <w:rsid w:val="5632548A"/>
    <w:rsid w:val="565C6341"/>
    <w:rsid w:val="566E5D97"/>
    <w:rsid w:val="568850AA"/>
    <w:rsid w:val="56B20379"/>
    <w:rsid w:val="56B22A9C"/>
    <w:rsid w:val="56B539C6"/>
    <w:rsid w:val="56C37E91"/>
    <w:rsid w:val="56C97471"/>
    <w:rsid w:val="56CD51B3"/>
    <w:rsid w:val="56DF0A43"/>
    <w:rsid w:val="57016C0B"/>
    <w:rsid w:val="57131F13"/>
    <w:rsid w:val="5737262D"/>
    <w:rsid w:val="5738017F"/>
    <w:rsid w:val="575E22AF"/>
    <w:rsid w:val="57727B09"/>
    <w:rsid w:val="579E445A"/>
    <w:rsid w:val="57B123DF"/>
    <w:rsid w:val="57B72A76"/>
    <w:rsid w:val="57C3426C"/>
    <w:rsid w:val="57C93BCD"/>
    <w:rsid w:val="57CE1F93"/>
    <w:rsid w:val="58112E7E"/>
    <w:rsid w:val="581311F7"/>
    <w:rsid w:val="58156E12"/>
    <w:rsid w:val="58262DCD"/>
    <w:rsid w:val="58313C22"/>
    <w:rsid w:val="58445001"/>
    <w:rsid w:val="585D60C3"/>
    <w:rsid w:val="58647451"/>
    <w:rsid w:val="586B4C84"/>
    <w:rsid w:val="588743D1"/>
    <w:rsid w:val="5887701A"/>
    <w:rsid w:val="588B2A35"/>
    <w:rsid w:val="5898359F"/>
    <w:rsid w:val="58B959EF"/>
    <w:rsid w:val="58C16652"/>
    <w:rsid w:val="58D5034F"/>
    <w:rsid w:val="59060509"/>
    <w:rsid w:val="591C39E7"/>
    <w:rsid w:val="59575208"/>
    <w:rsid w:val="59576FB6"/>
    <w:rsid w:val="59661BB4"/>
    <w:rsid w:val="59710078"/>
    <w:rsid w:val="5988716F"/>
    <w:rsid w:val="59C0439F"/>
    <w:rsid w:val="59C53F20"/>
    <w:rsid w:val="59D40607"/>
    <w:rsid w:val="59E7033A"/>
    <w:rsid w:val="59EF71EF"/>
    <w:rsid w:val="59F717DE"/>
    <w:rsid w:val="59FB2037"/>
    <w:rsid w:val="5A225816"/>
    <w:rsid w:val="5A2A6C2A"/>
    <w:rsid w:val="5A3E3CD2"/>
    <w:rsid w:val="5A3F0176"/>
    <w:rsid w:val="5A53777D"/>
    <w:rsid w:val="5A706581"/>
    <w:rsid w:val="5A7122F9"/>
    <w:rsid w:val="5A8E6A07"/>
    <w:rsid w:val="5ABE2233"/>
    <w:rsid w:val="5AC42E7D"/>
    <w:rsid w:val="5ACE5056"/>
    <w:rsid w:val="5AD00DCE"/>
    <w:rsid w:val="5ADF7263"/>
    <w:rsid w:val="5AEB20AC"/>
    <w:rsid w:val="5AEE394A"/>
    <w:rsid w:val="5AF53143"/>
    <w:rsid w:val="5B0B62AA"/>
    <w:rsid w:val="5B0E7B48"/>
    <w:rsid w:val="5B433C96"/>
    <w:rsid w:val="5B661732"/>
    <w:rsid w:val="5B6A2FD1"/>
    <w:rsid w:val="5B810CB9"/>
    <w:rsid w:val="5B8C73EB"/>
    <w:rsid w:val="5B9067AF"/>
    <w:rsid w:val="5B9E2C7A"/>
    <w:rsid w:val="5BA34735"/>
    <w:rsid w:val="5BAB5397"/>
    <w:rsid w:val="5BB16E51"/>
    <w:rsid w:val="5BBD57F6"/>
    <w:rsid w:val="5BDA12AC"/>
    <w:rsid w:val="5BDF5D95"/>
    <w:rsid w:val="5BEC0774"/>
    <w:rsid w:val="5BF64864"/>
    <w:rsid w:val="5BFE7528"/>
    <w:rsid w:val="5C036F81"/>
    <w:rsid w:val="5C0D0CCE"/>
    <w:rsid w:val="5C0F1DCA"/>
    <w:rsid w:val="5C205D85"/>
    <w:rsid w:val="5C2515ED"/>
    <w:rsid w:val="5C49708A"/>
    <w:rsid w:val="5C515845"/>
    <w:rsid w:val="5C5B500F"/>
    <w:rsid w:val="5C757E7F"/>
    <w:rsid w:val="5C7D6D34"/>
    <w:rsid w:val="5C9A1694"/>
    <w:rsid w:val="5CA644DC"/>
    <w:rsid w:val="5CB07109"/>
    <w:rsid w:val="5CB345E9"/>
    <w:rsid w:val="5CD01559"/>
    <w:rsid w:val="5CD9271F"/>
    <w:rsid w:val="5CEB6393"/>
    <w:rsid w:val="5CEF255F"/>
    <w:rsid w:val="5CF3349A"/>
    <w:rsid w:val="5D072AA1"/>
    <w:rsid w:val="5D2D075A"/>
    <w:rsid w:val="5D3A4C25"/>
    <w:rsid w:val="5D722610"/>
    <w:rsid w:val="5D9407D9"/>
    <w:rsid w:val="5D9E6F62"/>
    <w:rsid w:val="5DC2177E"/>
    <w:rsid w:val="5DCA7D57"/>
    <w:rsid w:val="5DE263F1"/>
    <w:rsid w:val="5E1F1A03"/>
    <w:rsid w:val="5E20206C"/>
    <w:rsid w:val="5E2467F1"/>
    <w:rsid w:val="5E2A6A47"/>
    <w:rsid w:val="5E3B0C54"/>
    <w:rsid w:val="5E5B30A5"/>
    <w:rsid w:val="5E652175"/>
    <w:rsid w:val="5E790ADE"/>
    <w:rsid w:val="5E856373"/>
    <w:rsid w:val="5E8E6FD6"/>
    <w:rsid w:val="5E96232F"/>
    <w:rsid w:val="5EBB3B43"/>
    <w:rsid w:val="5F107B2D"/>
    <w:rsid w:val="5F1A2B43"/>
    <w:rsid w:val="5F1A2F60"/>
    <w:rsid w:val="5F2E68F6"/>
    <w:rsid w:val="5F5C5FB8"/>
    <w:rsid w:val="5F5E109E"/>
    <w:rsid w:val="5F6D7533"/>
    <w:rsid w:val="5F9C3975"/>
    <w:rsid w:val="5FB837BB"/>
    <w:rsid w:val="5FD21144"/>
    <w:rsid w:val="601E082E"/>
    <w:rsid w:val="604162CA"/>
    <w:rsid w:val="60575AEE"/>
    <w:rsid w:val="6062696C"/>
    <w:rsid w:val="60673F83"/>
    <w:rsid w:val="607C287B"/>
    <w:rsid w:val="60A9459B"/>
    <w:rsid w:val="60AF592A"/>
    <w:rsid w:val="60B150C8"/>
    <w:rsid w:val="60BB20AC"/>
    <w:rsid w:val="60C90799"/>
    <w:rsid w:val="60CC405A"/>
    <w:rsid w:val="60CC5050"/>
    <w:rsid w:val="60E27AAD"/>
    <w:rsid w:val="60EE27F2"/>
    <w:rsid w:val="610619ED"/>
    <w:rsid w:val="610B7004"/>
    <w:rsid w:val="610F74D8"/>
    <w:rsid w:val="612956DC"/>
    <w:rsid w:val="6138591F"/>
    <w:rsid w:val="61391FBA"/>
    <w:rsid w:val="613B0F6B"/>
    <w:rsid w:val="615C33BC"/>
    <w:rsid w:val="61695AD8"/>
    <w:rsid w:val="618172C6"/>
    <w:rsid w:val="618943CD"/>
    <w:rsid w:val="618E3791"/>
    <w:rsid w:val="61900AB2"/>
    <w:rsid w:val="619743F4"/>
    <w:rsid w:val="61C64CD9"/>
    <w:rsid w:val="61CD6067"/>
    <w:rsid w:val="61DD621C"/>
    <w:rsid w:val="61E215D8"/>
    <w:rsid w:val="61E433B1"/>
    <w:rsid w:val="61E67129"/>
    <w:rsid w:val="61FE4473"/>
    <w:rsid w:val="6200468F"/>
    <w:rsid w:val="62031A89"/>
    <w:rsid w:val="620D46B6"/>
    <w:rsid w:val="62195750"/>
    <w:rsid w:val="621B3775"/>
    <w:rsid w:val="623600B0"/>
    <w:rsid w:val="62364782"/>
    <w:rsid w:val="62500A46"/>
    <w:rsid w:val="62724EC0"/>
    <w:rsid w:val="627D5CDF"/>
    <w:rsid w:val="629B0309"/>
    <w:rsid w:val="62AE5783"/>
    <w:rsid w:val="62CC27C3"/>
    <w:rsid w:val="62D358FF"/>
    <w:rsid w:val="62DE6052"/>
    <w:rsid w:val="62E25B42"/>
    <w:rsid w:val="62E80C7F"/>
    <w:rsid w:val="62EA49F7"/>
    <w:rsid w:val="62FE04A2"/>
    <w:rsid w:val="630C7063"/>
    <w:rsid w:val="63161193"/>
    <w:rsid w:val="632C5010"/>
    <w:rsid w:val="633316A8"/>
    <w:rsid w:val="63365E8E"/>
    <w:rsid w:val="633A772C"/>
    <w:rsid w:val="63575504"/>
    <w:rsid w:val="637C5F97"/>
    <w:rsid w:val="6381535B"/>
    <w:rsid w:val="63927568"/>
    <w:rsid w:val="6394356A"/>
    <w:rsid w:val="63C11BFC"/>
    <w:rsid w:val="63C60FC0"/>
    <w:rsid w:val="63C61B2C"/>
    <w:rsid w:val="63CA0DA2"/>
    <w:rsid w:val="63CD05A1"/>
    <w:rsid w:val="63D23E09"/>
    <w:rsid w:val="63D40BE9"/>
    <w:rsid w:val="63DE27AE"/>
    <w:rsid w:val="63F024E1"/>
    <w:rsid w:val="63F84A67"/>
    <w:rsid w:val="640B10C9"/>
    <w:rsid w:val="64102431"/>
    <w:rsid w:val="643B19AE"/>
    <w:rsid w:val="64436AB5"/>
    <w:rsid w:val="645108CA"/>
    <w:rsid w:val="6468651B"/>
    <w:rsid w:val="64722EF6"/>
    <w:rsid w:val="64744EC0"/>
    <w:rsid w:val="647C5B23"/>
    <w:rsid w:val="648D7D30"/>
    <w:rsid w:val="64A31301"/>
    <w:rsid w:val="64A357A5"/>
    <w:rsid w:val="64A5243A"/>
    <w:rsid w:val="64B90B25"/>
    <w:rsid w:val="64DD4813"/>
    <w:rsid w:val="64EF09EB"/>
    <w:rsid w:val="64EF2799"/>
    <w:rsid w:val="64F32289"/>
    <w:rsid w:val="64F531DE"/>
    <w:rsid w:val="64F920B9"/>
    <w:rsid w:val="64FB113D"/>
    <w:rsid w:val="651E4E2C"/>
    <w:rsid w:val="6531690D"/>
    <w:rsid w:val="65373578"/>
    <w:rsid w:val="65393D33"/>
    <w:rsid w:val="653A7EB8"/>
    <w:rsid w:val="6549634D"/>
    <w:rsid w:val="65670581"/>
    <w:rsid w:val="65877D47"/>
    <w:rsid w:val="658C7FE7"/>
    <w:rsid w:val="658E1FB1"/>
    <w:rsid w:val="65A610A9"/>
    <w:rsid w:val="65DE4CE7"/>
    <w:rsid w:val="65E63B9C"/>
    <w:rsid w:val="65EE47FE"/>
    <w:rsid w:val="66042274"/>
    <w:rsid w:val="66105177"/>
    <w:rsid w:val="662326FA"/>
    <w:rsid w:val="66263F98"/>
    <w:rsid w:val="66391F1D"/>
    <w:rsid w:val="66482160"/>
    <w:rsid w:val="666D7E19"/>
    <w:rsid w:val="667E2026"/>
    <w:rsid w:val="668D2F14"/>
    <w:rsid w:val="6694184A"/>
    <w:rsid w:val="66A17AC3"/>
    <w:rsid w:val="66BC2B4E"/>
    <w:rsid w:val="66C23CD7"/>
    <w:rsid w:val="66C51A03"/>
    <w:rsid w:val="66CD2666"/>
    <w:rsid w:val="66D24120"/>
    <w:rsid w:val="66D77B48"/>
    <w:rsid w:val="66E04A8F"/>
    <w:rsid w:val="66E300DB"/>
    <w:rsid w:val="670D3579"/>
    <w:rsid w:val="671F124A"/>
    <w:rsid w:val="67452B44"/>
    <w:rsid w:val="676905E0"/>
    <w:rsid w:val="67694A84"/>
    <w:rsid w:val="676A25AA"/>
    <w:rsid w:val="677A33C6"/>
    <w:rsid w:val="679338AF"/>
    <w:rsid w:val="67C9107F"/>
    <w:rsid w:val="67CD7020"/>
    <w:rsid w:val="67DF4D46"/>
    <w:rsid w:val="67E97973"/>
    <w:rsid w:val="6809591F"/>
    <w:rsid w:val="681F6961"/>
    <w:rsid w:val="68224C33"/>
    <w:rsid w:val="682E35D8"/>
    <w:rsid w:val="68420E31"/>
    <w:rsid w:val="68437083"/>
    <w:rsid w:val="68444BA9"/>
    <w:rsid w:val="684463AC"/>
    <w:rsid w:val="68550B65"/>
    <w:rsid w:val="685E5C6B"/>
    <w:rsid w:val="68610A2F"/>
    <w:rsid w:val="68751207"/>
    <w:rsid w:val="68805514"/>
    <w:rsid w:val="688C72ED"/>
    <w:rsid w:val="689E4413"/>
    <w:rsid w:val="68B43ADD"/>
    <w:rsid w:val="68B7181F"/>
    <w:rsid w:val="68C1444C"/>
    <w:rsid w:val="68F16ADF"/>
    <w:rsid w:val="68F55EA4"/>
    <w:rsid w:val="69112CDD"/>
    <w:rsid w:val="6922138F"/>
    <w:rsid w:val="692A0243"/>
    <w:rsid w:val="69316E2F"/>
    <w:rsid w:val="6938470E"/>
    <w:rsid w:val="694110E9"/>
    <w:rsid w:val="69435294"/>
    <w:rsid w:val="694C01BA"/>
    <w:rsid w:val="694E2071"/>
    <w:rsid w:val="695E1C9B"/>
    <w:rsid w:val="69653029"/>
    <w:rsid w:val="696A4AE4"/>
    <w:rsid w:val="69766163"/>
    <w:rsid w:val="697A3B33"/>
    <w:rsid w:val="697B45FB"/>
    <w:rsid w:val="698C2CAC"/>
    <w:rsid w:val="698C4A5A"/>
    <w:rsid w:val="699B5379"/>
    <w:rsid w:val="69BF098B"/>
    <w:rsid w:val="69D44760"/>
    <w:rsid w:val="69DD7064"/>
    <w:rsid w:val="69DF2DDC"/>
    <w:rsid w:val="69EC374B"/>
    <w:rsid w:val="69F61C2E"/>
    <w:rsid w:val="6A097E59"/>
    <w:rsid w:val="6A2C1D99"/>
    <w:rsid w:val="6A3A2708"/>
    <w:rsid w:val="6A3D7B02"/>
    <w:rsid w:val="6A520EC7"/>
    <w:rsid w:val="6A521004"/>
    <w:rsid w:val="6A627569"/>
    <w:rsid w:val="6A8A71EB"/>
    <w:rsid w:val="6A9E2C97"/>
    <w:rsid w:val="6AA45DD3"/>
    <w:rsid w:val="6AAB0F10"/>
    <w:rsid w:val="6AAD2EDA"/>
    <w:rsid w:val="6AB21D2C"/>
    <w:rsid w:val="6AB46016"/>
    <w:rsid w:val="6AC2534D"/>
    <w:rsid w:val="6AE16449"/>
    <w:rsid w:val="6AEE5224"/>
    <w:rsid w:val="6AF87E20"/>
    <w:rsid w:val="6B211A93"/>
    <w:rsid w:val="6B322639"/>
    <w:rsid w:val="6B3709F5"/>
    <w:rsid w:val="6B5477F9"/>
    <w:rsid w:val="6B59096C"/>
    <w:rsid w:val="6B6A4927"/>
    <w:rsid w:val="6B9B71D6"/>
    <w:rsid w:val="6B9D4CFC"/>
    <w:rsid w:val="6BC77FCB"/>
    <w:rsid w:val="6BCC7390"/>
    <w:rsid w:val="6BD12BF8"/>
    <w:rsid w:val="6C1825D5"/>
    <w:rsid w:val="6C30791F"/>
    <w:rsid w:val="6C5D448C"/>
    <w:rsid w:val="6C636C38"/>
    <w:rsid w:val="6C6B0957"/>
    <w:rsid w:val="6C871509"/>
    <w:rsid w:val="6C8B5D54"/>
    <w:rsid w:val="6C9D4163"/>
    <w:rsid w:val="6C9F4AA4"/>
    <w:rsid w:val="6C9F6766"/>
    <w:rsid w:val="6CA1081C"/>
    <w:rsid w:val="6CA83959"/>
    <w:rsid w:val="6CBA368C"/>
    <w:rsid w:val="6CD504C6"/>
    <w:rsid w:val="6CDB1F80"/>
    <w:rsid w:val="6CF365A1"/>
    <w:rsid w:val="6D0A7CAA"/>
    <w:rsid w:val="6D0F39D8"/>
    <w:rsid w:val="6D413DAD"/>
    <w:rsid w:val="6D4318D3"/>
    <w:rsid w:val="6D4B2536"/>
    <w:rsid w:val="6D54588F"/>
    <w:rsid w:val="6D57537F"/>
    <w:rsid w:val="6D5D76A6"/>
    <w:rsid w:val="6D5E2269"/>
    <w:rsid w:val="6D6D4BA2"/>
    <w:rsid w:val="6D7101EF"/>
    <w:rsid w:val="6DA57E98"/>
    <w:rsid w:val="6DB34098"/>
    <w:rsid w:val="6DB545B6"/>
    <w:rsid w:val="6DE02FB4"/>
    <w:rsid w:val="6E0A23F1"/>
    <w:rsid w:val="6E396833"/>
    <w:rsid w:val="6E514CED"/>
    <w:rsid w:val="6E612A2C"/>
    <w:rsid w:val="6E700D11"/>
    <w:rsid w:val="6E851A78"/>
    <w:rsid w:val="6E876BA2"/>
    <w:rsid w:val="6E891568"/>
    <w:rsid w:val="6E8C5638"/>
    <w:rsid w:val="6EA445F4"/>
    <w:rsid w:val="6EA97E5C"/>
    <w:rsid w:val="6EB563D5"/>
    <w:rsid w:val="6ED92677"/>
    <w:rsid w:val="6EDF387E"/>
    <w:rsid w:val="6EFE1F56"/>
    <w:rsid w:val="6F046E40"/>
    <w:rsid w:val="6F062BB9"/>
    <w:rsid w:val="6F1B2B08"/>
    <w:rsid w:val="6F225983"/>
    <w:rsid w:val="6F2B261F"/>
    <w:rsid w:val="6F374163"/>
    <w:rsid w:val="6F54601A"/>
    <w:rsid w:val="6F7C5CF6"/>
    <w:rsid w:val="6F8D6E36"/>
    <w:rsid w:val="6FC50CC6"/>
    <w:rsid w:val="6FCA1E38"/>
    <w:rsid w:val="6FDD7DBD"/>
    <w:rsid w:val="6FE253D4"/>
    <w:rsid w:val="6FE3114C"/>
    <w:rsid w:val="6FF13869"/>
    <w:rsid w:val="6FFC5590"/>
    <w:rsid w:val="70052E70"/>
    <w:rsid w:val="702F7EED"/>
    <w:rsid w:val="703C29FC"/>
    <w:rsid w:val="704A2A40"/>
    <w:rsid w:val="704F058F"/>
    <w:rsid w:val="705E42EA"/>
    <w:rsid w:val="706D1DD0"/>
    <w:rsid w:val="707E341A"/>
    <w:rsid w:val="70856B87"/>
    <w:rsid w:val="70D527EE"/>
    <w:rsid w:val="70E21403"/>
    <w:rsid w:val="70E37655"/>
    <w:rsid w:val="70FB291F"/>
    <w:rsid w:val="71044E81"/>
    <w:rsid w:val="7105557C"/>
    <w:rsid w:val="71155335"/>
    <w:rsid w:val="711710AD"/>
    <w:rsid w:val="71213CDA"/>
    <w:rsid w:val="71325EE7"/>
    <w:rsid w:val="71353C29"/>
    <w:rsid w:val="713751B9"/>
    <w:rsid w:val="715B5300"/>
    <w:rsid w:val="716024DB"/>
    <w:rsid w:val="716D5171"/>
    <w:rsid w:val="716E2B22"/>
    <w:rsid w:val="718F158B"/>
    <w:rsid w:val="719E532A"/>
    <w:rsid w:val="71AE2DAC"/>
    <w:rsid w:val="71B44B4E"/>
    <w:rsid w:val="71CB03D4"/>
    <w:rsid w:val="71D27F8A"/>
    <w:rsid w:val="71ED62B2"/>
    <w:rsid w:val="720C6738"/>
    <w:rsid w:val="72330169"/>
    <w:rsid w:val="72553024"/>
    <w:rsid w:val="72563E57"/>
    <w:rsid w:val="72565E22"/>
    <w:rsid w:val="72B1108D"/>
    <w:rsid w:val="72BB015E"/>
    <w:rsid w:val="72C25048"/>
    <w:rsid w:val="72EF7E69"/>
    <w:rsid w:val="73122968"/>
    <w:rsid w:val="7318413C"/>
    <w:rsid w:val="731F5D5E"/>
    <w:rsid w:val="73351CBE"/>
    <w:rsid w:val="733C67EE"/>
    <w:rsid w:val="73682094"/>
    <w:rsid w:val="7379604F"/>
    <w:rsid w:val="73820B6A"/>
    <w:rsid w:val="73C51AD5"/>
    <w:rsid w:val="73D72D76"/>
    <w:rsid w:val="73DE2356"/>
    <w:rsid w:val="73E7745D"/>
    <w:rsid w:val="73FE0302"/>
    <w:rsid w:val="74085C38"/>
    <w:rsid w:val="741E793C"/>
    <w:rsid w:val="742F4960"/>
    <w:rsid w:val="745E3944"/>
    <w:rsid w:val="74675EA7"/>
    <w:rsid w:val="74744A68"/>
    <w:rsid w:val="747D70A5"/>
    <w:rsid w:val="74A83D12"/>
    <w:rsid w:val="74C652C4"/>
    <w:rsid w:val="750C0EBB"/>
    <w:rsid w:val="750E27C7"/>
    <w:rsid w:val="751C1037"/>
    <w:rsid w:val="75232716"/>
    <w:rsid w:val="75294730"/>
    <w:rsid w:val="75324707"/>
    <w:rsid w:val="75357D54"/>
    <w:rsid w:val="7536550D"/>
    <w:rsid w:val="75410DEE"/>
    <w:rsid w:val="755F74C6"/>
    <w:rsid w:val="756E14B8"/>
    <w:rsid w:val="75706FDE"/>
    <w:rsid w:val="75965DCA"/>
    <w:rsid w:val="75994786"/>
    <w:rsid w:val="75AB6268"/>
    <w:rsid w:val="75BA46FD"/>
    <w:rsid w:val="75DC0B17"/>
    <w:rsid w:val="75E2064A"/>
    <w:rsid w:val="75E31EA6"/>
    <w:rsid w:val="75E654F2"/>
    <w:rsid w:val="75EB2B08"/>
    <w:rsid w:val="760B4F58"/>
    <w:rsid w:val="76342701"/>
    <w:rsid w:val="7635099D"/>
    <w:rsid w:val="763A339C"/>
    <w:rsid w:val="76524935"/>
    <w:rsid w:val="76796366"/>
    <w:rsid w:val="768076F4"/>
    <w:rsid w:val="768865A9"/>
    <w:rsid w:val="76944F4E"/>
    <w:rsid w:val="76BB072D"/>
    <w:rsid w:val="76BE4692"/>
    <w:rsid w:val="770110A1"/>
    <w:rsid w:val="771A5453"/>
    <w:rsid w:val="772A0617"/>
    <w:rsid w:val="772E0EFE"/>
    <w:rsid w:val="772E7150"/>
    <w:rsid w:val="77664B3C"/>
    <w:rsid w:val="77762421"/>
    <w:rsid w:val="779C230C"/>
    <w:rsid w:val="77A60210"/>
    <w:rsid w:val="77A6318B"/>
    <w:rsid w:val="77B04009"/>
    <w:rsid w:val="77B43AFA"/>
    <w:rsid w:val="77B56B1F"/>
    <w:rsid w:val="77BC650A"/>
    <w:rsid w:val="77CB2BF1"/>
    <w:rsid w:val="77E141C3"/>
    <w:rsid w:val="780F09F4"/>
    <w:rsid w:val="781C169F"/>
    <w:rsid w:val="78210A63"/>
    <w:rsid w:val="786F17CF"/>
    <w:rsid w:val="78767001"/>
    <w:rsid w:val="787B48AE"/>
    <w:rsid w:val="78A90480"/>
    <w:rsid w:val="78C0202A"/>
    <w:rsid w:val="78EA70A7"/>
    <w:rsid w:val="790243F1"/>
    <w:rsid w:val="79041F3A"/>
    <w:rsid w:val="790A599B"/>
    <w:rsid w:val="790C526F"/>
    <w:rsid w:val="792E3438"/>
    <w:rsid w:val="793B3DA7"/>
    <w:rsid w:val="79416339"/>
    <w:rsid w:val="79507E21"/>
    <w:rsid w:val="798B6ADC"/>
    <w:rsid w:val="7A1940E8"/>
    <w:rsid w:val="7A344886"/>
    <w:rsid w:val="7A364017"/>
    <w:rsid w:val="7A372F60"/>
    <w:rsid w:val="7A4A24F3"/>
    <w:rsid w:val="7A5A025C"/>
    <w:rsid w:val="7A5A6EAB"/>
    <w:rsid w:val="7A664E53"/>
    <w:rsid w:val="7A7E03EF"/>
    <w:rsid w:val="7A8265E1"/>
    <w:rsid w:val="7A861051"/>
    <w:rsid w:val="7A8F7F06"/>
    <w:rsid w:val="7A9236B0"/>
    <w:rsid w:val="7A9A60DB"/>
    <w:rsid w:val="7AA02113"/>
    <w:rsid w:val="7AA80FC8"/>
    <w:rsid w:val="7AB91427"/>
    <w:rsid w:val="7ABB6F4D"/>
    <w:rsid w:val="7ABC2F89"/>
    <w:rsid w:val="7AC8166A"/>
    <w:rsid w:val="7AD24297"/>
    <w:rsid w:val="7AE364A4"/>
    <w:rsid w:val="7AEC7106"/>
    <w:rsid w:val="7AF95CC7"/>
    <w:rsid w:val="7B002BB2"/>
    <w:rsid w:val="7B073F40"/>
    <w:rsid w:val="7B205002"/>
    <w:rsid w:val="7B314489"/>
    <w:rsid w:val="7B334D35"/>
    <w:rsid w:val="7B5F3D7C"/>
    <w:rsid w:val="7B6475E5"/>
    <w:rsid w:val="7B686D42"/>
    <w:rsid w:val="7B803CF3"/>
    <w:rsid w:val="7B841746"/>
    <w:rsid w:val="7B9C6D7F"/>
    <w:rsid w:val="7BC02341"/>
    <w:rsid w:val="7BC10BE2"/>
    <w:rsid w:val="7BC71922"/>
    <w:rsid w:val="7BC77B74"/>
    <w:rsid w:val="7BE75B20"/>
    <w:rsid w:val="7BF344C5"/>
    <w:rsid w:val="7C1032C9"/>
    <w:rsid w:val="7C211032"/>
    <w:rsid w:val="7C482A62"/>
    <w:rsid w:val="7C4B60AF"/>
    <w:rsid w:val="7C5C650E"/>
    <w:rsid w:val="7C6C5AC7"/>
    <w:rsid w:val="7C7C44BA"/>
    <w:rsid w:val="7C8B6DF3"/>
    <w:rsid w:val="7C9C690A"/>
    <w:rsid w:val="7CAF663E"/>
    <w:rsid w:val="7CC6544B"/>
    <w:rsid w:val="7CD10CAA"/>
    <w:rsid w:val="7CD9190C"/>
    <w:rsid w:val="7CF1367D"/>
    <w:rsid w:val="7D0239FF"/>
    <w:rsid w:val="7D09178C"/>
    <w:rsid w:val="7D154D1A"/>
    <w:rsid w:val="7D5E40CD"/>
    <w:rsid w:val="7D6C09D3"/>
    <w:rsid w:val="7D742C1C"/>
    <w:rsid w:val="7D784C78"/>
    <w:rsid w:val="7D8201F6"/>
    <w:rsid w:val="7D82301C"/>
    <w:rsid w:val="7DB859C6"/>
    <w:rsid w:val="7DBF6D54"/>
    <w:rsid w:val="7DC600E3"/>
    <w:rsid w:val="7DCD56F2"/>
    <w:rsid w:val="7DDD71DA"/>
    <w:rsid w:val="7DEB49CB"/>
    <w:rsid w:val="7E156974"/>
    <w:rsid w:val="7E1C5567"/>
    <w:rsid w:val="7E1F77F3"/>
    <w:rsid w:val="7E2412AD"/>
    <w:rsid w:val="7E413C0D"/>
    <w:rsid w:val="7E461224"/>
    <w:rsid w:val="7E551467"/>
    <w:rsid w:val="7E6671D0"/>
    <w:rsid w:val="7E6D67B0"/>
    <w:rsid w:val="7E8B30DA"/>
    <w:rsid w:val="7E9C0387"/>
    <w:rsid w:val="7EB536D1"/>
    <w:rsid w:val="7ECA59B1"/>
    <w:rsid w:val="7ECF0C40"/>
    <w:rsid w:val="7ED06D3F"/>
    <w:rsid w:val="7EEB3B79"/>
    <w:rsid w:val="7EED5B43"/>
    <w:rsid w:val="7EF90044"/>
    <w:rsid w:val="7F001CE7"/>
    <w:rsid w:val="7F211349"/>
    <w:rsid w:val="7F285F13"/>
    <w:rsid w:val="7F3379FA"/>
    <w:rsid w:val="7F403EC5"/>
    <w:rsid w:val="7F4F4108"/>
    <w:rsid w:val="7F6C6A68"/>
    <w:rsid w:val="7F741DC0"/>
    <w:rsid w:val="7F871AF4"/>
    <w:rsid w:val="7F8D69DE"/>
    <w:rsid w:val="7F8F09A8"/>
    <w:rsid w:val="7F9E0BEB"/>
    <w:rsid w:val="7F9E2999"/>
    <w:rsid w:val="7FAA7590"/>
    <w:rsid w:val="7FBB179D"/>
    <w:rsid w:val="7FC629B1"/>
    <w:rsid w:val="7FC9210C"/>
    <w:rsid w:val="7FE47E50"/>
    <w:rsid w:val="7FE963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qFormat/>
    <w:locked/>
    <w:uiPriority w:val="0"/>
    <w:pPr>
      <w:keepNext/>
      <w:keepLines/>
      <w:spacing w:line="360" w:lineRule="auto"/>
      <w:ind w:firstLine="0" w:firstLineChars="0"/>
      <w:outlineLvl w:val="1"/>
    </w:pPr>
    <w:rPr>
      <w:rFonts w:ascii="Arial" w:hAnsi="Arial"/>
      <w:b/>
      <w:sz w:val="28"/>
    </w:rPr>
  </w:style>
  <w:style w:type="paragraph" w:styleId="7">
    <w:name w:val="heading 3"/>
    <w:basedOn w:val="1"/>
    <w:next w:val="1"/>
    <w:qFormat/>
    <w:locked/>
    <w:uiPriority w:val="0"/>
    <w:pPr>
      <w:keepNext/>
      <w:keepLines/>
      <w:outlineLvl w:val="2"/>
    </w:pPr>
    <w:rPr>
      <w:b/>
      <w:bCs/>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8">
    <w:name w:val="table of authorities"/>
    <w:basedOn w:val="1"/>
    <w:next w:val="1"/>
    <w:qFormat/>
    <w:locked/>
    <w:uiPriority w:val="0"/>
    <w:pPr>
      <w:ind w:left="420" w:leftChars="200"/>
    </w:pPr>
  </w:style>
  <w:style w:type="paragraph" w:styleId="9">
    <w:name w:val="annotation text"/>
    <w:basedOn w:val="1"/>
    <w:link w:val="29"/>
    <w:semiHidden/>
    <w:qFormat/>
    <w:uiPriority w:val="0"/>
    <w:pPr>
      <w:jc w:val="left"/>
    </w:pPr>
    <w:rPr>
      <w:kern w:val="0"/>
      <w:sz w:val="24"/>
      <w:szCs w:val="20"/>
    </w:rPr>
  </w:style>
  <w:style w:type="paragraph" w:styleId="10">
    <w:name w:val="Body Text"/>
    <w:basedOn w:val="1"/>
    <w:next w:val="11"/>
    <w:link w:val="27"/>
    <w:qFormat/>
    <w:uiPriority w:val="0"/>
    <w:pPr>
      <w:widowControl/>
      <w:snapToGrid w:val="0"/>
      <w:spacing w:line="360" w:lineRule="auto"/>
      <w:ind w:right="0" w:firstLine="720" w:firstLineChars="200"/>
    </w:pPr>
    <w:rPr>
      <w:rFonts w:ascii="Times New Roman" w:hAnsi="Times New Roman" w:eastAsia="宋体"/>
      <w:kern w:val="0"/>
      <w:sz w:val="24"/>
      <w:szCs w:val="20"/>
    </w:rPr>
  </w:style>
  <w:style w:type="paragraph" w:styleId="11">
    <w:name w:val="toc 5"/>
    <w:basedOn w:val="1"/>
    <w:next w:val="1"/>
    <w:qFormat/>
    <w:locked/>
    <w:uiPriority w:val="0"/>
    <w:pPr>
      <w:ind w:left="1680" w:leftChars="800"/>
    </w:pPr>
  </w:style>
  <w:style w:type="paragraph" w:styleId="12">
    <w:name w:val="Date"/>
    <w:basedOn w:val="1"/>
    <w:next w:val="1"/>
    <w:link w:val="30"/>
    <w:qFormat/>
    <w:uiPriority w:val="0"/>
    <w:pPr>
      <w:ind w:left="100" w:leftChars="2500"/>
    </w:pPr>
    <w:rPr>
      <w:kern w:val="0"/>
      <w:sz w:val="24"/>
      <w:szCs w:val="20"/>
    </w:rPr>
  </w:style>
  <w:style w:type="paragraph" w:styleId="13">
    <w:name w:val="Body Text Indent 2"/>
    <w:next w:val="1"/>
    <w:qFormat/>
    <w:locked/>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4">
    <w:name w:val="Balloon Text"/>
    <w:basedOn w:val="1"/>
    <w:link w:val="31"/>
    <w:semiHidden/>
    <w:qFormat/>
    <w:uiPriority w:val="0"/>
    <w:rPr>
      <w:kern w:val="0"/>
      <w:sz w:val="18"/>
      <w:szCs w:val="20"/>
    </w:rPr>
  </w:style>
  <w:style w:type="paragraph" w:styleId="15">
    <w:name w:val="footer"/>
    <w:basedOn w:val="1"/>
    <w:link w:val="32"/>
    <w:qFormat/>
    <w:uiPriority w:val="99"/>
    <w:pPr>
      <w:tabs>
        <w:tab w:val="center" w:pos="4153"/>
        <w:tab w:val="right" w:pos="8306"/>
      </w:tabs>
      <w:snapToGrid w:val="0"/>
      <w:jc w:val="left"/>
    </w:pPr>
    <w:rPr>
      <w:kern w:val="0"/>
      <w:sz w:val="18"/>
      <w:szCs w:val="20"/>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locked/>
    <w:uiPriority w:val="0"/>
  </w:style>
  <w:style w:type="paragraph" w:styleId="18">
    <w:name w:val="Normal (Web)"/>
    <w:basedOn w:val="1"/>
    <w:link w:val="34"/>
    <w:qFormat/>
    <w:uiPriority w:val="0"/>
    <w:pPr>
      <w:widowControl/>
      <w:spacing w:before="100" w:beforeAutospacing="1" w:after="100" w:afterAutospacing="1"/>
      <w:jc w:val="left"/>
    </w:pPr>
    <w:rPr>
      <w:rFonts w:ascii="宋体" w:hAnsi="宋体"/>
      <w:kern w:val="0"/>
      <w:sz w:val="24"/>
      <w:szCs w:val="20"/>
    </w:rPr>
  </w:style>
  <w:style w:type="paragraph" w:styleId="19">
    <w:name w:val="annotation subject"/>
    <w:basedOn w:val="9"/>
    <w:next w:val="9"/>
    <w:link w:val="35"/>
    <w:semiHidden/>
    <w:qFormat/>
    <w:uiPriority w:val="0"/>
    <w:rPr>
      <w:b/>
      <w:sz w:val="24"/>
      <w:szCs w:val="20"/>
    </w:rPr>
  </w:style>
  <w:style w:type="table" w:styleId="21">
    <w:name w:val="Table Grid"/>
    <w:basedOn w:val="2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locked/>
    <w:uiPriority w:val="0"/>
  </w:style>
  <w:style w:type="character" w:styleId="24">
    <w:name w:val="Hyperlink"/>
    <w:basedOn w:val="22"/>
    <w:qFormat/>
    <w:locked/>
    <w:uiPriority w:val="0"/>
    <w:rPr>
      <w:color w:val="0000FF"/>
      <w:u w:val="single"/>
    </w:rPr>
  </w:style>
  <w:style w:type="character" w:styleId="25">
    <w:name w:val="annotation reference"/>
    <w:semiHidden/>
    <w:qFormat/>
    <w:uiPriority w:val="0"/>
    <w:rPr>
      <w:sz w:val="21"/>
    </w:rPr>
  </w:style>
  <w:style w:type="paragraph" w:customStyle="1" w:styleId="26">
    <w:name w:val="xl27"/>
    <w:basedOn w:val="8"/>
    <w:qFormat/>
    <w:uiPriority w:val="0"/>
    <w:pPr>
      <w:widowControl/>
      <w:pBdr>
        <w:bottom w:val="single" w:color="auto" w:sz="12" w:space="0"/>
      </w:pBdr>
      <w:spacing w:before="100" w:after="100"/>
      <w:jc w:val="center"/>
    </w:pPr>
    <w:rPr>
      <w:rFonts w:ascii="宋体" w:hAnsi="宋体"/>
      <w:kern w:val="0"/>
      <w:szCs w:val="20"/>
    </w:rPr>
  </w:style>
  <w:style w:type="character" w:customStyle="1" w:styleId="27">
    <w:name w:val="正文文本 Char"/>
    <w:link w:val="10"/>
    <w:qFormat/>
    <w:locked/>
    <w:uiPriority w:val="0"/>
    <w:rPr>
      <w:rFonts w:ascii="Times New Roman" w:hAnsi="Times New Roman" w:eastAsia="宋体"/>
      <w:sz w:val="24"/>
    </w:rPr>
  </w:style>
  <w:style w:type="character" w:customStyle="1" w:styleId="28">
    <w:name w:val="标题 1 Char"/>
    <w:link w:val="5"/>
    <w:qFormat/>
    <w:uiPriority w:val="99"/>
    <w:rPr>
      <w:rFonts w:eastAsia="黑体"/>
      <w:b/>
      <w:bCs/>
      <w:color w:val="000000"/>
      <w:kern w:val="44"/>
      <w:sz w:val="30"/>
      <w:szCs w:val="30"/>
    </w:rPr>
  </w:style>
  <w:style w:type="character" w:customStyle="1" w:styleId="29">
    <w:name w:val="批注文字 Char"/>
    <w:link w:val="9"/>
    <w:qFormat/>
    <w:locked/>
    <w:uiPriority w:val="0"/>
    <w:rPr>
      <w:rFonts w:ascii="Times New Roman" w:hAnsi="Times New Roman" w:eastAsia="宋体"/>
      <w:sz w:val="24"/>
    </w:rPr>
  </w:style>
  <w:style w:type="character" w:customStyle="1" w:styleId="30">
    <w:name w:val="日期 Char"/>
    <w:link w:val="12"/>
    <w:qFormat/>
    <w:locked/>
    <w:uiPriority w:val="0"/>
    <w:rPr>
      <w:rFonts w:ascii="Times New Roman" w:hAnsi="Times New Roman" w:eastAsia="宋体"/>
      <w:sz w:val="24"/>
    </w:rPr>
  </w:style>
  <w:style w:type="character" w:customStyle="1" w:styleId="31">
    <w:name w:val="批注框文本 Char"/>
    <w:link w:val="14"/>
    <w:semiHidden/>
    <w:qFormat/>
    <w:locked/>
    <w:uiPriority w:val="0"/>
    <w:rPr>
      <w:rFonts w:ascii="Times New Roman" w:hAnsi="Times New Roman" w:eastAsia="宋体"/>
      <w:sz w:val="18"/>
    </w:rPr>
  </w:style>
  <w:style w:type="character" w:customStyle="1" w:styleId="32">
    <w:name w:val="页脚 Char"/>
    <w:link w:val="15"/>
    <w:qFormat/>
    <w:locked/>
    <w:uiPriority w:val="99"/>
    <w:rPr>
      <w:sz w:val="18"/>
    </w:rPr>
  </w:style>
  <w:style w:type="character" w:customStyle="1" w:styleId="33">
    <w:name w:val="页眉 Char"/>
    <w:link w:val="16"/>
    <w:qFormat/>
    <w:locked/>
    <w:uiPriority w:val="0"/>
    <w:rPr>
      <w:sz w:val="18"/>
    </w:rPr>
  </w:style>
  <w:style w:type="character" w:customStyle="1" w:styleId="34">
    <w:name w:val="普通(网站) Char"/>
    <w:link w:val="18"/>
    <w:qFormat/>
    <w:locked/>
    <w:uiPriority w:val="0"/>
    <w:rPr>
      <w:rFonts w:ascii="宋体" w:hAnsi="宋体" w:eastAsia="宋体"/>
      <w:sz w:val="24"/>
    </w:rPr>
  </w:style>
  <w:style w:type="character" w:customStyle="1" w:styleId="35">
    <w:name w:val="批注主题 Char"/>
    <w:link w:val="19"/>
    <w:semiHidden/>
    <w:qFormat/>
    <w:locked/>
    <w:uiPriority w:val="0"/>
    <w:rPr>
      <w:rFonts w:ascii="Times New Roman" w:hAnsi="Times New Roman" w:eastAsia="宋体"/>
      <w:b/>
      <w:kern w:val="2"/>
      <w:sz w:val="24"/>
    </w:rPr>
  </w:style>
  <w:style w:type="character" w:customStyle="1" w:styleId="36">
    <w:name w:val="页脚 字符"/>
    <w:basedOn w:val="22"/>
    <w:qFormat/>
    <w:uiPriority w:val="99"/>
  </w:style>
  <w:style w:type="character" w:customStyle="1" w:styleId="37">
    <w:name w:val="表格 Char"/>
    <w:link w:val="38"/>
    <w:qFormat/>
    <w:locked/>
    <w:uiPriority w:val="0"/>
    <w:rPr>
      <w:rFonts w:ascii="宋体"/>
      <w:sz w:val="21"/>
    </w:rPr>
  </w:style>
  <w:style w:type="paragraph" w:customStyle="1" w:styleId="38">
    <w:name w:val="表格"/>
    <w:basedOn w:val="1"/>
    <w:next w:val="1"/>
    <w:link w:val="37"/>
    <w:qFormat/>
    <w:uiPriority w:val="0"/>
    <w:pPr>
      <w:adjustRightInd w:val="0"/>
      <w:snapToGrid w:val="0"/>
      <w:spacing w:beforeLines="10" w:afterLines="10" w:line="259" w:lineRule="auto"/>
      <w:jc w:val="center"/>
    </w:pPr>
    <w:rPr>
      <w:rFonts w:ascii="宋体"/>
      <w:kern w:val="0"/>
      <w:szCs w:val="20"/>
    </w:rPr>
  </w:style>
  <w:style w:type="character" w:customStyle="1" w:styleId="39">
    <w:name w:val="日期 字符"/>
    <w:semiHidden/>
    <w:qFormat/>
    <w:uiPriority w:val="0"/>
    <w:rPr>
      <w:rFonts w:ascii="Times New Roman" w:hAnsi="Times New Roman" w:eastAsia="宋体"/>
      <w:sz w:val="24"/>
    </w:rPr>
  </w:style>
  <w:style w:type="character" w:customStyle="1" w:styleId="40">
    <w:name w:val="批注文字 字符1"/>
    <w:semiHidden/>
    <w:qFormat/>
    <w:uiPriority w:val="0"/>
    <w:rPr>
      <w:rFonts w:ascii="Times New Roman" w:hAnsi="Times New Roman" w:eastAsia="宋体"/>
      <w:sz w:val="24"/>
    </w:rPr>
  </w:style>
  <w:style w:type="paragraph" w:customStyle="1" w:styleId="4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Table Paragraph"/>
    <w:basedOn w:val="1"/>
    <w:qFormat/>
    <w:uiPriority w:val="1"/>
  </w:style>
  <w:style w:type="character" w:customStyle="1" w:styleId="44">
    <w:name w:val="font51"/>
    <w:basedOn w:val="22"/>
    <w:qFormat/>
    <w:uiPriority w:val="0"/>
    <w:rPr>
      <w:rFonts w:hint="eastAsia" w:ascii="宋体" w:hAnsi="宋体" w:eastAsia="宋体" w:cs="宋体"/>
      <w:color w:val="000000"/>
      <w:sz w:val="24"/>
      <w:szCs w:val="24"/>
      <w:u w:val="none"/>
    </w:rPr>
  </w:style>
  <w:style w:type="character" w:customStyle="1" w:styleId="45">
    <w:name w:val="font41"/>
    <w:basedOn w:val="22"/>
    <w:qFormat/>
    <w:uiPriority w:val="0"/>
    <w:rPr>
      <w:rFonts w:hint="eastAsia" w:ascii="宋体" w:hAnsi="宋体" w:eastAsia="宋体" w:cs="宋体"/>
      <w:color w:val="000000"/>
      <w:sz w:val="24"/>
      <w:szCs w:val="24"/>
      <w:u w:val="none"/>
    </w:rPr>
  </w:style>
  <w:style w:type="character" w:customStyle="1" w:styleId="46">
    <w:name w:val="font61"/>
    <w:basedOn w:val="22"/>
    <w:qFormat/>
    <w:uiPriority w:val="0"/>
    <w:rPr>
      <w:rFonts w:hint="default" w:ascii="Times New Roman" w:hAnsi="Times New Roman" w:cs="Times New Roman"/>
      <w:b/>
      <w:bCs/>
      <w:color w:val="000000"/>
      <w:sz w:val="24"/>
      <w:szCs w:val="24"/>
      <w:u w:val="none"/>
    </w:rPr>
  </w:style>
  <w:style w:type="character" w:customStyle="1" w:styleId="47">
    <w:name w:val="font31"/>
    <w:basedOn w:val="22"/>
    <w:qFormat/>
    <w:uiPriority w:val="0"/>
    <w:rPr>
      <w:rFonts w:hint="default" w:ascii="Times New Roman" w:hAnsi="Times New Roman" w:cs="Times New Roman"/>
      <w:color w:val="000000"/>
      <w:sz w:val="24"/>
      <w:szCs w:val="24"/>
      <w:u w:val="none"/>
    </w:rPr>
  </w:style>
  <w:style w:type="character" w:customStyle="1" w:styleId="48">
    <w:name w:val="font01"/>
    <w:basedOn w:val="22"/>
    <w:qFormat/>
    <w:uiPriority w:val="0"/>
    <w:rPr>
      <w:rFonts w:hint="default" w:ascii="Times New Roman" w:hAnsi="Times New Roman" w:cs="Times New Roman"/>
      <w:color w:val="000000"/>
      <w:sz w:val="24"/>
      <w:szCs w:val="24"/>
      <w:u w:val="none"/>
      <w:vertAlign w:val="superscript"/>
    </w:rPr>
  </w:style>
  <w:style w:type="paragraph" w:customStyle="1" w:styleId="49">
    <w:name w:val="表格中文字"/>
    <w:basedOn w:val="1"/>
    <w:qFormat/>
    <w:uiPriority w:val="0"/>
    <w:pPr>
      <w:adjustRightInd w:val="0"/>
      <w:snapToGrid w:val="0"/>
      <w:jc w:val="center"/>
    </w:pPr>
    <w:rPr>
      <w:kern w:val="18"/>
      <w:szCs w:val="21"/>
    </w:rPr>
  </w:style>
  <w:style w:type="character" w:customStyle="1" w:styleId="50">
    <w:name w:val="fontstyle01"/>
    <w:basedOn w:val="22"/>
    <w:qFormat/>
    <w:uiPriority w:val="0"/>
    <w:rPr>
      <w:rFonts w:ascii="宋体" w:hAnsi="宋体" w:eastAsia="宋体" w:cs="宋体"/>
      <w:color w:val="FF0000"/>
      <w:sz w:val="24"/>
      <w:szCs w:val="24"/>
    </w:rPr>
  </w:style>
  <w:style w:type="character" w:customStyle="1" w:styleId="51">
    <w:name w:val="fontstyle11"/>
    <w:basedOn w:val="22"/>
    <w:qFormat/>
    <w:uiPriority w:val="0"/>
    <w:rPr>
      <w:rFonts w:ascii="TimesNewRomanPSMT" w:hAnsi="TimesNewRomanPSMT" w:eastAsia="TimesNewRomanPSMT" w:cs="TimesNewRomanPSMT"/>
      <w:color w:val="000000"/>
      <w:sz w:val="22"/>
      <w:szCs w:val="22"/>
    </w:rPr>
  </w:style>
  <w:style w:type="table" w:customStyle="1" w:styleId="52">
    <w:name w:val="Table Normal"/>
    <w:basedOn w:val="20"/>
    <w:unhideWhenUsed/>
    <w:qFormat/>
    <w:uiPriority w:val="0"/>
    <w:tblPr>
      <w:tblCellMar>
        <w:top w:w="0" w:type="dxa"/>
        <w:left w:w="0" w:type="dxa"/>
        <w:bottom w:w="0" w:type="dxa"/>
        <w:right w:w="0" w:type="dxa"/>
      </w:tblCellMar>
    </w:tblPr>
  </w:style>
  <w:style w:type="character" w:customStyle="1" w:styleId="53">
    <w:name w:val="font21"/>
    <w:basedOn w:val="22"/>
    <w:qFormat/>
    <w:uiPriority w:val="0"/>
    <w:rPr>
      <w:rFonts w:hint="eastAsia" w:ascii="宋体" w:hAnsi="宋体" w:eastAsia="宋体" w:cs="宋体"/>
      <w:color w:val="000000"/>
      <w:sz w:val="21"/>
      <w:szCs w:val="21"/>
      <w:u w:val="none"/>
    </w:rPr>
  </w:style>
  <w:style w:type="character" w:customStyle="1" w:styleId="54">
    <w:name w:val="font11"/>
    <w:basedOn w:val="22"/>
    <w:qFormat/>
    <w:uiPriority w:val="0"/>
    <w:rPr>
      <w:rFonts w:hint="default" w:ascii="Times New Roman" w:hAnsi="Times New Roman" w:cs="Times New Roman"/>
      <w:color w:val="000000"/>
      <w:sz w:val="21"/>
      <w:szCs w:val="21"/>
      <w:u w:val="none"/>
    </w:rPr>
  </w:style>
  <w:style w:type="paragraph" w:customStyle="1" w:styleId="55">
    <w:name w:val="表格内容"/>
    <w:basedOn w:val="1"/>
    <w:next w:val="1"/>
    <w:qFormat/>
    <w:uiPriority w:val="99"/>
    <w:pPr>
      <w:spacing w:line="240" w:lineRule="auto"/>
      <w:ind w:firstLine="0" w:firstLineChars="0"/>
      <w:jc w:val="center"/>
    </w:pPr>
    <w:rPr>
      <w:rFonts w:ascii="Times New Roman" w:hAnsi="Times New Roman" w:eastAsia="宋体"/>
      <w:sz w:val="21"/>
    </w:rPr>
  </w:style>
  <w:style w:type="paragraph" w:customStyle="1" w:styleId="56">
    <w:name w:val="BGB-正文"/>
    <w:basedOn w:val="1"/>
    <w:qFormat/>
    <w:uiPriority w:val="0"/>
    <w:pPr>
      <w:spacing w:line="360" w:lineRule="auto"/>
      <w:ind w:firstLine="420" w:firstLineChars="200"/>
      <w:outlineLvl w:val="9"/>
    </w:pPr>
    <w:rPr>
      <w:rFonts w:ascii="Times New Roman" w:hAnsi="Times New Roman" w:eastAsia="宋体" w:cs="宋体"/>
      <w:szCs w:val="21"/>
    </w:rPr>
  </w:style>
  <w:style w:type="paragraph" w:customStyle="1" w:styleId="57">
    <w:name w:val="BGB-图表标题"/>
    <w:basedOn w:val="1"/>
    <w:qFormat/>
    <w:uiPriority w:val="0"/>
    <w:pPr>
      <w:spacing w:line="360" w:lineRule="auto"/>
      <w:ind w:firstLine="0" w:firstLineChars="0"/>
      <w:jc w:val="center"/>
      <w:outlineLvl w:val="9"/>
    </w:pPr>
    <w:rPr>
      <w:rFonts w:hint="eastAsia" w:ascii="Times New Roman" w:hAnsi="Times New Roman" w:eastAsia="宋体" w:cs="宋体"/>
      <w:b/>
      <w:bCs/>
      <w:szCs w:val="21"/>
    </w:rPr>
  </w:style>
  <w:style w:type="paragraph" w:customStyle="1" w:styleId="58">
    <w:name w:val="BGB-表格内文字"/>
    <w:basedOn w:val="1"/>
    <w:qFormat/>
    <w:uiPriority w:val="0"/>
    <w:pPr>
      <w:widowControl/>
      <w:spacing w:line="360" w:lineRule="exact"/>
      <w:jc w:val="center"/>
    </w:pPr>
    <w:rPr>
      <w:rFonts w:ascii="Times New Roman" w:hAnsi="Times New Roman" w:eastAsia="宋体" w:cs="Times New Roman"/>
      <w:bCs/>
      <w:szCs w:val="21"/>
      <w:u w:val="none"/>
      <w:lang w:bidi="ar"/>
    </w:rPr>
  </w:style>
  <w:style w:type="paragraph" w:customStyle="1" w:styleId="5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E3MTc2MjUyODczIiwKCSJHcm91cElkIiA6ICIyMjQyOTk4MDkiLAoJIkltYWdlIiA6ICJpVkJPUncwS0dnb0FBQUFOU1VoRVVnQUFBMm9BQUFKdUNBWUFBQURCemZHcEFBQUFBWE5TUjBJQXJzNGM2UUFBSUFCSlJFRlVlSnpzM1hsNFZOWDVCL0R2ZSsrZHlXUm5DVVFRTFNvYUNKRE12UkdGVmx6YWFsMVJpMXVwVzdVVk42clNuMXF0V3V1K0lGWnJGVlRFcGU2NzJGb1gzQkdsWk80a1FBUUtpQW9vT3hJU2tzek1mWDkvWkNZTklUdUJTY0wzOHp3OG1keXp2VGVhNVoxejdqa0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W9nN3Ivd0grVWxCS3ZTc3VQZ0FBQUFCSlJVNUVya0pnZ2c9PSIsCgkiVGhlbWUiIDogIiIsCgkiVHlwZSIgOiAiZmxvdyIsCgkiVmVyc2lvbiIgOiAiIgp9Cg=="/>
    </extobj>
    <extobj name="ECB019B1-382A-4266-B25C-5B523AA43C14-2">
      <extobjdata type="ECB019B1-382A-4266-B25C-5B523AA43C14" data="ewoJIkZpbGVJZCIgOiAiMzE3MTc2MjUyODczIiwKCSJHcm91cElkIiA6ICIyMjQyOTk4MDkiLAoJIkltYWdlIiA6ICJpVkJPUncwS0dnb0FBQUFOU1VoRVVnQUFBMm9BQUFKdUNBWUFBQURCemZHcEFBQUFBWE5TUjBJQXJzNGM2UUFBSUFCSlJFRlVlSnpzM1hsNFZOWDVCL0R2ZSsrZHlXUm5DVVFRTFNvYUNKRE12UkdGVmx6YWFsMVJpMXVwVzdVVk42clNuMXF0V3V1K0lGWnJGVlRFcGU2NzJGb1gzQkdsWk80a1FBUUtpQW9vT3hJU2tzek1mWDkvWkNZTklUdUJTY0wzOHp3OG1keXp2VGVhNVoxejdqa0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W9nN3Ivd0grVWxCS3ZTc3VQZ0FBQUFCSlJVNUVya0pnZ2c9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62</Pages>
  <Words>36297</Words>
  <Characters>41497</Characters>
  <Lines>13</Lines>
  <Paragraphs>3</Paragraphs>
  <TotalTime>9</TotalTime>
  <ScaleCrop>false</ScaleCrop>
  <LinksUpToDate>false</LinksUpToDate>
  <CharactersWithSpaces>41668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陈丽</cp:lastModifiedBy>
  <cp:lastPrinted>2023-09-14T01:39:00Z</cp:lastPrinted>
  <dcterms:modified xsi:type="dcterms:W3CDTF">2024-10-16T00:38:56Z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1CAFFFFDBACC4A17951B21B0DD58F4E1_13</vt:lpwstr>
  </property>
</Properties>
</file>