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adjustRightInd w:val="0"/>
        <w:spacing w:line="600" w:lineRule="exact"/>
        <w:ind w:right="67" w:rightChars="32"/>
        <w:jc w:val="both"/>
        <w:textAlignment w:val="top"/>
        <w:rPr>
          <w:rFonts w:hint="eastAsia" w:ascii="仿宋_GB2312" w:eastAsia="仿宋_GB2312"/>
          <w:sz w:val="32"/>
          <w:szCs w:val="32"/>
          <w:lang w:val="en-US" w:eastAsia="zh-CN"/>
        </w:rPr>
      </w:pPr>
      <w:bookmarkStart w:id="0" w:name="OLE_LINK4"/>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both"/>
        <w:textAlignment w:val="top"/>
        <w:rPr>
          <w:rFonts w:hint="eastAsia" w:ascii="仿宋_GB2312" w:eastAsia="仿宋_GB2312"/>
          <w:sz w:val="32"/>
          <w:szCs w:val="32"/>
          <w:lang w:val="en-US" w:eastAsia="zh-CN"/>
        </w:rPr>
      </w:pPr>
    </w:p>
    <w:p>
      <w:pPr>
        <w:pStyle w:val="37"/>
        <w:adjustRightInd w:val="0"/>
        <w:spacing w:line="600" w:lineRule="exact"/>
        <w:ind w:right="67" w:rightChars="32"/>
        <w:jc w:val="right"/>
        <w:textAlignment w:val="top"/>
        <w:rPr>
          <w:rFonts w:hint="eastAsia" w:ascii="仿宋_GB2312" w:eastAsia="仿宋_GB2312"/>
          <w:color w:val="FF0000"/>
          <w:sz w:val="32"/>
          <w:szCs w:val="32"/>
        </w:rPr>
      </w:pPr>
      <w:r>
        <w:rPr>
          <w:rFonts w:hint="eastAsia" w:ascii="仿宋_GB2312" w:hAnsi="新宋体" w:eastAsia="仿宋_GB2312"/>
          <w:bCs/>
          <w:sz w:val="32"/>
          <w:szCs w:val="32"/>
        </w:rPr>
        <w:t>岳湘阴环评</w:t>
      </w:r>
      <w:r>
        <w:rPr>
          <w:rFonts w:hint="default" w:ascii="仿宋_GB2312" w:hAnsi="Times New Roman" w:eastAsia="仿宋_GB2312" w:cs="Times New Roman"/>
          <w:sz w:val="32"/>
          <w:szCs w:val="32"/>
          <w:lang w:val="en-US" w:eastAsia="zh-CN"/>
        </w:rPr>
        <w:t>〔202</w:t>
      </w:r>
      <w:r>
        <w:rPr>
          <w:rFonts w:hint="eastAsia" w:ascii="仿宋_GB2312" w:eastAsia="仿宋_GB2312" w:cs="Times New Roman"/>
          <w:sz w:val="32"/>
          <w:szCs w:val="32"/>
          <w:lang w:val="en-US" w:eastAsia="zh-CN"/>
        </w:rPr>
        <w:t>5</w:t>
      </w:r>
      <w:r>
        <w:rPr>
          <w:rFonts w:hint="default"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03</w:t>
      </w:r>
      <w:r>
        <w:rPr>
          <w:rFonts w:hint="default" w:ascii="仿宋_GB2312" w:hAnsi="Times New Roman" w:eastAsia="仿宋_GB2312" w:cs="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关于湖南仝一机械有限公司年产双层直5000根、双层弯管5000根、钢构件100吨建设</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项目环境影响报告表的批复</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320" w:firstLineChars="100"/>
        <w:jc w:val="left"/>
        <w:textAlignment w:val="auto"/>
        <w:rPr>
          <w:rFonts w:hint="eastAsia" w:ascii="仿宋_GB2312" w:hAnsi="新宋体" w:eastAsia="仿宋_GB2312" w:cs="Times New Roman"/>
          <w:bCs/>
          <w:sz w:val="32"/>
          <w:szCs w:val="32"/>
        </w:rPr>
      </w:pPr>
      <w:r>
        <w:rPr>
          <w:rFonts w:hint="eastAsia" w:ascii="仿宋_GB2312" w:hAnsi="新宋体" w:eastAsia="仿宋_GB2312" w:cs="Times New Roman"/>
          <w:bCs/>
          <w:sz w:val="32"/>
          <w:szCs w:val="32"/>
          <w:lang w:val="en-US" w:eastAsia="zh-CN"/>
        </w:rPr>
        <w:t>湖南仝一机械有限公司</w:t>
      </w:r>
      <w:r>
        <w:rPr>
          <w:rFonts w:hint="eastAsia" w:ascii="仿宋_GB2312" w:hAnsi="新宋体"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eastAsia="zh-CN"/>
        </w:rPr>
      </w:pPr>
      <w:r>
        <w:rPr>
          <w:rFonts w:hint="eastAsia" w:ascii="仿宋_GB2312" w:hAnsi="新宋体" w:eastAsia="仿宋_GB2312"/>
          <w:bCs/>
          <w:sz w:val="32"/>
          <w:szCs w:val="32"/>
          <w:lang w:eastAsia="zh-CN"/>
        </w:rPr>
        <w:t>你公司（</w:t>
      </w:r>
      <w:r>
        <w:rPr>
          <w:rFonts w:hint="eastAsia" w:ascii="仿宋_GB2312" w:hAnsi="新宋体" w:eastAsia="仿宋_GB2312"/>
          <w:bCs/>
          <w:sz w:val="32"/>
          <w:szCs w:val="32"/>
          <w:lang w:val="en-US" w:eastAsia="zh-CN"/>
        </w:rPr>
        <w:t>地址：湖南省岳阳市湘阴县洋沙湖镇工业园区工业大道北侧，法定代表人：钟*，统一社会信用代码：91430624*******</w:t>
      </w:r>
      <w:bookmarkStart w:id="1" w:name="_GoBack"/>
      <w:bookmarkEnd w:id="1"/>
      <w:r>
        <w:rPr>
          <w:rFonts w:hint="eastAsia" w:ascii="仿宋_GB2312" w:hAnsi="新宋体" w:eastAsia="仿宋_GB2312"/>
          <w:bCs/>
          <w:sz w:val="32"/>
          <w:szCs w:val="32"/>
          <w:lang w:val="en-US" w:eastAsia="zh-CN"/>
        </w:rPr>
        <w:t>188</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于2025年1月13日提出建设项目环境影响评价审批报告表（普通类）行政许可申请，我局已依法进行受理，并完成了受理公示和拟审批公示。根据湖南至中环保科技有限公司编制《关于湖南仝一机械有限公司年产双层直5000根、双层弯管5000根、钢构件100吨建设项目环境影响报告表》（以下简称《报告表》）、专家评审意见，经审查，你公司报送的报告表符合国家关于建设项目环境影响评价文件审批的有关规定，根据《中华人民共和国行政许可法》第三十八条第一款以及《中华人民共和国环境影响评价法》第二十二条规定，我局决定准予行政许可，并要求如下：</w:t>
      </w:r>
      <w:r>
        <w:rPr>
          <w:rFonts w:hint="eastAsia" w:ascii="仿宋_GB2312" w:hAnsi="新宋体" w:eastAsia="仿宋_GB2312"/>
          <w:bCs/>
          <w:sz w:val="32"/>
          <w:szCs w:val="32"/>
          <w:lang w:eastAsia="zh-CN"/>
        </w:rPr>
        <w:t xml:space="preserve">                    </w:t>
      </w:r>
      <w:bookmarkEnd w:id="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湖南仝一机械有限公司拟投资500万元（其中环保投资50万元），于湖南省岳阳市湘阴县洋沙湖镇工业园区工业大道北侧（原湖南悍马金属构件有限公司的厂房01栋）建设年产双层直5000根、双层弯管5000根、钢构件100吨建设项目。项目总用地面积为1500m</w:t>
      </w:r>
      <w:r>
        <w:rPr>
          <w:rFonts w:hint="eastAsia" w:ascii="仿宋_GB2312" w:hAnsi="新宋体" w:eastAsia="仿宋_GB2312"/>
          <w:bCs/>
          <w:sz w:val="32"/>
          <w:szCs w:val="32"/>
          <w:vertAlign w:val="superscript"/>
          <w:lang w:val="en-US" w:eastAsia="zh-CN"/>
        </w:rPr>
        <w:t>2</w:t>
      </w:r>
      <w:r>
        <w:rPr>
          <w:rFonts w:hint="eastAsia" w:ascii="仿宋_GB2312" w:hAnsi="新宋体" w:eastAsia="仿宋_GB2312"/>
          <w:bCs/>
          <w:sz w:val="32"/>
          <w:szCs w:val="32"/>
          <w:lang w:val="en-US" w:eastAsia="zh-CN"/>
        </w:rPr>
        <w:t>。主要建设内容包括：在现有厂房内建设锯床下料区、感应淬火及冷却区、抛丸区1、喷漆房（含晾干）、抛丸区2、机加工区、焊接区、打磨区、弯管焊接区、铰链弯管焊接区、刮灰灌浆区、直管原料仓库、钢材原料仓库、弯管原料仓库、双层弯管成品仓库、成品仓库及发货区、油漆库、危险废物暂存间、一般固废暂存间等，并配套建设给排水、供电、消防等其他生活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一）落实废水污染防治措施。建设好雨污分流系统。生活污水经化粪池处理后达《污水综合排放标准》（GB8978-1996）三级标准和湘阴县第二污水处理厂管线接纳标准后排入污水管网进入湘阴县第二污水处理厂处理达到《城镇污水处理厂污染物排放标准》（GB18918-2002）一级A类标准后排入湘江。感应淬火冷却水循环使用，定期补充损耗，不外排。等离子切割废气处理废水循环使用，定期清理沉渣，定期补充损耗，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二）落实废气污染防治措施。按《报告表》要求做好有组织工艺废气处理，各排气筒高度应符合《报告表》要求，确保大气污染物排放满足国家和地方有关标准要求。项目对废气分类收集、分质处理。调漆、喷漆及晾干工序产生的废气经处理后，其中颗粒物有组织排放浓度及排放速率须满足《大气污染物综合排放标准》（GB 16297-1996）表2的二级排放限值；有机废气排放浓度须满足《表面涂装（汽车制造及维修）挥发性有机物、镍排放标准》（DB 43/1356-2017）表1中排放标准限值要求后共用1根15m高排气筒高空排放。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加强无组织废气污染防治，生产线应整体密封，焊接工序产生的烟尘采用移动式烟尘净化器处理，等离子切割工序产生的颗粒物经设备自带的湿式除尘处理，厂界颗粒物执行《大气污染物综合排放标准》（GB 16297-1996）表2中无组织排放标准限值；厂界非甲烷总烃执行《表面涂装（汽车制造及维修）挥发性有机物、镍排放标准》（DB 43/1356-2017）中相关排放标准限值。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highlight w:val="red"/>
          <w:lang w:val="en-US" w:eastAsia="zh-CN"/>
        </w:rPr>
      </w:pPr>
      <w:r>
        <w:rPr>
          <w:rFonts w:hint="eastAsia" w:ascii="仿宋_GB2312" w:hAnsi="新宋体" w:eastAsia="仿宋_GB2312"/>
          <w:bCs/>
          <w:sz w:val="32"/>
          <w:szCs w:val="32"/>
          <w:lang w:val="en-US" w:eastAsia="zh-CN"/>
        </w:rPr>
        <w:t>（三）落实噪声污染防治措施。做好高噪声设备的减振、隔声、消声降噪措施</w:t>
      </w:r>
      <w:r>
        <w:rPr>
          <w:rFonts w:hint="eastAsia" w:ascii="仿宋_GB2312" w:hAnsi="Times New Roman" w:eastAsia="仿宋_GB2312" w:cs="Times New Roman"/>
          <w:color w:val="auto"/>
          <w:sz w:val="32"/>
          <w:szCs w:val="32"/>
          <w:lang w:val="en-US" w:eastAsia="zh-CN"/>
        </w:rPr>
        <w:t>，合理安排设备作业时间，确保厂界噪声满足《工业企业厂界环境噪声排放标准》（GB12348-2008）2类标准。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bCs/>
          <w:sz w:val="32"/>
          <w:szCs w:val="32"/>
          <w:lang w:val="en-US" w:eastAsia="zh-CN"/>
        </w:rPr>
      </w:pPr>
      <w:r>
        <w:rPr>
          <w:rFonts w:hint="eastAsia" w:ascii="仿宋_GB2312" w:hAnsi="Times New Roman" w:eastAsia="仿宋_GB2312" w:cs="Times New Roman"/>
          <w:color w:val="auto"/>
          <w:sz w:val="32"/>
          <w:szCs w:val="32"/>
          <w:lang w:val="en-US" w:eastAsia="zh-CN"/>
        </w:rPr>
        <w:t>（四）落实工业固废管理措施。按照“减量化、资源化、无害化”原则，对固体废物进行分类收集、贮存、利用和处置，落实《报告</w:t>
      </w:r>
      <w:r>
        <w:rPr>
          <w:rFonts w:hint="eastAsia" w:ascii="仿宋_GB2312" w:eastAsia="仿宋_GB2312" w:cs="Times New Roman"/>
          <w:color w:val="auto"/>
          <w:sz w:val="32"/>
          <w:szCs w:val="32"/>
          <w:lang w:val="en-US" w:eastAsia="zh-CN"/>
        </w:rPr>
        <w:t>表</w:t>
      </w:r>
      <w:r>
        <w:rPr>
          <w:rFonts w:hint="eastAsia" w:ascii="仿宋_GB2312" w:hAnsi="Times New Roman" w:eastAsia="仿宋_GB2312" w:cs="Times New Roman"/>
          <w:color w:val="auto"/>
          <w:sz w:val="32"/>
          <w:szCs w:val="32"/>
          <w:lang w:val="en-US" w:eastAsia="zh-CN"/>
        </w:rPr>
        <w:t>》提出的各项要求与措施，确保不造成二次污染。漆渣、废油漆桶、废稀释剂桶、废固化剂桶、废机油、废机油桶、废活性炭、废过滤棉、废含油抹布和手套等等危险废物应严格执行《危险废物贮存污染控制标准》（GB18597-2023）要求，收集暂存在危废暂存间，定期交由具有危险废物处理资质单位进行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(五)</w:t>
      </w:r>
      <w:r>
        <w:rPr>
          <w:rFonts w:hint="eastAsia" w:ascii="仿宋_GB2312" w:eastAsia="仿宋_GB2312" w:cs="Times New Roman"/>
          <w:color w:val="auto"/>
          <w:sz w:val="32"/>
          <w:szCs w:val="32"/>
          <w:lang w:val="en-US" w:eastAsia="zh-CN"/>
        </w:rPr>
        <w:t>落实</w:t>
      </w:r>
      <w:r>
        <w:rPr>
          <w:rFonts w:hint="eastAsia" w:ascii="仿宋_GB2312" w:hAnsi="Times New Roman" w:eastAsia="仿宋_GB2312" w:cs="Times New Roman"/>
          <w:color w:val="auto"/>
          <w:sz w:val="32"/>
          <w:szCs w:val="32"/>
          <w:lang w:val="en-US" w:eastAsia="zh-CN"/>
        </w:rPr>
        <w:t>环境风险防范</w:t>
      </w:r>
      <w:r>
        <w:rPr>
          <w:rFonts w:hint="eastAsia" w:ascii="仿宋_GB2312" w:eastAsia="仿宋_GB2312" w:cs="Times New Roman"/>
          <w:color w:val="auto"/>
          <w:sz w:val="32"/>
          <w:szCs w:val="32"/>
          <w:lang w:val="en-US" w:eastAsia="zh-CN"/>
        </w:rPr>
        <w:t>措施</w:t>
      </w:r>
      <w:r>
        <w:rPr>
          <w:rFonts w:hint="eastAsia" w:ascii="仿宋_GB2312" w:hAnsi="Times New Roman" w:eastAsia="仿宋_GB2312" w:cs="Times New Roman"/>
          <w:color w:val="auto"/>
          <w:sz w:val="32"/>
          <w:szCs w:val="32"/>
          <w:lang w:val="en-US" w:eastAsia="zh-CN"/>
        </w:rPr>
        <w:t>。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(六)</w:t>
      </w:r>
      <w:r>
        <w:rPr>
          <w:rFonts w:hint="eastAsia" w:ascii="仿宋_GB2312" w:eastAsia="仿宋_GB2312" w:cs="Times New Roman"/>
          <w:color w:val="auto"/>
          <w:sz w:val="32"/>
          <w:szCs w:val="32"/>
          <w:lang w:val="en-US" w:eastAsia="zh-CN"/>
        </w:rPr>
        <w:t>落实</w:t>
      </w:r>
      <w:r>
        <w:rPr>
          <w:rFonts w:hint="eastAsia" w:ascii="仿宋_GB2312" w:hAnsi="Times New Roman" w:eastAsia="仿宋_GB2312" w:cs="Times New Roman"/>
          <w:color w:val="auto"/>
          <w:sz w:val="32"/>
          <w:szCs w:val="32"/>
          <w:lang w:val="en-US" w:eastAsia="zh-CN"/>
        </w:rPr>
        <w:t>营运期环境管理</w:t>
      </w:r>
      <w:r>
        <w:rPr>
          <w:rFonts w:hint="eastAsia" w:ascii="仿宋_GB2312" w:eastAsia="仿宋_GB2312" w:cs="Times New Roman"/>
          <w:color w:val="auto"/>
          <w:sz w:val="32"/>
          <w:szCs w:val="32"/>
          <w:lang w:val="en-US" w:eastAsia="zh-CN"/>
        </w:rPr>
        <w:t>措施</w:t>
      </w:r>
      <w:r>
        <w:rPr>
          <w:rFonts w:hint="eastAsia" w:ascii="仿宋_GB2312" w:hAnsi="Times New Roman" w:eastAsia="仿宋_GB2312" w:cs="Times New Roman"/>
          <w:color w:val="auto"/>
          <w:sz w:val="32"/>
          <w:szCs w:val="32"/>
          <w:lang w:val="en-US" w:eastAsia="zh-CN"/>
        </w:rPr>
        <w:t>。设立环境管理机构及环保人员，建立健全污染防治设施运行管理台账，确保各项污染防治设施的正常运行，各类污染物稳定达标排放。做好营运期的环境监测工作，定期向社会公开公司环境信息。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left="638" w:leftChars="304" w:right="0" w:rightChars="0" w:firstLine="0" w:firstLineChars="0"/>
        <w:jc w:val="both"/>
        <w:textAlignment w:val="auto"/>
        <w:rPr>
          <w:rFonts w:hint="eastAsia"/>
          <w:lang w:val="en-US" w:eastAsia="zh-CN"/>
        </w:rPr>
      </w:pPr>
      <w:r>
        <w:rPr>
          <w:rFonts w:hint="eastAsia" w:ascii="仿宋_GB2312" w:hAnsi="新宋体" w:eastAsia="仿宋_GB2312" w:cs="Times New Roman"/>
          <w:bCs/>
          <w:sz w:val="32"/>
          <w:szCs w:val="32"/>
          <w:lang w:val="en-US" w:eastAsia="zh-CN"/>
        </w:rPr>
        <w:t>（七）该项目污染物排放总量控制指标为：VOCs≤0.4t/a。</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 xml:space="preserve">四、按照《排污许可管理条例》、《排污许可管理办法》等相关法律法规规定进行排污许可申领工作，运营期依法排污。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lang w:val="en-US" w:eastAsia="zh-CN"/>
        </w:rPr>
      </w:pPr>
      <w:r>
        <w:rPr>
          <w:rFonts w:hint="eastAsia" w:ascii="仿宋_GB2312" w:hAnsi="新宋体" w:eastAsia="仿宋_GB2312"/>
          <w:bCs/>
          <w:sz w:val="32"/>
          <w:szCs w:val="32"/>
          <w:lang w:val="en-US" w:eastAsia="zh-CN"/>
        </w:rPr>
        <w:t>五、加强环境监管。由岳阳市湘阴县生态环境保护综合行政执法大队负责该项目日常环境监管。你公司应在收到本批复后7个工作日内，将批复及批准的环评报告文本送至湖南湘阴高新技术产业开发区管理委员会、岳阳市湘阴县生态环境保护综合行政执法大队、湖南至中环保科技有限公司。</w:t>
      </w:r>
      <w:r>
        <w:rPr>
          <w:rFonts w:hint="eastAsia" w:ascii="仿宋_GB2312" w:hAnsi="新宋体"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righ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357" w:leftChars="-170" w:right="0" w:rightChars="0" w:firstLine="640" w:firstLineChars="200"/>
        <w:jc w:val="center"/>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                            岳阳市生态环境局</w:t>
      </w:r>
    </w:p>
    <w:p>
      <w:pPr>
        <w:keepNext w:val="0"/>
        <w:keepLines w:val="0"/>
        <w:pageBreakBefore w:val="0"/>
        <w:widowControl w:val="0"/>
        <w:tabs>
          <w:tab w:val="left" w:pos="3241"/>
          <w:tab w:val="right" w:pos="12532"/>
        </w:tabs>
        <w:kinsoku/>
        <w:wordWrap/>
        <w:overflowPunct/>
        <w:topLinePunct w:val="0"/>
        <w:autoSpaceDE/>
        <w:autoSpaceDN/>
        <w:bidi w:val="0"/>
        <w:adjustRightInd/>
        <w:snapToGrid/>
        <w:spacing w:line="600" w:lineRule="exact"/>
        <w:ind w:left="-357" w:leftChars="-170" w:right="0" w:rightChars="0" w:firstLine="640" w:firstLineChars="200"/>
        <w:jc w:val="left"/>
        <w:textAlignment w:val="auto"/>
      </w:pP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2025年2月 24日</w:t>
      </w:r>
      <w:r>
        <w:rPr>
          <w:rFonts w:hint="eastAsia" w:ascii="仿宋_GB2312" w:hAnsi="新宋体" w:eastAsia="仿宋_GB2312" w:cs="Times New Roman"/>
          <w:bCs/>
          <w:sz w:val="32"/>
          <w:szCs w:val="32"/>
          <w:lang w:val="en-US" w:eastAsia="zh-CN"/>
        </w:rPr>
        <w:tab/>
      </w:r>
      <w:r>
        <w:rPr>
          <w:rFonts w:hint="eastAsia" w:ascii="仿宋_GB2312" w:hAnsi="新宋体"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小标宋_GBK">
    <w:altName w:val="微软雅黑"/>
    <w:panose1 w:val="02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F2EE0"/>
    <w:multiLevelType w:val="singleLevel"/>
    <w:tmpl w:val="DE8F2EE0"/>
    <w:lvl w:ilvl="0" w:tentative="0">
      <w:start w:val="1"/>
      <w:numFmt w:val="chineseCounting"/>
      <w:suff w:val="nothing"/>
      <w:lvlText w:val="%1、"/>
      <w:lvlJc w:val="left"/>
      <w:rPr>
        <w:rFonts w:hint="eastAsia"/>
      </w:rPr>
    </w:lvl>
  </w:abstractNum>
  <w:abstractNum w:abstractNumId="1">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7812a72-7a88-403c-9c2e-fdb2944a7410"/>
  </w:docVars>
  <w:rsids>
    <w:rsidRoot w:val="00000000"/>
    <w:rsid w:val="00CB3C62"/>
    <w:rsid w:val="03DD6186"/>
    <w:rsid w:val="05BD2E07"/>
    <w:rsid w:val="063D115E"/>
    <w:rsid w:val="065B567D"/>
    <w:rsid w:val="06957FBA"/>
    <w:rsid w:val="06A14C9D"/>
    <w:rsid w:val="06DF1684"/>
    <w:rsid w:val="09BD2F54"/>
    <w:rsid w:val="0AF50FE1"/>
    <w:rsid w:val="0C46547E"/>
    <w:rsid w:val="0DB91576"/>
    <w:rsid w:val="0E9D21B1"/>
    <w:rsid w:val="0F657030"/>
    <w:rsid w:val="1075552C"/>
    <w:rsid w:val="107820F3"/>
    <w:rsid w:val="107A6B0B"/>
    <w:rsid w:val="110F1C95"/>
    <w:rsid w:val="13372CB9"/>
    <w:rsid w:val="15197D03"/>
    <w:rsid w:val="18D23815"/>
    <w:rsid w:val="1ABC39E3"/>
    <w:rsid w:val="1B130D94"/>
    <w:rsid w:val="1B1D2FEC"/>
    <w:rsid w:val="1C177904"/>
    <w:rsid w:val="1C593BC9"/>
    <w:rsid w:val="1C5F759C"/>
    <w:rsid w:val="1D3D44B8"/>
    <w:rsid w:val="1D623E20"/>
    <w:rsid w:val="1E2645EA"/>
    <w:rsid w:val="1E6A10F9"/>
    <w:rsid w:val="21154D5A"/>
    <w:rsid w:val="2277734E"/>
    <w:rsid w:val="22FB1D2D"/>
    <w:rsid w:val="23976EA7"/>
    <w:rsid w:val="244403F2"/>
    <w:rsid w:val="250834F2"/>
    <w:rsid w:val="2547757B"/>
    <w:rsid w:val="283C1B4B"/>
    <w:rsid w:val="28DA2B24"/>
    <w:rsid w:val="2A102562"/>
    <w:rsid w:val="2C445FA9"/>
    <w:rsid w:val="2C4677AE"/>
    <w:rsid w:val="2D126EBD"/>
    <w:rsid w:val="2DB15E0A"/>
    <w:rsid w:val="2DE03FF9"/>
    <w:rsid w:val="2EBC4A66"/>
    <w:rsid w:val="2F1B5129"/>
    <w:rsid w:val="2F3C5BA7"/>
    <w:rsid w:val="30F46B5D"/>
    <w:rsid w:val="30FE535F"/>
    <w:rsid w:val="31537991"/>
    <w:rsid w:val="32783F0E"/>
    <w:rsid w:val="328238D1"/>
    <w:rsid w:val="32BF0260"/>
    <w:rsid w:val="32D305D1"/>
    <w:rsid w:val="33C148CD"/>
    <w:rsid w:val="342B39EB"/>
    <w:rsid w:val="344572AC"/>
    <w:rsid w:val="37575E0D"/>
    <w:rsid w:val="399428F2"/>
    <w:rsid w:val="3A2D05C6"/>
    <w:rsid w:val="3A8914CF"/>
    <w:rsid w:val="3ABD5DEE"/>
    <w:rsid w:val="3C542B0D"/>
    <w:rsid w:val="3D0A4BEF"/>
    <w:rsid w:val="3D233B23"/>
    <w:rsid w:val="3DC428BC"/>
    <w:rsid w:val="3E611186"/>
    <w:rsid w:val="3EBE0387"/>
    <w:rsid w:val="3F46769F"/>
    <w:rsid w:val="3F5F0DCC"/>
    <w:rsid w:val="4068306E"/>
    <w:rsid w:val="40716E79"/>
    <w:rsid w:val="40A11D0E"/>
    <w:rsid w:val="40E7450B"/>
    <w:rsid w:val="416C0BB2"/>
    <w:rsid w:val="42552DB0"/>
    <w:rsid w:val="42BF46CD"/>
    <w:rsid w:val="42CF5442"/>
    <w:rsid w:val="4433501C"/>
    <w:rsid w:val="47B45127"/>
    <w:rsid w:val="47F5796A"/>
    <w:rsid w:val="49BB5BEF"/>
    <w:rsid w:val="4B46598C"/>
    <w:rsid w:val="4C4A14AC"/>
    <w:rsid w:val="4CFD2D35"/>
    <w:rsid w:val="4D21045F"/>
    <w:rsid w:val="4F372B72"/>
    <w:rsid w:val="4F9A5ACE"/>
    <w:rsid w:val="50190775"/>
    <w:rsid w:val="50C22148"/>
    <w:rsid w:val="528A0854"/>
    <w:rsid w:val="53604C5E"/>
    <w:rsid w:val="5362532D"/>
    <w:rsid w:val="53D31D87"/>
    <w:rsid w:val="53E67D0C"/>
    <w:rsid w:val="53ED01C1"/>
    <w:rsid w:val="54363BAA"/>
    <w:rsid w:val="54A60BCF"/>
    <w:rsid w:val="55947215"/>
    <w:rsid w:val="55C67DF5"/>
    <w:rsid w:val="57553B45"/>
    <w:rsid w:val="581C6D6F"/>
    <w:rsid w:val="5B8D0D0C"/>
    <w:rsid w:val="5C8F2D85"/>
    <w:rsid w:val="5CB26A7D"/>
    <w:rsid w:val="5D5E7965"/>
    <w:rsid w:val="5DAA7FFC"/>
    <w:rsid w:val="5E8D26AE"/>
    <w:rsid w:val="5EF8626D"/>
    <w:rsid w:val="5F6366B5"/>
    <w:rsid w:val="5F6661A5"/>
    <w:rsid w:val="620A0A24"/>
    <w:rsid w:val="62FF5A4C"/>
    <w:rsid w:val="631C4748"/>
    <w:rsid w:val="63AD4A3F"/>
    <w:rsid w:val="64C6740E"/>
    <w:rsid w:val="65AE1FF2"/>
    <w:rsid w:val="65E41BD1"/>
    <w:rsid w:val="69E421A0"/>
    <w:rsid w:val="69EA2B06"/>
    <w:rsid w:val="6C423AF6"/>
    <w:rsid w:val="6CA05A67"/>
    <w:rsid w:val="70D74514"/>
    <w:rsid w:val="711B64C4"/>
    <w:rsid w:val="721F290F"/>
    <w:rsid w:val="747550E2"/>
    <w:rsid w:val="7564748C"/>
    <w:rsid w:val="775C28BF"/>
    <w:rsid w:val="78083900"/>
    <w:rsid w:val="78EC2FE0"/>
    <w:rsid w:val="7A2C215F"/>
    <w:rsid w:val="7C91122A"/>
    <w:rsid w:val="7DB26EA6"/>
    <w:rsid w:val="7DBA7990"/>
    <w:rsid w:val="7F6F2EAE"/>
    <w:rsid w:val="7FF7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0"/>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1"/>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link w:val="34"/>
    <w:qFormat/>
    <w:uiPriority w:val="0"/>
    <w:pPr>
      <w:spacing w:line="240" w:lineRule="auto"/>
      <w:ind w:left="0" w:leftChars="0"/>
    </w:pPr>
    <w:rPr>
      <w:rFonts w:ascii="Times New Roman" w:hAnsi="Times New Roman" w:eastAsia="宋体" w:cs="Times New Roman"/>
      <w:sz w:val="28"/>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2"/>
    <w:link w:val="32"/>
    <w:qFormat/>
    <w:uiPriority w:val="0"/>
    <w:pPr>
      <w:ind w:firstLine="480"/>
      <w:jc w:val="left"/>
    </w:pPr>
    <w:rPr>
      <w:rFonts w:ascii="Times New Roman" w:hAnsi="Times New Roman" w:eastAsia="宋体"/>
    </w:rPr>
  </w:style>
  <w:style w:type="paragraph" w:customStyle="1" w:styleId="20">
    <w:name w:val="正文1"/>
    <w:basedOn w:val="1"/>
    <w:link w:val="21"/>
    <w:qFormat/>
    <w:uiPriority w:val="0"/>
    <w:pPr>
      <w:spacing w:line="360" w:lineRule="auto"/>
      <w:ind w:firstLine="480" w:firstLineChars="200"/>
    </w:pPr>
    <w:rPr>
      <w:rFonts w:ascii="Times New Roman" w:hAnsi="Times New Roman" w:eastAsia="宋体"/>
      <w:sz w:val="24"/>
    </w:rPr>
  </w:style>
  <w:style w:type="character" w:customStyle="1" w:styleId="21">
    <w:name w:val="正文1 Char"/>
    <w:link w:val="20"/>
    <w:qFormat/>
    <w:uiPriority w:val="0"/>
    <w:rPr>
      <w:rFonts w:ascii="Times New Roman" w:hAnsi="Times New Roman" w:eastAsia="宋体"/>
      <w:sz w:val="24"/>
    </w:rPr>
  </w:style>
  <w:style w:type="character" w:customStyle="1" w:styleId="22">
    <w:name w:val="标题 1 字符"/>
    <w:link w:val="4"/>
    <w:qFormat/>
    <w:uiPriority w:val="0"/>
    <w:rPr>
      <w:rFonts w:ascii="Times New Roman" w:hAnsi="Times New Roman" w:eastAsia="宋体" w:cs="Times New Roman"/>
      <w:b/>
      <w:bCs/>
      <w:kern w:val="44"/>
      <w:sz w:val="36"/>
      <w:szCs w:val="32"/>
    </w:rPr>
  </w:style>
  <w:style w:type="paragraph" w:customStyle="1" w:styleId="23">
    <w:name w:val="表字体"/>
    <w:next w:val="1"/>
    <w:qFormat/>
    <w:uiPriority w:val="0"/>
    <w:pPr>
      <w:jc w:val="center"/>
    </w:pPr>
    <w:rPr>
      <w:rFonts w:hint="eastAsia" w:ascii="Arial" w:hAnsi="Arial" w:cs="Arial" w:eastAsiaTheme="minorEastAsia"/>
      <w:sz w:val="21"/>
    </w:rPr>
  </w:style>
  <w:style w:type="paragraph" w:customStyle="1" w:styleId="24">
    <w:name w:val="表图标题"/>
    <w:basedOn w:val="1"/>
    <w:link w:val="25"/>
    <w:qFormat/>
    <w:uiPriority w:val="0"/>
    <w:pPr>
      <w:spacing w:line="240" w:lineRule="auto"/>
      <w:jc w:val="center"/>
    </w:pPr>
    <w:rPr>
      <w:rFonts w:ascii="Times New Roman" w:hAnsi="Times New Roman" w:eastAsia="宋体"/>
      <w:b/>
      <w:bCs/>
      <w:sz w:val="21"/>
    </w:rPr>
  </w:style>
  <w:style w:type="character" w:customStyle="1" w:styleId="25">
    <w:name w:val="表图标题 Char"/>
    <w:link w:val="24"/>
    <w:qFormat/>
    <w:uiPriority w:val="0"/>
    <w:rPr>
      <w:rFonts w:ascii="Times New Roman" w:hAnsi="Times New Roman" w:eastAsia="宋体"/>
      <w:b/>
      <w:bCs/>
      <w:sz w:val="21"/>
    </w:rPr>
  </w:style>
  <w:style w:type="paragraph" w:customStyle="1" w:styleId="26">
    <w:name w:val="表格内容"/>
    <w:basedOn w:val="1"/>
    <w:next w:val="1"/>
    <w:link w:val="27"/>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27">
    <w:name w:val="表格内容 Char"/>
    <w:link w:val="26"/>
    <w:qFormat/>
    <w:uiPriority w:val="0"/>
    <w:rPr>
      <w:rFonts w:ascii="Times New Roman" w:hAnsi="Times New Roman" w:eastAsia="宋体" w:cs="Times New Roman"/>
      <w:sz w:val="21"/>
      <w:szCs w:val="20"/>
      <w:lang w:val="zh-CN" w:bidi="zh-CN"/>
    </w:rPr>
  </w:style>
  <w:style w:type="paragraph" w:customStyle="1" w:styleId="28">
    <w:name w:val="验收正文"/>
    <w:basedOn w:val="1"/>
    <w:link w:val="29"/>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29">
    <w:name w:val="验收正文 Char"/>
    <w:link w:val="28"/>
    <w:qFormat/>
    <w:uiPriority w:val="0"/>
    <w:rPr>
      <w:rFonts w:ascii="Times New Roman" w:hAnsi="Times New Roman" w:eastAsia="宋体" w:cs="Times New Roman"/>
      <w:sz w:val="24"/>
      <w:szCs w:val="28"/>
    </w:rPr>
  </w:style>
  <w:style w:type="character" w:customStyle="1" w:styleId="30">
    <w:name w:val="标题 2 字符"/>
    <w:link w:val="5"/>
    <w:qFormat/>
    <w:uiPriority w:val="9"/>
    <w:rPr>
      <w:rFonts w:ascii="Cambria" w:hAnsi="Cambria" w:eastAsia="宋体" w:cs="Times New Roman"/>
      <w:b/>
      <w:sz w:val="28"/>
    </w:rPr>
  </w:style>
  <w:style w:type="character" w:customStyle="1" w:styleId="31">
    <w:name w:val="标题 3 字符"/>
    <w:link w:val="6"/>
    <w:qFormat/>
    <w:uiPriority w:val="9"/>
    <w:rPr>
      <w:rFonts w:ascii="Times New Roman" w:hAnsi="Times New Roman" w:eastAsia="宋体" w:cs="Times New Roman"/>
      <w:b/>
      <w:sz w:val="24"/>
    </w:rPr>
  </w:style>
  <w:style w:type="character" w:customStyle="1" w:styleId="32">
    <w:name w:val="正文首行缩进 Char"/>
    <w:link w:val="17"/>
    <w:qFormat/>
    <w:uiPriority w:val="0"/>
    <w:rPr>
      <w:rFonts w:ascii="Times New Roman" w:hAnsi="Times New Roman" w:eastAsia="宋体"/>
      <w:sz w:val="24"/>
      <w:szCs w:val="20"/>
    </w:rPr>
  </w:style>
  <w:style w:type="paragraph" w:customStyle="1" w:styleId="33">
    <w:name w:val="表文字"/>
    <w:basedOn w:val="24"/>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34">
    <w:name w:val="目录 2 Char"/>
    <w:link w:val="15"/>
    <w:qFormat/>
    <w:uiPriority w:val="0"/>
    <w:rPr>
      <w:rFonts w:ascii="Times New Roman" w:hAnsi="Times New Roman" w:eastAsia="宋体" w:cs="Times New Roman"/>
      <w:sz w:val="28"/>
      <w:szCs w:val="24"/>
    </w:rPr>
  </w:style>
  <w:style w:type="paragraph" w:customStyle="1" w:styleId="35">
    <w:name w:val="表标题"/>
    <w:basedOn w:val="1"/>
    <w:link w:val="36"/>
    <w:qFormat/>
    <w:uiPriority w:val="0"/>
    <w:pPr>
      <w:spacing w:after="20" w:afterLines="20" w:line="360" w:lineRule="auto"/>
      <w:jc w:val="center"/>
    </w:pPr>
    <w:rPr>
      <w:rFonts w:ascii="Calibri" w:hAnsi="Calibri" w:eastAsia="宋体"/>
      <w:b/>
      <w:kern w:val="0"/>
      <w:sz w:val="21"/>
    </w:rPr>
  </w:style>
  <w:style w:type="character" w:customStyle="1" w:styleId="36">
    <w:name w:val="表标题 Char"/>
    <w:link w:val="35"/>
    <w:qFormat/>
    <w:uiPriority w:val="0"/>
    <w:rPr>
      <w:rFonts w:ascii="Calibri" w:hAnsi="Calibri" w:eastAsia="宋体"/>
      <w:b/>
      <w:kern w:val="0"/>
      <w:sz w:val="21"/>
    </w:rPr>
  </w:style>
  <w:style w:type="paragraph" w:customStyle="1" w:styleId="37">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2477</Words>
  <Characters>2647</Characters>
  <Lines>0</Lines>
  <Paragraphs>0</Paragraphs>
  <TotalTime>108</TotalTime>
  <ScaleCrop>false</ScaleCrop>
  <LinksUpToDate>false</LinksUpToDate>
  <CharactersWithSpaces>2744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2025-02-24T07:29:00Z</cp:lastPrinted>
  <dcterms:modified xsi:type="dcterms:W3CDTF">2025-03-03T07:54:18Z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1D008BB1AB284D538575DA0ADB23B5E8</vt:lpwstr>
  </property>
  <property fmtid="{D5CDD505-2E9C-101B-9397-08002B2CF9AE}" pid="4" name="KSOTemplateDocerSaveRecord">
    <vt:lpwstr>eyJoZGlkIjoiNzUxY2E5YWUwZWNhYWVhZjY2OGM0NDViNjNiNDMzNzEiLCJ1c2VySWQiOiIzNjQ4NDg4ODgifQ==</vt:lpwstr>
  </property>
</Properties>
</file>