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37"/>
        <w:adjustRightInd w:val="0"/>
        <w:spacing w:line="600" w:lineRule="exact"/>
        <w:ind w:right="67" w:rightChars="32"/>
        <w:jc w:val="right"/>
        <w:textAlignment w:val="top"/>
        <w:rPr>
          <w:rFonts w:hint="default" w:ascii="仿宋_GB2312" w:hAnsi="新宋体" w:eastAsia="仿宋_GB2312" w:cs="Times New Roman"/>
          <w:bCs/>
          <w:sz w:val="32"/>
          <w:szCs w:val="32"/>
        </w:rPr>
      </w:pPr>
      <w:r>
        <w:rPr>
          <w:rFonts w:hint="default" w:ascii="仿宋_GB2312" w:hAnsi="新宋体" w:eastAsia="仿宋_GB2312" w:cs="Times New Roman"/>
          <w:bCs/>
          <w:sz w:val="32"/>
          <w:szCs w:val="32"/>
        </w:rPr>
        <w:t>岳湘阴环评</w:t>
      </w:r>
      <w:r>
        <w:rPr>
          <w:rFonts w:hint="default" w:ascii="仿宋_GB2312" w:hAnsi="新宋体" w:eastAsia="仿宋_GB2312" w:cs="Times New Roman"/>
          <w:bCs/>
          <w:sz w:val="32"/>
          <w:szCs w:val="32"/>
          <w:lang w:val="en-US" w:eastAsia="zh-CN"/>
        </w:rPr>
        <w:t>〔2025〕0</w:t>
      </w:r>
      <w:r>
        <w:rPr>
          <w:rFonts w:hint="eastAsia" w:ascii="仿宋_GB2312" w:hAnsi="新宋体" w:eastAsia="仿宋_GB2312" w:cs="Times New Roman"/>
          <w:bCs/>
          <w:sz w:val="32"/>
          <w:szCs w:val="32"/>
          <w:lang w:val="en-US" w:eastAsia="zh-CN"/>
        </w:rPr>
        <w:t>4</w:t>
      </w:r>
      <w:r>
        <w:rPr>
          <w:rFonts w:hint="default" w:ascii="仿宋_GB2312" w:hAnsi="新宋体" w:eastAsia="仿宋_GB2312" w:cs="Times New Roman"/>
          <w:bCs/>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方正小标宋_GBK" w:hAnsi="方正小标宋_GBK" w:eastAsia="方正小标宋_GBK" w:cs="方正小标宋_GBK"/>
          <w:bCs/>
          <w:sz w:val="44"/>
          <w:szCs w:val="44"/>
          <w:lang w:val="en-US" w:eastAsia="zh-CN"/>
        </w:rPr>
      </w:pPr>
      <w:bookmarkStart w:id="1" w:name="_GoBack"/>
      <w:r>
        <w:rPr>
          <w:rFonts w:hint="default" w:ascii="方正小标宋_GBK" w:hAnsi="方正小标宋_GBK" w:eastAsia="方正小标宋_GBK" w:cs="方正小标宋_GBK"/>
          <w:bCs/>
          <w:sz w:val="44"/>
          <w:szCs w:val="44"/>
          <w:lang w:val="en-US" w:eastAsia="zh-CN"/>
        </w:rPr>
        <w:t>关于湖南康亿达中药饮片有限公司康亿达保健食品生产项目环境影响报告表的批复</w:t>
      </w:r>
    </w:p>
    <w:bookmarkEnd w:id="1"/>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新宋体" w:eastAsia="仿宋_GB2312" w:cs="Times New Roman"/>
          <w:bCs/>
          <w:sz w:val="32"/>
          <w:szCs w:val="32"/>
          <w:lang w:eastAsia="zh-CN"/>
        </w:rPr>
      </w:pPr>
      <w:r>
        <w:rPr>
          <w:rFonts w:hint="default" w:ascii="仿宋_GB2312" w:hAnsi="新宋体" w:eastAsia="仿宋_GB2312" w:cs="Times New Roman"/>
          <w:bCs/>
          <w:sz w:val="32"/>
          <w:szCs w:val="32"/>
          <w:lang w:val="en-US" w:eastAsia="zh-CN"/>
        </w:rPr>
        <w:t>湖南康亿达中药饮片有限公司</w:t>
      </w:r>
      <w:r>
        <w:rPr>
          <w:rFonts w:hint="default" w:ascii="仿宋_GB2312" w:hAnsi="新宋体"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eastAsia="zh-CN"/>
        </w:rPr>
      </w:pPr>
      <w:r>
        <w:rPr>
          <w:rFonts w:hint="default" w:ascii="仿宋_GB2312" w:hAnsi="新宋体" w:eastAsia="仿宋_GB2312" w:cs="Times New Roman"/>
          <w:bCs/>
          <w:sz w:val="32"/>
          <w:szCs w:val="32"/>
          <w:lang w:eastAsia="zh-CN"/>
        </w:rPr>
        <w:t>你公司（</w:t>
      </w:r>
      <w:r>
        <w:rPr>
          <w:rFonts w:hint="default" w:ascii="仿宋_GB2312" w:hAnsi="新宋体" w:eastAsia="仿宋_GB2312" w:cs="Times New Roman"/>
          <w:bCs/>
          <w:sz w:val="32"/>
          <w:szCs w:val="32"/>
          <w:lang w:val="en-US" w:eastAsia="zh-CN"/>
        </w:rPr>
        <w:t>地址：湖南省岳阳市湘阴县金龙新区金凤大道与金龙大道交汇处西南角，法定代表人：宋</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鑫，统一社会信用代码：91430624</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PW2H</w:t>
      </w:r>
      <w:r>
        <w:rPr>
          <w:rFonts w:hint="default" w:ascii="仿宋_GB2312" w:hAnsi="新宋体" w:eastAsia="仿宋_GB2312" w:cs="Times New Roman"/>
          <w:bCs/>
          <w:sz w:val="32"/>
          <w:szCs w:val="32"/>
          <w:lang w:eastAsia="zh-CN"/>
        </w:rPr>
        <w:t>）</w:t>
      </w:r>
      <w:r>
        <w:rPr>
          <w:rFonts w:hint="default" w:ascii="仿宋_GB2312" w:hAnsi="新宋体" w:eastAsia="仿宋_GB2312" w:cs="Times New Roman"/>
          <w:bCs/>
          <w:sz w:val="32"/>
          <w:szCs w:val="32"/>
          <w:lang w:val="en-US" w:eastAsia="zh-CN"/>
        </w:rPr>
        <w:t>于2025年0</w:t>
      </w:r>
      <w:r>
        <w:rPr>
          <w:rFonts w:hint="eastAsia" w:ascii="仿宋_GB2312" w:hAnsi="新宋体" w:eastAsia="仿宋_GB2312" w:cs="Times New Roman"/>
          <w:bCs/>
          <w:sz w:val="32"/>
          <w:szCs w:val="32"/>
          <w:lang w:val="en-US" w:eastAsia="zh-CN"/>
        </w:rPr>
        <w:t>1</w:t>
      </w:r>
      <w:r>
        <w:rPr>
          <w:rFonts w:hint="default" w:ascii="仿宋_GB2312" w:hAnsi="新宋体" w:eastAsia="仿宋_GB2312" w:cs="Times New Roman"/>
          <w:bCs/>
          <w:sz w:val="32"/>
          <w:szCs w:val="32"/>
          <w:lang w:val="en-US" w:eastAsia="zh-CN"/>
        </w:rPr>
        <w:t>月</w:t>
      </w:r>
      <w:r>
        <w:rPr>
          <w:rFonts w:hint="eastAsia" w:ascii="仿宋_GB2312" w:hAnsi="新宋体" w:eastAsia="仿宋_GB2312" w:cs="Times New Roman"/>
          <w:bCs/>
          <w:sz w:val="32"/>
          <w:szCs w:val="32"/>
          <w:lang w:val="en-US" w:eastAsia="zh-CN"/>
        </w:rPr>
        <w:t>13</w:t>
      </w:r>
      <w:r>
        <w:rPr>
          <w:rFonts w:hint="default" w:ascii="仿宋_GB2312" w:hAnsi="新宋体" w:eastAsia="仿宋_GB2312" w:cs="Times New Roman"/>
          <w:bCs/>
          <w:sz w:val="32"/>
          <w:szCs w:val="32"/>
          <w:lang w:val="en-US" w:eastAsia="zh-CN"/>
        </w:rPr>
        <w:t>日提出建设项目环境影响评价审批报告表（普通类）行政许可申请，我局已依法进行受理，并完成了受理公示和拟审批公示。根据</w:t>
      </w:r>
      <w:r>
        <w:rPr>
          <w:rFonts w:hint="eastAsia" w:ascii="仿宋_GB2312" w:hAnsi="新宋体" w:eastAsia="仿宋_GB2312" w:cs="Times New Roman"/>
          <w:bCs/>
          <w:sz w:val="32"/>
          <w:szCs w:val="32"/>
          <w:lang w:val="en-US" w:eastAsia="zh-CN"/>
        </w:rPr>
        <w:t>湖南衡润科技有限公司</w:t>
      </w:r>
      <w:r>
        <w:rPr>
          <w:rFonts w:hint="default" w:ascii="仿宋_GB2312" w:hAnsi="新宋体" w:eastAsia="仿宋_GB2312" w:cs="Times New Roman"/>
          <w:bCs/>
          <w:sz w:val="32"/>
          <w:szCs w:val="32"/>
          <w:lang w:val="en-US" w:eastAsia="zh-CN"/>
        </w:rPr>
        <w:t>编制《关于湖南康亿达中药饮片有限公司康亿达保健食品生产项目环境影响报告表》（以下简称《报告表》）、专家评审意见，经审查，你公司报送的报告表符合国家关于建设项目环境影响评价文件审批的有关规定，根据《中华人民共和国行政许可法》第三十八条第一款以及《中华人民共和国环境影响评价法》第二十二条规定，我局决定准予行政许可，并要求如下：</w:t>
      </w:r>
      <w:r>
        <w:rPr>
          <w:rFonts w:hint="default" w:ascii="仿宋_GB2312" w:hAnsi="新宋体" w:eastAsia="仿宋_GB2312" w:cs="Times New Roman"/>
          <w:bCs/>
          <w:sz w:val="32"/>
          <w:szCs w:val="32"/>
          <w:lang w:eastAsia="zh-CN"/>
        </w:rPr>
        <w:t xml:space="preserve">                    </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w:t>
      </w:r>
      <w:r>
        <w:rPr>
          <w:rFonts w:hint="default" w:ascii="仿宋_GB2312" w:hAnsi="新宋体" w:eastAsia="仿宋_GB2312" w:cs="Times New Roman"/>
          <w:bCs/>
          <w:sz w:val="32"/>
          <w:szCs w:val="32"/>
          <w:lang w:val="en-US" w:eastAsia="zh-CN"/>
        </w:rPr>
        <w:t>湖南康亿达中药饮片有限公司拟投资12000万元（其中环保投资117万元），于湖南省岳阳市湘阴县金龙新区金凤大道与金龙大道交汇处西南角建设康亿达保健食品生产项目。项目总用地面积为14285.07m</w:t>
      </w:r>
      <w:r>
        <w:rPr>
          <w:rFonts w:hint="default" w:ascii="仿宋_GB2312" w:hAnsi="新宋体" w:eastAsia="仿宋_GB2312" w:cs="Times New Roman"/>
          <w:bCs/>
          <w:sz w:val="32"/>
          <w:szCs w:val="32"/>
          <w:vertAlign w:val="superscript"/>
          <w:lang w:val="en-US" w:eastAsia="zh-CN"/>
        </w:rPr>
        <w:t>2</w:t>
      </w:r>
      <w:r>
        <w:rPr>
          <w:rFonts w:hint="default" w:ascii="仿宋_GB2312" w:hAnsi="新宋体" w:eastAsia="仿宋_GB2312" w:cs="Times New Roman"/>
          <w:bCs/>
          <w:sz w:val="32"/>
          <w:szCs w:val="32"/>
          <w:lang w:val="en-US" w:eastAsia="zh-CN"/>
        </w:rPr>
        <w:t>。主要建设内容包括：2栋生产车间，1栋仓库，1栋5F的生产科研楼，及1栋门卫室，并配套建设环保、排水、供电、消防等辅助生产设施。（详见建设项目环境影响报告表）。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建设单位在工程设计、建设和运营管理过程中，必须全面落实《报告表》提出的各项污染防治措施并着重做好如下工作：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二</w:t>
      </w:r>
      <w:r>
        <w:rPr>
          <w:rFonts w:hint="default" w:ascii="仿宋_GB2312" w:hAnsi="新宋体" w:eastAsia="仿宋_GB2312" w:cs="Times New Roman"/>
          <w:bCs/>
          <w:sz w:val="32"/>
          <w:szCs w:val="32"/>
          <w:lang w:val="en-US" w:eastAsia="zh-CN"/>
        </w:rPr>
        <w:t>）落实废水污染防治措施。</w:t>
      </w:r>
      <w:r>
        <w:rPr>
          <w:rFonts w:hint="eastAsia" w:ascii="仿宋_GB2312" w:hAnsi="新宋体" w:eastAsia="仿宋_GB2312" w:cs="Times New Roman"/>
          <w:bCs/>
          <w:sz w:val="32"/>
          <w:szCs w:val="32"/>
          <w:lang w:val="en-US" w:eastAsia="zh-CN"/>
        </w:rPr>
        <w:t>厂区排水实施“雨污分流、污污分流、分类收集、分质处理”，确保各废水预处理设施、综合废水处理系统的正常运行。原料清洗、炮制（蒸煮）废水、设备清洗废水、地面清洁废水、湿法除尘废水、实验室废水排入厂区对应的废水处理设施，炮制（蒸煮）废水单独经预处理系统处理，含一类污染物（砷）废水在车间或生产设施排放口达到《中药类制药工业水污染物排放标准》（GB21906-2008）表 2 标准后与厂区综合废水共同经综合废水处理系统处理达到其与湘阴第三污水处理厂纳管协议标准后（总砷、氰化物不得检出）进入湘阴县第三污水处理厂进行深度处理。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w:t>
      </w:r>
      <w:r>
        <w:rPr>
          <w:rFonts w:hint="default" w:ascii="仿宋_GB2312" w:hAnsi="新宋体" w:eastAsia="仿宋_GB2312" w:cs="Times New Roman"/>
          <w:bCs/>
          <w:sz w:val="32"/>
          <w:szCs w:val="32"/>
          <w:lang w:val="en-US" w:eastAsia="zh-CN"/>
        </w:rPr>
        <w:t>落实废气污染防治措施。按《报告表》要求做好有组织工艺废气处理，各排气筒高度应符合《报告表》要求，确保大气污染物排放满足国家和地方有关标准要求。项目对废气分类收集、分质处理。筛选粉尘经处理</w:t>
      </w:r>
      <w:r>
        <w:rPr>
          <w:rFonts w:hint="eastAsia" w:ascii="仿宋_GB2312" w:hAnsi="新宋体" w:eastAsia="仿宋_GB2312" w:cs="Times New Roman"/>
          <w:bCs/>
          <w:sz w:val="32"/>
          <w:szCs w:val="32"/>
          <w:lang w:val="en-US" w:eastAsia="zh-CN"/>
        </w:rPr>
        <w:t>后</w:t>
      </w:r>
      <w:r>
        <w:rPr>
          <w:rFonts w:hint="default" w:ascii="仿宋_GB2312" w:hAnsi="新宋体" w:eastAsia="仿宋_GB2312" w:cs="Times New Roman"/>
          <w:bCs/>
          <w:sz w:val="32"/>
          <w:szCs w:val="32"/>
          <w:lang w:val="en-US" w:eastAsia="zh-CN"/>
        </w:rPr>
        <w:t>达</w:t>
      </w:r>
      <w:r>
        <w:rPr>
          <w:rFonts w:hint="eastAsia" w:ascii="仿宋_GB2312" w:hAnsi="新宋体" w:eastAsia="仿宋_GB2312" w:cs="Times New Roman"/>
          <w:bCs/>
          <w:sz w:val="32"/>
          <w:szCs w:val="32"/>
          <w:lang w:val="en-US" w:eastAsia="zh-CN"/>
        </w:rPr>
        <w:t>到</w:t>
      </w:r>
      <w:r>
        <w:rPr>
          <w:rFonts w:hint="default" w:ascii="仿宋_GB2312" w:hAnsi="新宋体" w:eastAsia="仿宋_GB2312" w:cs="Times New Roman"/>
          <w:bCs/>
          <w:sz w:val="32"/>
          <w:szCs w:val="32"/>
          <w:lang w:val="en-US" w:eastAsia="zh-CN"/>
        </w:rPr>
        <w:t>《制药工业大气污染物排放标准》（GB37823-2019）表1中排放限值</w:t>
      </w:r>
      <w:r>
        <w:rPr>
          <w:rFonts w:hint="eastAsia" w:ascii="仿宋_GB2312" w:hAnsi="新宋体" w:eastAsia="仿宋_GB2312" w:cs="Times New Roman"/>
          <w:bCs/>
          <w:sz w:val="32"/>
          <w:szCs w:val="32"/>
          <w:lang w:val="en-US" w:eastAsia="zh-CN"/>
        </w:rPr>
        <w:t>要求后通过</w:t>
      </w:r>
      <w:r>
        <w:rPr>
          <w:rFonts w:hint="default" w:ascii="仿宋_GB2312" w:hAnsi="新宋体" w:eastAsia="仿宋_GB2312" w:cs="Times New Roman"/>
          <w:bCs/>
          <w:sz w:val="32"/>
          <w:szCs w:val="32"/>
          <w:lang w:val="en-US" w:eastAsia="zh-CN"/>
        </w:rPr>
        <w:t>1根15m高排气筒</w:t>
      </w:r>
      <w:r>
        <w:rPr>
          <w:rFonts w:hint="eastAsia" w:ascii="仿宋_GB2312" w:hAnsi="新宋体" w:eastAsia="仿宋_GB2312" w:cs="Times New Roman"/>
          <w:bCs/>
          <w:sz w:val="32"/>
          <w:szCs w:val="32"/>
          <w:lang w:val="en-US" w:eastAsia="zh-CN"/>
        </w:rPr>
        <w:t>（1#）高空</w:t>
      </w:r>
      <w:r>
        <w:rPr>
          <w:rFonts w:hint="default" w:ascii="仿宋_GB2312" w:hAnsi="新宋体" w:eastAsia="仿宋_GB2312" w:cs="Times New Roman"/>
          <w:bCs/>
          <w:sz w:val="32"/>
          <w:szCs w:val="32"/>
          <w:lang w:val="en-US" w:eastAsia="zh-CN"/>
        </w:rPr>
        <w:t>排放；烘干、炮制过程产生的臭气浓度</w:t>
      </w:r>
      <w:r>
        <w:rPr>
          <w:rFonts w:hint="eastAsia" w:ascii="仿宋_GB2312" w:hAnsi="新宋体" w:eastAsia="仿宋_GB2312" w:cs="Times New Roman"/>
          <w:bCs/>
          <w:sz w:val="32"/>
          <w:szCs w:val="32"/>
          <w:lang w:val="en-US" w:eastAsia="zh-CN"/>
        </w:rPr>
        <w:t>经处理后达到</w:t>
      </w:r>
      <w:r>
        <w:rPr>
          <w:rFonts w:hint="default" w:ascii="仿宋_GB2312" w:hAnsi="新宋体" w:eastAsia="仿宋_GB2312" w:cs="Times New Roman"/>
          <w:bCs/>
          <w:sz w:val="32"/>
          <w:szCs w:val="32"/>
          <w:lang w:val="en-US" w:eastAsia="zh-CN"/>
        </w:rPr>
        <w:t>《恶臭污染物排放标准》（GB14554-93）标准</w:t>
      </w:r>
      <w:r>
        <w:rPr>
          <w:rFonts w:hint="eastAsia" w:ascii="仿宋_GB2312" w:hAnsi="新宋体" w:eastAsia="仿宋_GB2312" w:cs="Times New Roman"/>
          <w:bCs/>
          <w:sz w:val="32"/>
          <w:szCs w:val="32"/>
          <w:lang w:val="en-US" w:eastAsia="zh-CN"/>
        </w:rPr>
        <w:t>要求后</w:t>
      </w:r>
      <w:r>
        <w:rPr>
          <w:rFonts w:hint="default" w:ascii="仿宋_GB2312" w:hAnsi="新宋体" w:eastAsia="仿宋_GB2312" w:cs="Times New Roman"/>
          <w:bCs/>
          <w:sz w:val="32"/>
          <w:szCs w:val="32"/>
          <w:lang w:val="en-US" w:eastAsia="zh-CN"/>
        </w:rPr>
        <w:t>后</w:t>
      </w:r>
      <w:r>
        <w:rPr>
          <w:rFonts w:hint="eastAsia" w:ascii="仿宋_GB2312" w:hAnsi="新宋体" w:eastAsia="仿宋_GB2312" w:cs="Times New Roman"/>
          <w:bCs/>
          <w:sz w:val="32"/>
          <w:szCs w:val="32"/>
          <w:lang w:val="en-US" w:eastAsia="zh-CN"/>
        </w:rPr>
        <w:t>通过</w:t>
      </w:r>
      <w:r>
        <w:rPr>
          <w:rFonts w:hint="default" w:ascii="仿宋_GB2312" w:hAnsi="新宋体" w:eastAsia="仿宋_GB2312" w:cs="Times New Roman"/>
          <w:bCs/>
          <w:sz w:val="32"/>
          <w:szCs w:val="32"/>
          <w:lang w:val="en-US" w:eastAsia="zh-CN"/>
        </w:rPr>
        <w:t>1根15m高排气筒</w:t>
      </w:r>
      <w:r>
        <w:rPr>
          <w:rFonts w:hint="eastAsia" w:ascii="仿宋_GB2312" w:hAnsi="新宋体" w:eastAsia="仿宋_GB2312" w:cs="Times New Roman"/>
          <w:bCs/>
          <w:sz w:val="32"/>
          <w:szCs w:val="32"/>
          <w:lang w:val="en-US" w:eastAsia="zh-CN"/>
        </w:rPr>
        <w:t>（2#）高空</w:t>
      </w:r>
      <w:r>
        <w:rPr>
          <w:rFonts w:hint="default" w:ascii="仿宋_GB2312" w:hAnsi="新宋体" w:eastAsia="仿宋_GB2312" w:cs="Times New Roman"/>
          <w:bCs/>
          <w:sz w:val="32"/>
          <w:szCs w:val="32"/>
          <w:lang w:val="en-US" w:eastAsia="zh-CN"/>
        </w:rPr>
        <w:t>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加强无组织废气污染防治，粗破车间及炮制车间应加强通风，厂界颗粒物、SO2、NOx</w:t>
      </w:r>
      <w:r>
        <w:rPr>
          <w:rFonts w:hint="eastAsia" w:ascii="仿宋_GB2312" w:hAnsi="新宋体" w:eastAsia="仿宋_GB2312" w:cs="Times New Roman"/>
          <w:bCs/>
          <w:sz w:val="32"/>
          <w:szCs w:val="32"/>
          <w:lang w:val="en-US" w:eastAsia="zh-CN"/>
        </w:rPr>
        <w:t>、有机废气</w:t>
      </w:r>
      <w:r>
        <w:rPr>
          <w:rFonts w:hint="default" w:ascii="仿宋_GB2312" w:hAnsi="新宋体" w:eastAsia="仿宋_GB2312" w:cs="Times New Roman"/>
          <w:bCs/>
          <w:sz w:val="32"/>
          <w:szCs w:val="32"/>
          <w:lang w:val="en-US" w:eastAsia="zh-CN"/>
        </w:rPr>
        <w:t>执行《大气污染物综合排放标准》（GB 16297-1996）表2中无组织排放标准限值</w:t>
      </w:r>
      <w:r>
        <w:rPr>
          <w:rFonts w:hint="eastAsia" w:ascii="仿宋_GB2312" w:hAnsi="新宋体" w:eastAsia="仿宋_GB2312" w:cs="Times New Roman"/>
          <w:bCs/>
          <w:sz w:val="32"/>
          <w:szCs w:val="32"/>
          <w:lang w:val="en-US" w:eastAsia="zh-CN"/>
        </w:rPr>
        <w:t>要求</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无组织排放的硫化氢</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氨</w:t>
      </w:r>
      <w:r>
        <w:rPr>
          <w:rFonts w:hint="default" w:ascii="仿宋_GB2312" w:hAnsi="新宋体" w:eastAsia="仿宋_GB2312" w:cs="Times New Roman"/>
          <w:bCs/>
          <w:sz w:val="32"/>
          <w:szCs w:val="32"/>
          <w:lang w:val="en-US" w:eastAsia="zh-CN"/>
        </w:rPr>
        <w:t>、臭气浓度执行《恶臭污染物排放标准》（GB14554-93）表1中相关标准限值</w:t>
      </w:r>
      <w:r>
        <w:rPr>
          <w:rFonts w:hint="eastAsia" w:ascii="仿宋_GB2312" w:hAnsi="新宋体" w:eastAsia="仿宋_GB2312" w:cs="Times New Roman"/>
          <w:bCs/>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四</w:t>
      </w:r>
      <w:r>
        <w:rPr>
          <w:rFonts w:hint="default" w:ascii="仿宋_GB2312" w:hAnsi="新宋体" w:eastAsia="仿宋_GB2312" w:cs="Times New Roman"/>
          <w:bCs/>
          <w:sz w:val="32"/>
          <w:szCs w:val="32"/>
          <w:lang w:val="en-US" w:eastAsia="zh-CN"/>
        </w:rPr>
        <w:t>）落实噪声污染防治措施。做好高噪声设备的减振、隔声、消声降噪措施，合理安排设备作业时间，确保厂界噪声满足《工业企业厂界环境噪声排放标准》（GB12348-2008）3类标准。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五</w:t>
      </w:r>
      <w:r>
        <w:rPr>
          <w:rFonts w:hint="default" w:ascii="仿宋_GB2312" w:hAnsi="新宋体" w:eastAsia="仿宋_GB2312" w:cs="Times New Roman"/>
          <w:bCs/>
          <w:sz w:val="32"/>
          <w:szCs w:val="32"/>
          <w:lang w:val="en-US" w:eastAsia="zh-CN"/>
        </w:rPr>
        <w:t>）落实工业固废管理措施。按照“减量化、资源化、无害化”原则，对固体废物进行分类收集、贮存、利用和处置，落实《报告表》提出的各项要求与措施，确保不造成二次污染。废活性炭、实验室废渣、化学沉淀池废渣等危险废物应严格执行《危险废物贮存污染控制标准》（GB18597-2023）要求，收集暂存在危险废物贮存库，定期交由具有危险废物处理资质单位进行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六</w:t>
      </w:r>
      <w:r>
        <w:rPr>
          <w:rFonts w:hint="default" w:ascii="仿宋_GB2312" w:hAnsi="新宋体"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七</w:t>
      </w:r>
      <w:r>
        <w:rPr>
          <w:rFonts w:hint="default" w:ascii="仿宋_GB2312" w:hAnsi="新宋体"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八</w:t>
      </w:r>
      <w:r>
        <w:rPr>
          <w:rFonts w:hint="default" w:ascii="仿宋_GB2312" w:hAnsi="新宋体" w:eastAsia="仿宋_GB2312" w:cs="Times New Roman"/>
          <w:bCs/>
          <w:sz w:val="32"/>
          <w:szCs w:val="32"/>
          <w:lang w:val="en-US" w:eastAsia="zh-CN"/>
        </w:rPr>
        <w:t>）该项目污染物排放总量控制指标为：VOCs≤0.1t/a，SO</w:t>
      </w:r>
      <w:r>
        <w:rPr>
          <w:rFonts w:hint="default" w:ascii="仿宋_GB2312" w:hAnsi="新宋体" w:eastAsia="仿宋_GB2312" w:cs="Times New Roman"/>
          <w:bCs/>
          <w:sz w:val="32"/>
          <w:szCs w:val="32"/>
          <w:vertAlign w:val="subscript"/>
          <w:lang w:val="en-US" w:eastAsia="zh-CN"/>
        </w:rPr>
        <w:t>2</w:t>
      </w:r>
      <w:r>
        <w:rPr>
          <w:rFonts w:hint="default" w:ascii="仿宋_GB2312" w:hAnsi="新宋体" w:eastAsia="仿宋_GB2312" w:cs="Times New Roman"/>
          <w:bCs/>
          <w:sz w:val="32"/>
          <w:szCs w:val="32"/>
          <w:lang w:val="en-US" w:eastAsia="zh-CN"/>
        </w:rPr>
        <w:t>：0.1t/a，NOx：0.2t/a，CODcr：0.3t/a、NH</w:t>
      </w:r>
      <w:r>
        <w:rPr>
          <w:rFonts w:hint="default" w:ascii="仿宋_GB2312" w:hAnsi="新宋体" w:eastAsia="仿宋_GB2312" w:cs="Times New Roman"/>
          <w:bCs/>
          <w:sz w:val="32"/>
          <w:szCs w:val="32"/>
          <w:vertAlign w:val="subscript"/>
          <w:lang w:val="en-US" w:eastAsia="zh-CN"/>
        </w:rPr>
        <w:t>3</w:t>
      </w:r>
      <w:r>
        <w:rPr>
          <w:rFonts w:hint="default" w:ascii="仿宋_GB2312" w:hAnsi="新宋体" w:eastAsia="仿宋_GB2312" w:cs="Times New Roman"/>
          <w:bCs/>
          <w:sz w:val="32"/>
          <w:szCs w:val="32"/>
          <w:lang w:val="en-US" w:eastAsia="zh-CN"/>
        </w:rPr>
        <w:t>-N：0.1t/a。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湖南</w:t>
      </w:r>
      <w:r>
        <w:rPr>
          <w:rFonts w:hint="eastAsia" w:ascii="仿宋_GB2312" w:hAnsi="新宋体" w:eastAsia="仿宋_GB2312" w:cs="Times New Roman"/>
          <w:bCs/>
          <w:sz w:val="32"/>
          <w:szCs w:val="32"/>
          <w:lang w:val="en-US" w:eastAsia="zh-CN"/>
        </w:rPr>
        <w:t>衡润</w:t>
      </w:r>
      <w:r>
        <w:rPr>
          <w:rFonts w:hint="default" w:ascii="仿宋_GB2312" w:hAnsi="新宋体" w:eastAsia="仿宋_GB2312" w:cs="Times New Roman"/>
          <w:bCs/>
          <w:sz w:val="32"/>
          <w:szCs w:val="32"/>
          <w:lang w:val="en-US" w:eastAsia="zh-CN"/>
        </w:rPr>
        <w:t xml:space="preserve">科技有限公司。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你公司如对本批复不服，可以在接到决定书之日起六十日内向岳阳市人民政府申请行政复议;或者六个月内向岳阳市</w:t>
      </w:r>
      <w:r>
        <w:rPr>
          <w:rFonts w:hint="eastAsia" w:ascii="仿宋_GB2312" w:hAnsi="新宋体" w:eastAsia="仿宋_GB2312" w:cs="Times New Roman"/>
          <w:bCs/>
          <w:sz w:val="32"/>
          <w:szCs w:val="32"/>
          <w:lang w:val="en-US" w:eastAsia="zh-CN"/>
        </w:rPr>
        <w:t>君山区</w:t>
      </w:r>
      <w:r>
        <w:rPr>
          <w:rFonts w:hint="default" w:ascii="仿宋_GB2312" w:hAnsi="新宋体" w:eastAsia="仿宋_GB2312" w:cs="Times New Roman"/>
          <w:bCs/>
          <w:sz w:val="32"/>
          <w:szCs w:val="32"/>
          <w:lang w:val="en-US" w:eastAsia="zh-CN"/>
        </w:rPr>
        <w:t>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right"/>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w:t>
      </w:r>
      <w:r>
        <w:rPr>
          <w:rFonts w:hint="default" w:ascii="仿宋_GB2312" w:hAnsi="新宋体"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ascii="仿宋_GB2312" w:hAnsi="新宋体" w:eastAsia="仿宋_GB2312" w:cs="Times New Roman"/>
          <w:bCs/>
          <w:sz w:val="32"/>
          <w:szCs w:val="32"/>
          <w:lang w:val="en-US" w:eastAsia="zh-CN"/>
        </w:rPr>
        <w:tab/>
      </w:r>
      <w:r>
        <w:rPr>
          <w:rFonts w:hint="default" w:ascii="仿宋_GB2312" w:hAnsi="新宋体" w:eastAsia="仿宋_GB2312" w:cs="Times New Roman"/>
          <w:bCs/>
          <w:sz w:val="32"/>
          <w:szCs w:val="32"/>
          <w:lang w:val="en-US" w:eastAsia="zh-CN"/>
        </w:rPr>
        <w:t xml:space="preserve">             </w:t>
      </w:r>
      <w:r>
        <w:rPr>
          <w:rFonts w:hint="eastAsia" w:ascii="仿宋_GB2312" w:hAnsi="新宋体" w:eastAsia="仿宋_GB2312" w:cs="Times New Roman"/>
          <w:bCs/>
          <w:sz w:val="32"/>
          <w:szCs w:val="32"/>
          <w:lang w:val="en-US" w:eastAsia="zh-CN"/>
        </w:rPr>
        <w:t xml:space="preserve">              </w:t>
      </w:r>
      <w:r>
        <w:rPr>
          <w:rFonts w:hint="default" w:ascii="仿宋_GB2312" w:hAnsi="新宋体" w:eastAsia="仿宋_GB2312" w:cs="Times New Roman"/>
          <w:bCs/>
          <w:sz w:val="32"/>
          <w:szCs w:val="32"/>
          <w:lang w:val="en-US" w:eastAsia="zh-CN"/>
        </w:rPr>
        <w:t>2025年2月</w:t>
      </w:r>
      <w:r>
        <w:rPr>
          <w:rFonts w:hint="eastAsia" w:ascii="仿宋_GB2312" w:hAnsi="新宋体" w:eastAsia="仿宋_GB2312" w:cs="Times New Roman"/>
          <w:bCs/>
          <w:sz w:val="32"/>
          <w:szCs w:val="32"/>
          <w:lang w:val="en-US" w:eastAsia="zh-CN"/>
        </w:rPr>
        <w:t>26</w:t>
      </w:r>
      <w:r>
        <w:rPr>
          <w:rFonts w:hint="default" w:ascii="仿宋_GB2312" w:hAnsi="新宋体" w:eastAsia="仿宋_GB2312" w:cs="Times New Roman"/>
          <w:bCs/>
          <w:sz w:val="32"/>
          <w:szCs w:val="32"/>
          <w:lang w:val="en-US" w:eastAsia="zh-CN"/>
        </w:rPr>
        <w:t>日</w:t>
      </w: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_GBK">
    <w:altName w:val="微软雅黑"/>
    <w:panose1 w:val="02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abstractNum w:abstractNumId="1">
    <w:nsid w:val="5BBD6230"/>
    <w:multiLevelType w:val="singleLevel"/>
    <w:tmpl w:val="5BBD623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3DD6186"/>
    <w:rsid w:val="05BD2E07"/>
    <w:rsid w:val="063D115E"/>
    <w:rsid w:val="065B567D"/>
    <w:rsid w:val="06957FBA"/>
    <w:rsid w:val="06DF1684"/>
    <w:rsid w:val="09BD2F54"/>
    <w:rsid w:val="0C46547E"/>
    <w:rsid w:val="0C962284"/>
    <w:rsid w:val="0DB91576"/>
    <w:rsid w:val="0E9D21B1"/>
    <w:rsid w:val="0F657030"/>
    <w:rsid w:val="1075552C"/>
    <w:rsid w:val="107820F3"/>
    <w:rsid w:val="107A6B0B"/>
    <w:rsid w:val="110F1C95"/>
    <w:rsid w:val="13372CB9"/>
    <w:rsid w:val="15197D03"/>
    <w:rsid w:val="18D23815"/>
    <w:rsid w:val="1ABC39E3"/>
    <w:rsid w:val="1B130D94"/>
    <w:rsid w:val="1B1D2FEC"/>
    <w:rsid w:val="1C593BC9"/>
    <w:rsid w:val="1C5F759C"/>
    <w:rsid w:val="1D3D44B8"/>
    <w:rsid w:val="1D623E20"/>
    <w:rsid w:val="1E6A10F9"/>
    <w:rsid w:val="1F8D2690"/>
    <w:rsid w:val="21154D5A"/>
    <w:rsid w:val="21EC1E61"/>
    <w:rsid w:val="2277734E"/>
    <w:rsid w:val="22FB1D2D"/>
    <w:rsid w:val="244403F2"/>
    <w:rsid w:val="24741985"/>
    <w:rsid w:val="250834F2"/>
    <w:rsid w:val="2547757B"/>
    <w:rsid w:val="283C1B4B"/>
    <w:rsid w:val="28DA2B24"/>
    <w:rsid w:val="2B8A1635"/>
    <w:rsid w:val="2C1F5A42"/>
    <w:rsid w:val="2C445FA9"/>
    <w:rsid w:val="2C4677AE"/>
    <w:rsid w:val="2D126EBD"/>
    <w:rsid w:val="2DB15E0A"/>
    <w:rsid w:val="2DE03FF9"/>
    <w:rsid w:val="2E763A8B"/>
    <w:rsid w:val="2EBC4A66"/>
    <w:rsid w:val="2F1B5129"/>
    <w:rsid w:val="2F3C5BA7"/>
    <w:rsid w:val="30F46B5D"/>
    <w:rsid w:val="30FE535F"/>
    <w:rsid w:val="31537991"/>
    <w:rsid w:val="32783F0E"/>
    <w:rsid w:val="32BF0260"/>
    <w:rsid w:val="32D305D1"/>
    <w:rsid w:val="33C148CD"/>
    <w:rsid w:val="342B39EB"/>
    <w:rsid w:val="344572AC"/>
    <w:rsid w:val="38516299"/>
    <w:rsid w:val="39462CB6"/>
    <w:rsid w:val="399428F2"/>
    <w:rsid w:val="3A2D05C6"/>
    <w:rsid w:val="3A8914CF"/>
    <w:rsid w:val="3ABD5DEE"/>
    <w:rsid w:val="3C4C33EA"/>
    <w:rsid w:val="3C542B0D"/>
    <w:rsid w:val="3C9506A5"/>
    <w:rsid w:val="3D0A4BEF"/>
    <w:rsid w:val="3D233B23"/>
    <w:rsid w:val="3D54230E"/>
    <w:rsid w:val="3D7A1995"/>
    <w:rsid w:val="3DC428BC"/>
    <w:rsid w:val="3DE02F4C"/>
    <w:rsid w:val="3DFD22E6"/>
    <w:rsid w:val="3E611186"/>
    <w:rsid w:val="3EBE0387"/>
    <w:rsid w:val="3F46769F"/>
    <w:rsid w:val="3F5F0DCC"/>
    <w:rsid w:val="3FC759B0"/>
    <w:rsid w:val="4044258D"/>
    <w:rsid w:val="4068306E"/>
    <w:rsid w:val="40716E79"/>
    <w:rsid w:val="40A11D0E"/>
    <w:rsid w:val="416C0BB2"/>
    <w:rsid w:val="42552DB0"/>
    <w:rsid w:val="42BF46CD"/>
    <w:rsid w:val="42CF5442"/>
    <w:rsid w:val="43376BEF"/>
    <w:rsid w:val="44096111"/>
    <w:rsid w:val="4433501C"/>
    <w:rsid w:val="4499112D"/>
    <w:rsid w:val="452877C8"/>
    <w:rsid w:val="45A01AB9"/>
    <w:rsid w:val="46EE27C2"/>
    <w:rsid w:val="47B45127"/>
    <w:rsid w:val="47F5796A"/>
    <w:rsid w:val="488F069E"/>
    <w:rsid w:val="49BB5BEF"/>
    <w:rsid w:val="4A4027D8"/>
    <w:rsid w:val="4AB31197"/>
    <w:rsid w:val="4B46598C"/>
    <w:rsid w:val="4B476C6D"/>
    <w:rsid w:val="4C4A14AC"/>
    <w:rsid w:val="4CFD2D35"/>
    <w:rsid w:val="4D21045F"/>
    <w:rsid w:val="4DBA5B35"/>
    <w:rsid w:val="4F372B72"/>
    <w:rsid w:val="4F9A5ACE"/>
    <w:rsid w:val="50190775"/>
    <w:rsid w:val="50C22148"/>
    <w:rsid w:val="528A0854"/>
    <w:rsid w:val="535F7ADD"/>
    <w:rsid w:val="53604C5E"/>
    <w:rsid w:val="5362532D"/>
    <w:rsid w:val="53D31D87"/>
    <w:rsid w:val="53E67D0C"/>
    <w:rsid w:val="53ED01C1"/>
    <w:rsid w:val="54363BAA"/>
    <w:rsid w:val="54A60BCF"/>
    <w:rsid w:val="55947215"/>
    <w:rsid w:val="55C67DF5"/>
    <w:rsid w:val="581C6D6F"/>
    <w:rsid w:val="5B8D0D0C"/>
    <w:rsid w:val="5C8F2D85"/>
    <w:rsid w:val="5CB26A7D"/>
    <w:rsid w:val="5D034B5B"/>
    <w:rsid w:val="5D5E7965"/>
    <w:rsid w:val="5DAA7FFC"/>
    <w:rsid w:val="5E8D26AE"/>
    <w:rsid w:val="5EF8626D"/>
    <w:rsid w:val="5F6366B5"/>
    <w:rsid w:val="5F6661A5"/>
    <w:rsid w:val="61E8637C"/>
    <w:rsid w:val="620A0A24"/>
    <w:rsid w:val="629D1DAB"/>
    <w:rsid w:val="62FF5A4C"/>
    <w:rsid w:val="631C4748"/>
    <w:rsid w:val="63AD4A3F"/>
    <w:rsid w:val="64C6740E"/>
    <w:rsid w:val="65AE1FF2"/>
    <w:rsid w:val="67396EFC"/>
    <w:rsid w:val="69EA2B06"/>
    <w:rsid w:val="6AAE5B2F"/>
    <w:rsid w:val="6C423AF6"/>
    <w:rsid w:val="6CA05A67"/>
    <w:rsid w:val="6FB92D61"/>
    <w:rsid w:val="70D74514"/>
    <w:rsid w:val="711B64C4"/>
    <w:rsid w:val="721F290F"/>
    <w:rsid w:val="724802B8"/>
    <w:rsid w:val="747550E2"/>
    <w:rsid w:val="7564748C"/>
    <w:rsid w:val="779D09FF"/>
    <w:rsid w:val="78083900"/>
    <w:rsid w:val="78EC2FE0"/>
    <w:rsid w:val="7A2C215F"/>
    <w:rsid w:val="7C91122A"/>
    <w:rsid w:val="7CE1357B"/>
    <w:rsid w:val="7DB26EA6"/>
    <w:rsid w:val="7DBA7990"/>
    <w:rsid w:val="7E2364DE"/>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2405</Words>
  <Characters>2584</Characters>
  <Lines>0</Lines>
  <Paragraphs>0</Paragraphs>
  <TotalTime>3</TotalTime>
  <ScaleCrop>false</ScaleCrop>
  <LinksUpToDate>false</LinksUpToDate>
  <CharactersWithSpaces>2692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钟坚</cp:lastModifiedBy>
  <cp:lastPrinted>2024-10-09T08:30:00Z</cp:lastPrinted>
  <dcterms:modified xsi:type="dcterms:W3CDTF">2025-03-03T08:01:06Z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95CCDD9260A54FE79C3B7E6FF5D11881</vt:lpwstr>
  </property>
  <property fmtid="{D5CDD505-2E9C-101B-9397-08002B2CF9AE}" pid="4" name="KSOTemplateDocerSaveRecord">
    <vt:lpwstr>eyJoZGlkIjoiNzUxY2E5YWUwZWNhYWVhZjY2OGM0NDViNjNiNDMzNzEiLCJ1c2VySWQiOiIzNjQ4NDg4ODgifQ==</vt:lpwstr>
  </property>
</Properties>
</file>